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4.2.1 Proportion of children who are developmentally on track in at least three of the following domains: literacy-numeracy, physical development, social-emotional development, and learning [4.2.1] (SE_DEV_ONTRK)</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3071"/>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jc w:val="both"/>
            </w:pPr>
            <w:r>
              <w:t>Target 4.2: By 2030, ensure that all girls and boys have access to quality early childhood development, care and pre-primary education so that they are ready for primary education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jc w:val="both"/>
            </w:pPr>
            <w:r>
              <w:t>Indicator 4.2.1: Proportion of children aged 24-59 months who are developmentally on track in health, learning and psychosocial well-being,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r>
              <w:rPr>
                <w:rFonts w:cstheme="minorHAnsi"/>
                <w:color w:val="0B0C0C"/>
                <w:shd w:val="clear" w:color="auto" w:fill="FFFFFF"/>
              </w:rPr>
              <w:t>Proportion of children who are developmentally on track in learning</w:t>
            </w:r>
          </w:p>
          <w:p>
            <w:pPr>
              <w:jc w:val="both"/>
              <w:rPr>
                <w:rFonts w:cstheme="minorHAnsi"/>
                <w:color w:val="0B0C0C"/>
                <w:shd w:val="clear" w:color="auto" w:fill="FFFFFF"/>
              </w:rPr>
            </w:pPr>
            <w:r>
              <w:rPr>
                <w:rFonts w:cstheme="minorHAnsi"/>
                <w:color w:val="0B0C0C"/>
                <w:shd w:val="clear" w:color="auto" w:fill="FFFFFF"/>
              </w:rPr>
              <w:t>Proportion of children who are developmentally on track in literacy-numeracy</w:t>
            </w:r>
          </w:p>
          <w:p>
            <w:pPr>
              <w:jc w:val="both"/>
              <w:rPr>
                <w:rFonts w:cstheme="minorHAnsi"/>
                <w:color w:val="0B0C0C"/>
                <w:shd w:val="clear" w:color="auto" w:fill="FFFFFF"/>
              </w:rPr>
            </w:pPr>
            <w:r>
              <w:rPr>
                <w:rFonts w:cstheme="minorHAnsi"/>
                <w:color w:val="0B0C0C"/>
                <w:shd w:val="clear" w:color="auto" w:fill="FFFFFF"/>
              </w:rPr>
              <w:t>Proportion of children who are developmentally on track in physical development</w:t>
            </w:r>
          </w:p>
          <w:p>
            <w:pPr>
              <w:jc w:val="both"/>
            </w:pPr>
            <w:r>
              <w:rPr>
                <w:rFonts w:cstheme="minorHAnsi"/>
                <w:color w:val="0B0C0C"/>
                <w:shd w:val="clear" w:color="auto" w:fill="FFFFFF"/>
              </w:rPr>
              <w:t>Proportion of children who are developmentally on track in social-emotional development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4.2.2</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b/>
                <w:bCs/>
                <w:sz w:val="22"/>
                <w:szCs w:val="22"/>
              </w:rPr>
            </w:pPr>
            <w:r>
              <w:rPr>
                <w:b/>
                <w:bCs/>
                <w:sz w:val="22"/>
                <w:szCs w:val="22"/>
              </w:rPr>
              <w:t>Definition:</w:t>
            </w:r>
          </w:p>
          <w:p>
            <w:pPr>
              <w:pStyle w:val="34"/>
              <w:rPr>
                <w:sz w:val="22"/>
                <w:szCs w:val="22"/>
              </w:rPr>
            </w:pPr>
          </w:p>
          <w:p>
            <w:pPr>
              <w:pStyle w:val="34"/>
              <w:rPr>
                <w:sz w:val="22"/>
                <w:szCs w:val="22"/>
              </w:rPr>
            </w:pPr>
            <w:r>
              <w:rPr>
                <w:sz w:val="22"/>
                <w:szCs w:val="22"/>
              </w:rPr>
              <w:t>The proportion of children aged 24 to 59 months who are developmentally on track in health, learning and psychosocial well-being.</w:t>
            </w:r>
          </w:p>
          <w:p>
            <w:pPr>
              <w:pStyle w:val="34"/>
              <w:rPr>
                <w:sz w:val="22"/>
                <w:szCs w:val="22"/>
              </w:rPr>
            </w:pPr>
          </w:p>
          <w:p>
            <w:pPr>
              <w:shd w:val="clear" w:color="auto" w:fill="FFFFFF"/>
              <w:contextualSpacing/>
              <w:jc w:val="both"/>
              <w:rPr>
                <w:rFonts w:eastAsia="Times New Roman" w:cs="Times New Roman"/>
                <w:b/>
                <w:color w:val="4A4A4A"/>
                <w:lang w:eastAsia="en-GB"/>
              </w:rPr>
            </w:pPr>
            <w:r>
              <w:rPr>
                <w:rFonts w:eastAsia="Times New Roman" w:cs="Times New Roman"/>
                <w:b/>
                <w:color w:val="4A4A4A"/>
                <w:lang w:eastAsia="en-GB"/>
              </w:rPr>
              <w:t>Concepts: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The domains included in the indicator for SDG indicator 4.2.1 include the following concepts:</w:t>
            </w:r>
          </w:p>
          <w:p>
            <w:pPr>
              <w:pStyle w:val="42"/>
              <w:numPr>
                <w:ilvl w:val="0"/>
                <w:numId w:val="1"/>
              </w:numPr>
              <w:shd w:val="clear" w:color="auto" w:fill="FFFFFF"/>
              <w:spacing w:after="0"/>
              <w:jc w:val="both"/>
              <w:rPr>
                <w:rFonts w:eastAsia="Times New Roman" w:cs="Times New Roman"/>
                <w:color w:val="4A4A4A"/>
                <w:lang w:val="en-US" w:eastAsia="en-GB"/>
              </w:rPr>
            </w:pPr>
            <w:r>
              <w:rPr>
                <w:rFonts w:eastAsia="Times New Roman" w:cs="Times New Roman"/>
                <w:b w:val="0"/>
                <w:bCs w:val="0"/>
                <w:color w:val="4A4A4A"/>
                <w:lang w:val="en-US" w:eastAsia="en-GB"/>
              </w:rPr>
              <w:t>Health:</w:t>
            </w:r>
            <w:r>
              <w:rPr>
                <w:rFonts w:eastAsia="Times New Roman" w:cs="Times New Roman"/>
                <w:color w:val="4A4A4A"/>
                <w:lang w:val="en-US" w:eastAsia="en-GB"/>
              </w:rPr>
              <w:t xml:space="preserve"> gross motor development, fine motor development and self-care</w:t>
            </w:r>
          </w:p>
          <w:p>
            <w:pPr>
              <w:pStyle w:val="42"/>
              <w:numPr>
                <w:ilvl w:val="0"/>
                <w:numId w:val="1"/>
              </w:numPr>
              <w:shd w:val="clear" w:color="auto" w:fill="FFFFFF"/>
              <w:spacing w:after="0"/>
              <w:jc w:val="both"/>
              <w:rPr>
                <w:rFonts w:eastAsia="Times New Roman" w:cs="Times New Roman"/>
                <w:color w:val="4A4A4A"/>
                <w:lang w:val="en-US" w:eastAsia="en-GB"/>
              </w:rPr>
            </w:pPr>
            <w:r>
              <w:rPr>
                <w:rFonts w:eastAsia="Times New Roman" w:cs="Times New Roman"/>
                <w:b w:val="0"/>
                <w:bCs w:val="0"/>
                <w:color w:val="4A4A4A"/>
                <w:lang w:val="en-US" w:eastAsia="en-GB"/>
              </w:rPr>
              <w:t>Learning:</w:t>
            </w:r>
            <w:r>
              <w:rPr>
                <w:rFonts w:eastAsia="Times New Roman" w:cs="Times New Roman"/>
                <w:color w:val="4A4A4A"/>
                <w:lang w:val="en-US" w:eastAsia="en-GB"/>
              </w:rPr>
              <w:t xml:space="preserve"> expressive language, literacy, numeracy, pre-writing, and executive functioning</w:t>
            </w:r>
          </w:p>
          <w:p>
            <w:pPr>
              <w:pStyle w:val="42"/>
              <w:numPr>
                <w:ilvl w:val="0"/>
                <w:numId w:val="1"/>
              </w:numPr>
              <w:shd w:val="clear" w:color="auto" w:fill="FFFFFF"/>
              <w:spacing w:after="0"/>
              <w:jc w:val="both"/>
              <w:rPr>
                <w:rFonts w:eastAsia="Times New Roman" w:cs="Times New Roman"/>
                <w:b/>
                <w:bCs/>
                <w:color w:val="4A4A4A"/>
                <w:lang w:val="en-US" w:eastAsia="en-GB"/>
              </w:rPr>
            </w:pPr>
            <w:r>
              <w:rPr>
                <w:rFonts w:eastAsia="Times New Roman" w:cs="Times New Roman"/>
                <w:b w:val="0"/>
                <w:bCs w:val="0"/>
                <w:color w:val="4A4A4A"/>
                <w:lang w:val="en-US" w:eastAsia="en-GB"/>
              </w:rPr>
              <w:t>Psychosocial well-being:</w:t>
            </w:r>
            <w:r>
              <w:rPr>
                <w:rFonts w:eastAsia="Times New Roman" w:cs="Times New Roman"/>
                <w:b/>
                <w:bCs/>
                <w:color w:val="4A4A4A"/>
                <w:lang w:val="en-US" w:eastAsia="en-GB"/>
              </w:rPr>
              <w:t xml:space="preserve"> </w:t>
            </w:r>
            <w:r>
              <w:rPr>
                <w:rFonts w:eastAsia="Times New Roman" w:cs="Times New Roman"/>
                <w:color w:val="4A4A4A"/>
                <w:lang w:val="en-US" w:eastAsia="en-GB"/>
              </w:rPr>
              <w:t>emotional skills, social skills, internalizing behavior, and externalizing behavior</w:t>
            </w:r>
          </w:p>
          <w:p>
            <w:pPr>
              <w:shd w:val="clear" w:color="auto" w:fill="FFFFFF"/>
              <w:spacing w:after="0"/>
              <w:jc w:val="both"/>
              <w:rPr>
                <w:rFonts w:eastAsia="Times New Roman" w:cs="Times New Roman"/>
                <w:b/>
                <w:bCs/>
                <w:color w:val="4A4A4A"/>
                <w:lang w:eastAsia="en-GB"/>
              </w:rPr>
            </w:pPr>
          </w:p>
          <w:p>
            <w:pPr>
              <w:pStyle w:val="42"/>
              <w:numPr>
                <w:numId w:val="0"/>
              </w:numPr>
              <w:shd w:val="clear" w:color="auto" w:fill="FFFFFF"/>
              <w:spacing w:after="0"/>
              <w:jc w:val="both"/>
            </w:pPr>
            <w:r>
              <w:rPr>
                <w:rFonts w:eastAsia="Times New Roman" w:cs="Times New Roman"/>
                <w:color w:val="4A4A4A"/>
                <w:lang w:eastAsia="en-GB"/>
              </w:rPr>
              <w:t xml:space="preserve">The recommended measure for SDG 4.2.1 is the </w:t>
            </w:r>
            <w:r>
              <w:rPr>
                <w:rFonts w:eastAsia="Times New Roman" w:cs="Times New Roman"/>
                <w:color w:val="4A4A4A"/>
                <w:lang w:eastAsia="en-GB"/>
              </w:rPr>
              <w:fldChar w:fldCharType="begin"/>
            </w:r>
            <w:r>
              <w:rPr>
                <w:rFonts w:eastAsia="Times New Roman" w:cs="Times New Roman"/>
                <w:color w:val="4A4A4A"/>
                <w:lang w:eastAsia="en-GB"/>
              </w:rPr>
              <w:instrText xml:space="preserve"> HYPERLINK "https://data.unicef.org/resources/early-childhood-development-index-2030-ecdi2030/" </w:instrText>
            </w:r>
            <w:r>
              <w:rPr>
                <w:rFonts w:eastAsia="Times New Roman" w:cs="Times New Roman"/>
                <w:color w:val="4A4A4A"/>
                <w:lang w:eastAsia="en-GB"/>
              </w:rPr>
              <w:fldChar w:fldCharType="separate"/>
            </w:r>
            <w:r>
              <w:rPr>
                <w:rStyle w:val="18"/>
                <w:rFonts w:eastAsia="Times New Roman" w:cs="Times New Roman"/>
                <w:color w:val="4A4A4A"/>
                <w:lang w:eastAsia="en-GB"/>
              </w:rPr>
              <w:t xml:space="preserve">Early Childhood Development Index 2030 (ECDI2030) </w:t>
            </w:r>
            <w:r>
              <w:rPr>
                <w:rFonts w:eastAsia="Times New Roman" w:cs="Times New Roman"/>
                <w:color w:val="4A4A4A"/>
                <w:lang w:eastAsia="en-GB"/>
              </w:rPr>
              <w:fldChar w:fldCharType="end"/>
            </w:r>
            <w:r>
              <w:rPr>
                <w:rFonts w:eastAsia="Times New Roman" w:cs="Times New Roman"/>
                <w:color w:val="4A4A4A"/>
                <w:lang w:eastAsia="en-GB"/>
              </w:rPr>
              <w:t xml:space="preserve">which is a 20-item instrument to measure developmental outcomes among children aged 24 to 59 months in population-based surveys.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4"/>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cstheme="minorHAnsi"/>
                <w:bCs/>
                <w:i w:val="0"/>
                <w:iCs/>
              </w:rPr>
              <w:t>Ghana M</w:t>
            </w:r>
            <w:r>
              <w:rPr>
                <w:rFonts w:hint="default" w:cstheme="minorHAnsi"/>
                <w:bCs/>
                <w:i w:val="0"/>
                <w:iCs/>
                <w:lang w:val="en-CA"/>
              </w:rPr>
              <w:t xml:space="preserve">ultiple </w:t>
            </w:r>
            <w:r>
              <w:rPr>
                <w:rFonts w:cstheme="minorHAnsi"/>
                <w:bCs/>
                <w:i w:val="0"/>
                <w:iCs/>
              </w:rPr>
              <w:t>I</w:t>
            </w:r>
            <w:r>
              <w:rPr>
                <w:rFonts w:hint="default" w:cstheme="minorHAnsi"/>
                <w:bCs/>
                <w:i w:val="0"/>
                <w:iCs/>
                <w:lang w:val="en-CA"/>
              </w:rPr>
              <w:t xml:space="preserve">ndicator </w:t>
            </w:r>
            <w:r>
              <w:rPr>
                <w:rFonts w:cstheme="minorHAnsi"/>
                <w:bCs/>
                <w:i w:val="0"/>
                <w:iCs/>
              </w:rPr>
              <w:t>C</w:t>
            </w:r>
            <w:r>
              <w:rPr>
                <w:rFonts w:hint="default" w:cstheme="minorHAnsi"/>
                <w:bCs/>
                <w:i w:val="0"/>
                <w:iCs/>
                <w:lang w:val="en-CA"/>
              </w:rPr>
              <w:t xml:space="preserve">luster </w:t>
            </w:r>
            <w:r>
              <w:rPr>
                <w:rFonts w:cstheme="minorHAnsi"/>
                <w:bCs/>
                <w:i w:val="0"/>
                <w:iCs/>
              </w:rPr>
              <w:t>S</w:t>
            </w:r>
            <w:r>
              <w:rPr>
                <w:rFonts w:hint="default" w:cstheme="minorHAnsi"/>
                <w:bCs/>
                <w:i w:val="0"/>
                <w:iCs/>
                <w:lang w:val="en-CA"/>
              </w:rPr>
              <w:t xml:space="preserve">urvey (MICS), </w:t>
            </w:r>
            <w:r>
              <w:rPr>
                <w:rFonts w:cstheme="minorHAnsi"/>
                <w:bCs/>
                <w:i w:val="0"/>
                <w:iCs/>
              </w:rPr>
              <w:t xml:space="preserve">2011 and 2018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Early childhood development (ECD) sets the stage for life-long thriving. Investing in ECD is one of the most critical and cost-effective investments a country can make to improve adult health, education and productivity in order to build human capital and promote sustainable development. ECD is equity from the start and provides a good indication of national development. Efforts to improve ECD can bring about human, social and economic improvements for both individuals and societies.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52CB087B"/>
    <w:multiLevelType w:val="multilevel"/>
    <w:tmpl w:val="52CB087B"/>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66C"/>
    <w:rsid w:val="001B6829"/>
    <w:rsid w:val="001C1BC2"/>
    <w:rsid w:val="001E1E26"/>
    <w:rsid w:val="001F0C55"/>
    <w:rsid w:val="001F31C6"/>
    <w:rsid w:val="001F5EDF"/>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1442"/>
    <w:rsid w:val="0068379D"/>
    <w:rsid w:val="00693674"/>
    <w:rsid w:val="006A7EF1"/>
    <w:rsid w:val="006B0512"/>
    <w:rsid w:val="006B3527"/>
    <w:rsid w:val="006C075C"/>
    <w:rsid w:val="006C6768"/>
    <w:rsid w:val="006C783E"/>
    <w:rsid w:val="006E1A7D"/>
    <w:rsid w:val="006F104C"/>
    <w:rsid w:val="006F2038"/>
    <w:rsid w:val="006F50E8"/>
    <w:rsid w:val="007100BD"/>
    <w:rsid w:val="00713A8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4545"/>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8F3884"/>
    <w:rsid w:val="5A6773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E5590"/>
    <w:rsid w:val="00296525"/>
    <w:rsid w:val="0036646D"/>
    <w:rsid w:val="004E192F"/>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215834</Words>
  <Characters>1230258</Characters>
  <Lines>10252</Lines>
  <Paragraphs>2886</Paragraphs>
  <TotalTime>1</TotalTime>
  <ScaleCrop>false</ScaleCrop>
  <LinksUpToDate>false</LinksUpToDate>
  <CharactersWithSpaces>1443206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2021-11-02T13:59:00Z</dcterms:created>
  <dc:creator>Fanning, Stephen B (JMD)</dc:creator>
  <cp:lastModifiedBy>Doreen</cp:lastModifiedBy>
  <cp:lastPrinted>2020-04-16T14:23:00Z</cp:lastPrinted>
  <dcterms:modified xsi:type="dcterms:W3CDTF">2022-11-09T05:53:03Z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78E7DFF25FE7492E94DB4D7C59FBDF9E</vt:lpwstr>
  </property>
</Properties>
</file>