
<file path=[Content_Types].xml><?xml version="1.0" encoding="utf-8"?>
<Types xmlns="http://schemas.openxmlformats.org/package/2006/content-types">
  <Default Extension="xml" ContentType="application/xml"/>
  <Default Extension="wmf" ContentType="image/x-wmf"/>
  <Default Extension="emf" ContentType="image/x-e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15.1.1 Forest area as a proportion of total land area [15.1.1] (AG_LND_FRST)</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2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2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571"/>
            <w:bookmarkStart w:id="4" w:name="_Toc36812684"/>
            <w:bookmarkStart w:id="5" w:name="_Toc37932743"/>
            <w:bookmarkStart w:id="6" w:name="_Toc36655608"/>
            <w:bookmarkStart w:id="7" w:name="_Toc368130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rPr>
                <w:rFonts w:hint="default" w:asciiTheme="minorAscii" w:hAnsiTheme="minorAscii" w:cstheme="minorHAnsi"/>
                <w:sz w:val="22"/>
                <w:szCs w:val="22"/>
              </w:rPr>
            </w:pPr>
            <w:r>
              <w:rPr>
                <w:rFonts w:hint="default" w:eastAsia="SimSun" w:cs="SimSun" w:asciiTheme="minorAscii" w:hAnsiTheme="minorAscii"/>
                <w:sz w:val="22"/>
                <w:szCs w:val="22"/>
              </w:rPr>
              <w:t>Goal 15: Protect, restore and promote sustainable use of terrestrial ecosystems, sustainably manage forests, combat desertification, and halt and reverse land degradation and halt biodiversity loss</w:t>
            </w:r>
            <w:bookmarkStart w:id="38" w:name="_GoBack"/>
            <w:bookmarkEnd w:id="38"/>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autoSpaceDE w:val="0"/>
              <w:autoSpaceDN w:val="0"/>
              <w:adjustRightInd w:val="0"/>
              <w:spacing w:after="0" w:line="240" w:lineRule="auto"/>
              <w:rPr>
                <w:rFonts w:cstheme="minorHAnsi"/>
              </w:rPr>
            </w:pPr>
            <w:r>
              <w:rPr>
                <w:rFonts w:cstheme="minorHAnsi"/>
                <w:b w:val="0"/>
                <w:bCs w:val="0"/>
              </w:rPr>
              <w:t>Target 15.1</w:t>
            </w:r>
            <w:r>
              <w:rPr>
                <w:rFonts w:cstheme="minorHAnsi"/>
                <w:b/>
                <w:bCs/>
              </w:rPr>
              <w:t xml:space="preserve">: </w:t>
            </w:r>
            <w:r>
              <w:rPr>
                <w:rFonts w:cstheme="minorHAnsi"/>
              </w:rPr>
              <w:t>By 2030, ensure the conservation, restoration and sustainable use of terrestrial and</w:t>
            </w:r>
          </w:p>
          <w:p>
            <w:pPr>
              <w:autoSpaceDE w:val="0"/>
              <w:autoSpaceDN w:val="0"/>
              <w:adjustRightInd w:val="0"/>
              <w:spacing w:after="0" w:line="240" w:lineRule="auto"/>
              <w:rPr>
                <w:rFonts w:cstheme="minorHAnsi"/>
              </w:rPr>
            </w:pPr>
            <w:r>
              <w:rPr>
                <w:rFonts w:cstheme="minorHAnsi"/>
              </w:rPr>
              <w:t>inland freshwater ecosystems and their services, in particular forests, wetlands, mountains and dry</w:t>
            </w:r>
          </w:p>
          <w:p>
            <w:r>
              <w:rPr>
                <w:rFonts w:cstheme="minorHAnsi"/>
              </w:rPr>
              <w:t>lands, in line with obligations under international agreements.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pPr>
            <w:r>
              <w:t>Indicator 15.1.1: Forest area as a proportion of total land area</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r>
              <w:t>Food and Agriculture Organization of the United Nations (FAO)</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655609"/>
            <w:bookmarkStart w:id="9" w:name="_Toc37932744"/>
            <w:bookmarkStart w:id="10" w:name="_Toc36813072"/>
            <w:bookmarkStart w:id="11" w:name="_Toc36812685"/>
            <w:bookmarkStart w:id="12" w:name="_Toc368125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cstheme="minorHAnsi"/>
              </w:rPr>
            </w:pPr>
            <w:r>
              <w:rPr>
                <w:rFonts w:cstheme="minorHAnsi"/>
              </w:rPr>
              <w:t>Forestry Commission</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pPr>
              <w:rPr>
                <w:rFonts w:cstheme="minorHAnsi"/>
              </w:rPr>
            </w:pPr>
            <w:r>
              <w:rPr>
                <w:rFonts w:cstheme="minorHAnsi"/>
              </w:rPr>
              <w:t>District Forestry Officer</w:t>
            </w: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3073"/>
            <w:bookmarkStart w:id="14" w:name="_Toc36812573"/>
            <w:bookmarkStart w:id="15" w:name="_Toc36655610"/>
            <w:bookmarkStart w:id="16" w:name="_Toc36812686"/>
            <w:bookmarkStart w:id="17" w:name="_Toc37932745"/>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autoSpaceDE w:val="0"/>
              <w:autoSpaceDN w:val="0"/>
              <w:adjustRightInd w:val="0"/>
              <w:spacing w:after="0" w:line="240" w:lineRule="auto"/>
              <w:rPr>
                <w:rFonts w:cstheme="minorHAnsi"/>
                <w:b/>
                <w:bCs/>
              </w:rPr>
            </w:pPr>
            <w:r>
              <w:rPr>
                <w:rFonts w:cstheme="minorHAnsi"/>
                <w:b/>
                <w:bCs/>
              </w:rPr>
              <w:t>Definition:</w:t>
            </w:r>
          </w:p>
          <w:p>
            <w:pPr>
              <w:autoSpaceDE w:val="0"/>
              <w:autoSpaceDN w:val="0"/>
              <w:adjustRightInd w:val="0"/>
              <w:spacing w:after="0" w:line="240" w:lineRule="auto"/>
              <w:rPr>
                <w:rFonts w:cstheme="minorHAnsi"/>
              </w:rPr>
            </w:pPr>
            <w:r>
              <w:rPr>
                <w:rFonts w:cstheme="minorHAnsi"/>
              </w:rPr>
              <w:t>The indicator measures forest area as a proportion of total land area</w:t>
            </w:r>
          </w:p>
          <w:p>
            <w:pPr>
              <w:autoSpaceDE w:val="0"/>
              <w:autoSpaceDN w:val="0"/>
              <w:adjustRightInd w:val="0"/>
              <w:spacing w:after="0" w:line="240" w:lineRule="auto"/>
              <w:rPr>
                <w:rFonts w:cstheme="minorHAnsi"/>
                <w:b/>
                <w:bCs/>
              </w:rPr>
            </w:pPr>
            <w:r>
              <w:rPr>
                <w:rFonts w:cstheme="minorHAnsi"/>
                <w:b/>
                <w:bCs/>
              </w:rPr>
              <w:t>Concepts:</w:t>
            </w:r>
          </w:p>
          <w:p>
            <w:pPr>
              <w:autoSpaceDE w:val="0"/>
              <w:autoSpaceDN w:val="0"/>
              <w:adjustRightInd w:val="0"/>
              <w:spacing w:after="0" w:line="240" w:lineRule="auto"/>
              <w:rPr>
                <w:rFonts w:cstheme="minorHAnsi"/>
              </w:rPr>
            </w:pPr>
            <w:r>
              <w:rPr>
                <w:rFonts w:cstheme="minorHAnsi"/>
              </w:rPr>
              <w:t>In order to provide a precise definition of the indicator, it is crucial to provide a definition of</w:t>
            </w:r>
          </w:p>
          <w:p>
            <w:pPr>
              <w:autoSpaceDE w:val="0"/>
              <w:autoSpaceDN w:val="0"/>
              <w:adjustRightInd w:val="0"/>
              <w:spacing w:after="0" w:line="240" w:lineRule="auto"/>
              <w:rPr>
                <w:rFonts w:cstheme="minorHAnsi"/>
              </w:rPr>
            </w:pPr>
            <w:r>
              <w:rPr>
                <w:rFonts w:cstheme="minorHAnsi"/>
              </w:rPr>
              <w:t>“Forest” and “Total Land Area”.</w:t>
            </w:r>
          </w:p>
          <w:p>
            <w:pPr>
              <w:autoSpaceDE w:val="0"/>
              <w:autoSpaceDN w:val="0"/>
              <w:adjustRightInd w:val="0"/>
              <w:spacing w:after="0" w:line="240" w:lineRule="auto"/>
              <w:rPr>
                <w:rFonts w:cstheme="minorHAnsi"/>
              </w:rPr>
            </w:pPr>
            <w:r>
              <w:rPr>
                <w:rFonts w:cstheme="minorHAnsi"/>
              </w:rPr>
              <w:t>According to the FAO definitions, Forest is defined as: “land spanning more than 0.5 hectares with</w:t>
            </w:r>
          </w:p>
          <w:p>
            <w:pPr>
              <w:autoSpaceDE w:val="0"/>
              <w:autoSpaceDN w:val="0"/>
              <w:adjustRightInd w:val="0"/>
              <w:spacing w:after="0" w:line="240" w:lineRule="auto"/>
              <w:rPr>
                <w:rFonts w:cstheme="minorHAnsi"/>
              </w:rPr>
            </w:pPr>
            <w:r>
              <w:rPr>
                <w:rFonts w:cstheme="minorHAnsi"/>
              </w:rPr>
              <w:t>trees higher than 5 meters and a canopy cover of more than 10 percent, or trees able to reach these</w:t>
            </w:r>
          </w:p>
          <w:p>
            <w:pPr>
              <w:autoSpaceDE w:val="0"/>
              <w:autoSpaceDN w:val="0"/>
              <w:adjustRightInd w:val="0"/>
              <w:spacing w:after="0" w:line="240" w:lineRule="auto"/>
              <w:rPr>
                <w:rFonts w:cstheme="minorHAnsi"/>
              </w:rPr>
            </w:pPr>
            <w:r>
              <w:rPr>
                <w:rFonts w:cstheme="minorHAnsi"/>
              </w:rPr>
              <w:t>thresholds in situ. It does not include land that is predominantly under agricultural or urban land</w:t>
            </w:r>
          </w:p>
          <w:p>
            <w:pPr>
              <w:autoSpaceDE w:val="0"/>
              <w:autoSpaceDN w:val="0"/>
              <w:adjustRightInd w:val="0"/>
              <w:spacing w:after="0" w:line="240" w:lineRule="auto"/>
              <w:rPr>
                <w:rFonts w:cstheme="minorHAnsi"/>
              </w:rPr>
            </w:pPr>
            <w:r>
              <w:rPr>
                <w:rFonts w:cstheme="minorHAnsi"/>
              </w:rPr>
              <w:t>use”. More specifically:</w:t>
            </w:r>
          </w:p>
          <w:p>
            <w:pPr>
              <w:autoSpaceDE w:val="0"/>
              <w:autoSpaceDN w:val="0"/>
              <w:adjustRightInd w:val="0"/>
              <w:spacing w:after="0" w:line="240" w:lineRule="auto"/>
              <w:rPr>
                <w:rFonts w:cstheme="minorHAnsi"/>
              </w:rPr>
            </w:pPr>
            <w:r>
              <w:rPr>
                <w:rFonts w:cstheme="minorHAnsi"/>
              </w:rPr>
              <w:t>Forest is determined both by the presence of trees and the absence of other predominant land uses.</w:t>
            </w:r>
          </w:p>
          <w:p>
            <w:pPr>
              <w:autoSpaceDE w:val="0"/>
              <w:autoSpaceDN w:val="0"/>
              <w:adjustRightInd w:val="0"/>
              <w:spacing w:after="0" w:line="240" w:lineRule="auto"/>
              <w:rPr>
                <w:rFonts w:cstheme="minorHAnsi"/>
              </w:rPr>
            </w:pPr>
            <w:r>
              <w:rPr>
                <w:rFonts w:cstheme="minorHAnsi"/>
              </w:rPr>
              <w:t>The trees should be able to reach a minimum height of 5 meters.</w:t>
            </w:r>
          </w:p>
          <w:p>
            <w:pPr>
              <w:autoSpaceDE w:val="0"/>
              <w:autoSpaceDN w:val="0"/>
              <w:adjustRightInd w:val="0"/>
              <w:spacing w:after="0" w:line="240" w:lineRule="auto"/>
              <w:rPr>
                <w:rFonts w:cstheme="minorHAnsi"/>
              </w:rPr>
            </w:pPr>
            <w:r>
              <w:rPr>
                <w:rFonts w:cstheme="minorHAnsi"/>
              </w:rPr>
              <w:t>It includes areas with young trees that have not yet reached but which are expected to reach a</w:t>
            </w:r>
          </w:p>
          <w:p>
            <w:pPr>
              <w:autoSpaceDE w:val="0"/>
              <w:autoSpaceDN w:val="0"/>
              <w:adjustRightInd w:val="0"/>
              <w:spacing w:after="0" w:line="240" w:lineRule="auto"/>
              <w:rPr>
                <w:rFonts w:cstheme="minorHAnsi"/>
              </w:rPr>
            </w:pPr>
            <w:r>
              <w:rPr>
                <w:rFonts w:cstheme="minorHAnsi"/>
              </w:rPr>
              <w:t>canopy cover of at least 10 percent and tree height of 5 meters or more. It also includes areas</w:t>
            </w:r>
          </w:p>
          <w:p>
            <w:pPr>
              <w:autoSpaceDE w:val="0"/>
              <w:autoSpaceDN w:val="0"/>
              <w:adjustRightInd w:val="0"/>
              <w:spacing w:after="0" w:line="240" w:lineRule="auto"/>
              <w:rPr>
                <w:rFonts w:cstheme="minorHAnsi"/>
              </w:rPr>
            </w:pPr>
            <w:r>
              <w:rPr>
                <w:rFonts w:cstheme="minorHAnsi"/>
              </w:rPr>
              <w:t>that are temporarily unstocked due to clear-cutting as part of a forest management practice or</w:t>
            </w:r>
          </w:p>
          <w:p>
            <w:pPr>
              <w:autoSpaceDE w:val="0"/>
              <w:autoSpaceDN w:val="0"/>
              <w:adjustRightInd w:val="0"/>
              <w:spacing w:after="0" w:line="240" w:lineRule="auto"/>
              <w:rPr>
                <w:rFonts w:cstheme="minorHAnsi"/>
              </w:rPr>
            </w:pPr>
            <w:r>
              <w:rPr>
                <w:rFonts w:cstheme="minorHAnsi"/>
              </w:rPr>
              <w:t>natural disasters, and which are expected to be regenerated within 5 years. Local conditions may,</w:t>
            </w:r>
          </w:p>
          <w:p>
            <w:pPr>
              <w:autoSpaceDE w:val="0"/>
              <w:autoSpaceDN w:val="0"/>
              <w:adjustRightInd w:val="0"/>
              <w:spacing w:after="0" w:line="240" w:lineRule="auto"/>
              <w:rPr>
                <w:rFonts w:cstheme="minorHAnsi"/>
              </w:rPr>
            </w:pPr>
            <w:r>
              <w:rPr>
                <w:rFonts w:cstheme="minorHAnsi"/>
              </w:rPr>
              <w:t>in exceptional cases, justify that a longer time frame is used.</w:t>
            </w:r>
          </w:p>
          <w:p>
            <w:pPr>
              <w:autoSpaceDE w:val="0"/>
              <w:autoSpaceDN w:val="0"/>
              <w:adjustRightInd w:val="0"/>
              <w:spacing w:after="0" w:line="240" w:lineRule="auto"/>
              <w:rPr>
                <w:rFonts w:cstheme="minorHAnsi"/>
              </w:rPr>
            </w:pPr>
            <w:r>
              <w:rPr>
                <w:rFonts w:cstheme="minorHAnsi"/>
              </w:rPr>
              <w:t>It includes forest roads, firebreaks and other small open areas; forest in national parks, nature</w:t>
            </w:r>
          </w:p>
          <w:p>
            <w:pPr>
              <w:autoSpaceDE w:val="0"/>
              <w:autoSpaceDN w:val="0"/>
              <w:adjustRightInd w:val="0"/>
              <w:spacing w:after="0" w:line="240" w:lineRule="auto"/>
              <w:rPr>
                <w:rFonts w:cstheme="minorHAnsi"/>
              </w:rPr>
            </w:pPr>
            <w:r>
              <w:rPr>
                <w:rFonts w:cstheme="minorHAnsi"/>
              </w:rPr>
              <w:t>reserves and other protected areas such as those of specific environmental, scientific, historical,</w:t>
            </w:r>
          </w:p>
          <w:p>
            <w:pPr>
              <w:autoSpaceDE w:val="0"/>
              <w:autoSpaceDN w:val="0"/>
              <w:adjustRightInd w:val="0"/>
              <w:spacing w:after="0" w:line="240" w:lineRule="auto"/>
              <w:rPr>
                <w:rFonts w:cstheme="minorHAnsi"/>
              </w:rPr>
            </w:pPr>
            <w:r>
              <w:rPr>
                <w:rFonts w:cstheme="minorHAnsi"/>
              </w:rPr>
              <w:t>cultural or spiritual interest.</w:t>
            </w:r>
          </w:p>
          <w:p>
            <w:pPr>
              <w:autoSpaceDE w:val="0"/>
              <w:autoSpaceDN w:val="0"/>
              <w:adjustRightInd w:val="0"/>
              <w:spacing w:after="0" w:line="240" w:lineRule="auto"/>
              <w:rPr>
                <w:rFonts w:cstheme="minorHAnsi"/>
              </w:rPr>
            </w:pPr>
            <w:r>
              <w:rPr>
                <w:rFonts w:cstheme="minorHAnsi"/>
              </w:rPr>
              <w:t>It includes windbreaks, shelterbelts and corridors of trees with an area of more than 0.5 hectares</w:t>
            </w:r>
          </w:p>
          <w:p>
            <w:pPr>
              <w:rPr>
                <w:rFonts w:cstheme="minorHAnsi"/>
              </w:rPr>
            </w:pPr>
            <w:r>
              <w:rPr>
                <w:rFonts w:cstheme="minorHAnsi"/>
              </w:rPr>
              <w:t>and width of more than 20 meters.</w:t>
            </w:r>
          </w:p>
          <w:p>
            <w:pPr>
              <w:autoSpaceDE w:val="0"/>
              <w:autoSpaceDN w:val="0"/>
              <w:adjustRightInd w:val="0"/>
              <w:spacing w:after="0" w:line="240" w:lineRule="auto"/>
              <w:rPr>
                <w:rFonts w:cstheme="minorHAnsi"/>
              </w:rPr>
            </w:pPr>
            <w:r>
              <w:rPr>
                <w:rFonts w:cstheme="minorHAnsi"/>
              </w:rPr>
              <w:t>It includes abandoned shifting cultivation land with a regeneration of trees that have, or are expected</w:t>
            </w:r>
          </w:p>
          <w:p>
            <w:pPr>
              <w:autoSpaceDE w:val="0"/>
              <w:autoSpaceDN w:val="0"/>
              <w:adjustRightInd w:val="0"/>
              <w:spacing w:after="0" w:line="240" w:lineRule="auto"/>
              <w:rPr>
                <w:rFonts w:cstheme="minorHAnsi"/>
              </w:rPr>
            </w:pPr>
            <w:r>
              <w:rPr>
                <w:rFonts w:cstheme="minorHAnsi"/>
              </w:rPr>
              <w:t>to reach, a canopy cover of at least 10 percent and tree height of at least 5 meters.</w:t>
            </w:r>
          </w:p>
          <w:p>
            <w:pPr>
              <w:autoSpaceDE w:val="0"/>
              <w:autoSpaceDN w:val="0"/>
              <w:adjustRightInd w:val="0"/>
              <w:spacing w:after="0" w:line="240" w:lineRule="auto"/>
              <w:rPr>
                <w:rFonts w:cstheme="minorHAnsi"/>
              </w:rPr>
            </w:pPr>
            <w:r>
              <w:rPr>
                <w:rFonts w:cstheme="minorHAnsi"/>
              </w:rPr>
              <w:t>It includes areas with mangroves in tidal zones, regardless whether this area is classified as land</w:t>
            </w:r>
          </w:p>
          <w:p>
            <w:pPr>
              <w:autoSpaceDE w:val="0"/>
              <w:autoSpaceDN w:val="0"/>
              <w:adjustRightInd w:val="0"/>
              <w:spacing w:after="0" w:line="240" w:lineRule="auto"/>
              <w:rPr>
                <w:rFonts w:cstheme="minorHAnsi"/>
              </w:rPr>
            </w:pPr>
            <w:r>
              <w:rPr>
                <w:rFonts w:cstheme="minorHAnsi"/>
              </w:rPr>
              <w:t>area or not.</w:t>
            </w:r>
          </w:p>
          <w:p>
            <w:pPr>
              <w:autoSpaceDE w:val="0"/>
              <w:autoSpaceDN w:val="0"/>
              <w:adjustRightInd w:val="0"/>
              <w:spacing w:after="0" w:line="240" w:lineRule="auto"/>
              <w:rPr>
                <w:rFonts w:cstheme="minorHAnsi"/>
              </w:rPr>
            </w:pPr>
            <w:r>
              <w:rPr>
                <w:rFonts w:cstheme="minorHAnsi"/>
              </w:rPr>
              <w:t>It includes rubber wood, cork oak and Christmas tree plantations.</w:t>
            </w:r>
          </w:p>
          <w:p>
            <w:pPr>
              <w:autoSpaceDE w:val="0"/>
              <w:autoSpaceDN w:val="0"/>
              <w:adjustRightInd w:val="0"/>
              <w:spacing w:after="0" w:line="240" w:lineRule="auto"/>
              <w:rPr>
                <w:rFonts w:cstheme="minorHAnsi"/>
              </w:rPr>
            </w:pPr>
            <w:r>
              <w:rPr>
                <w:rFonts w:cstheme="minorHAnsi"/>
              </w:rPr>
              <w:t>It includes areas with bamboo and palms provided that land use, height and canopy cover criteria</w:t>
            </w:r>
          </w:p>
          <w:p>
            <w:pPr>
              <w:autoSpaceDE w:val="0"/>
              <w:autoSpaceDN w:val="0"/>
              <w:adjustRightInd w:val="0"/>
              <w:spacing w:after="0" w:line="240" w:lineRule="auto"/>
              <w:rPr>
                <w:rFonts w:cstheme="minorHAnsi"/>
              </w:rPr>
            </w:pPr>
            <w:r>
              <w:rPr>
                <w:rFonts w:cstheme="minorHAnsi"/>
              </w:rPr>
              <w:t>are met.</w:t>
            </w:r>
          </w:p>
          <w:p>
            <w:pPr>
              <w:autoSpaceDE w:val="0"/>
              <w:autoSpaceDN w:val="0"/>
              <w:adjustRightInd w:val="0"/>
              <w:spacing w:after="0" w:line="240" w:lineRule="auto"/>
              <w:rPr>
                <w:rFonts w:cstheme="minorHAnsi"/>
              </w:rPr>
            </w:pPr>
            <w:r>
              <w:rPr>
                <w:rFonts w:cstheme="minorHAnsi"/>
              </w:rPr>
              <w:t>It excludes tree stands in agricultural production systems, such as fruit tree plantations, oil palm</w:t>
            </w:r>
          </w:p>
          <w:p>
            <w:pPr>
              <w:autoSpaceDE w:val="0"/>
              <w:autoSpaceDN w:val="0"/>
              <w:adjustRightInd w:val="0"/>
              <w:spacing w:after="0" w:line="240" w:lineRule="auto"/>
              <w:rPr>
                <w:rFonts w:cstheme="minorHAnsi"/>
              </w:rPr>
            </w:pPr>
            <w:r>
              <w:rPr>
                <w:rFonts w:cstheme="minorHAnsi"/>
              </w:rPr>
              <w:t>plantations, olive orchards and agroforestry systems when crops are grown under tree cover. Note:</w:t>
            </w:r>
          </w:p>
          <w:p>
            <w:pPr>
              <w:autoSpaceDE w:val="0"/>
              <w:autoSpaceDN w:val="0"/>
              <w:adjustRightInd w:val="0"/>
              <w:spacing w:after="0" w:line="240" w:lineRule="auto"/>
              <w:rPr>
                <w:rFonts w:cstheme="minorHAnsi"/>
              </w:rPr>
            </w:pPr>
            <w:r>
              <w:rPr>
                <w:rFonts w:cstheme="minorHAnsi"/>
              </w:rPr>
              <w:t>Some agroforestry systems such as the “Taungya” system where crops are grown only during the</w:t>
            </w:r>
          </w:p>
          <w:p>
            <w:pPr>
              <w:autoSpaceDE w:val="0"/>
              <w:autoSpaceDN w:val="0"/>
              <w:adjustRightInd w:val="0"/>
              <w:spacing w:after="0" w:line="240" w:lineRule="auto"/>
              <w:rPr>
                <w:rFonts w:cstheme="minorHAnsi"/>
              </w:rPr>
            </w:pPr>
            <w:r>
              <w:rPr>
                <w:rFonts w:cstheme="minorHAnsi"/>
              </w:rPr>
              <w:t>first years of the forest rotation should be classified as forest</w:t>
            </w:r>
          </w:p>
          <w:p>
            <w:pPr>
              <w:autoSpaceDE w:val="0"/>
              <w:autoSpaceDN w:val="0"/>
              <w:adjustRightInd w:val="0"/>
              <w:spacing w:after="0" w:line="240" w:lineRule="auto"/>
              <w:rPr>
                <w:rFonts w:cstheme="minorHAnsi"/>
              </w:rPr>
            </w:pPr>
            <w:r>
              <w:rPr>
                <w:rFonts w:cstheme="minorHAnsi"/>
              </w:rPr>
              <w:t>Total land area is the total surface area of a country less the area covered by inland waters, like</w:t>
            </w:r>
          </w:p>
          <w:p>
            <w:r>
              <w:rPr>
                <w:rFonts w:cstheme="minorHAnsi"/>
              </w:rPr>
              <w:t>major rivers and lakes.</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autoSpaceDE w:val="0"/>
              <w:autoSpaceDN w:val="0"/>
              <w:adjustRightInd w:val="0"/>
              <w:spacing w:after="0" w:line="240" w:lineRule="auto"/>
              <w:rPr>
                <w:rFonts w:cstheme="minorHAnsi"/>
              </w:rPr>
            </w:pPr>
            <w:r>
              <w:rPr>
                <w:rFonts w:cstheme="minorHAnsi"/>
              </w:rPr>
              <w:t>The data source is administrative data, specifically total land sizes and forest sizes collected from</w:t>
            </w:r>
          </w:p>
          <w:p>
            <w:pPr>
              <w:autoSpaceDE w:val="0"/>
              <w:autoSpaceDN w:val="0"/>
              <w:adjustRightInd w:val="0"/>
              <w:spacing w:after="0" w:line="240" w:lineRule="auto"/>
              <w:rPr>
                <w:rFonts w:cstheme="minorHAnsi"/>
              </w:rPr>
            </w:pPr>
            <w:r>
              <w:rPr>
                <w:rFonts w:cstheme="minorHAnsi"/>
              </w:rPr>
              <w:t>Forestry Commission and GSS. This information at MMDA level is harnessed by the Planning unit</w:t>
            </w:r>
          </w:p>
          <w:p>
            <w:r>
              <w:rPr>
                <w:rFonts w:cstheme="minorHAnsi"/>
              </w:rPr>
              <w:t>of the Assembly.</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pPr>
              <w:autoSpaceDE w:val="0"/>
              <w:autoSpaceDN w:val="0"/>
              <w:adjustRightInd w:val="0"/>
              <w:spacing w:after="0" w:line="240" w:lineRule="auto"/>
              <w:rPr>
                <w:rFonts w:cstheme="minorHAnsi"/>
              </w:rPr>
            </w:pPr>
            <w:r>
              <w:rPr>
                <w:rFonts w:cstheme="minorHAnsi"/>
              </w:rPr>
              <w:t>For comparability across MMDAs, a standardized data collection template should be developed</w:t>
            </w:r>
          </w:p>
          <w:p>
            <w:pPr>
              <w:autoSpaceDE w:val="0"/>
              <w:autoSpaceDN w:val="0"/>
              <w:adjustRightInd w:val="0"/>
              <w:spacing w:after="0" w:line="240" w:lineRule="auto"/>
              <w:rPr>
                <w:rFonts w:cstheme="minorHAnsi"/>
              </w:rPr>
            </w:pPr>
            <w:r>
              <w:rPr>
                <w:rFonts w:cstheme="minorHAnsi"/>
              </w:rPr>
              <w:t>by the MMDAs and administered to the Forestry Commission to complete with the relevant</w:t>
            </w:r>
          </w:p>
          <w:p>
            <w:r>
              <w:rPr>
                <w:rFonts w:cstheme="minorHAnsi"/>
              </w:rPr>
              <w:t>information. The data collection instrument should collect information on the size of forest area.</w:t>
            </w: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688"/>
            <w:bookmarkStart w:id="21" w:name="_Toc36812575"/>
            <w:bookmarkStart w:id="22" w:name="_Toc36655612"/>
            <w:bookmarkStart w:id="23" w:name="_Toc37932747"/>
            <w:bookmarkStart w:id="24" w:name="_Toc368130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autoSpaceDE w:val="0"/>
              <w:autoSpaceDN w:val="0"/>
              <w:adjustRightInd w:val="0"/>
              <w:spacing w:after="0" w:line="240" w:lineRule="auto"/>
              <w:rPr>
                <w:rFonts w:cstheme="minorHAnsi"/>
              </w:rPr>
            </w:pPr>
            <w:r>
              <w:rPr>
                <w:rFonts w:cstheme="minorHAnsi"/>
              </w:rPr>
              <w:t>Forests fulfil a number of functions that are vital for humanity, including the provision of goods</w:t>
            </w:r>
          </w:p>
          <w:p>
            <w:pPr>
              <w:autoSpaceDE w:val="0"/>
              <w:autoSpaceDN w:val="0"/>
              <w:adjustRightInd w:val="0"/>
              <w:spacing w:after="0" w:line="240" w:lineRule="auto"/>
              <w:rPr>
                <w:rFonts w:cstheme="minorHAnsi"/>
              </w:rPr>
            </w:pPr>
            <w:r>
              <w:rPr>
                <w:rFonts w:cstheme="minorHAnsi"/>
              </w:rPr>
              <w:t>(wood and non-wood forest products) and services such as habitat for biodiversity, carbon</w:t>
            </w:r>
          </w:p>
          <w:p>
            <w:pPr>
              <w:autoSpaceDE w:val="0"/>
              <w:autoSpaceDN w:val="0"/>
              <w:adjustRightInd w:val="0"/>
              <w:spacing w:after="0" w:line="240" w:lineRule="auto"/>
              <w:rPr>
                <w:rFonts w:cstheme="minorHAnsi"/>
              </w:rPr>
            </w:pPr>
            <w:r>
              <w:rPr>
                <w:rFonts w:cstheme="minorHAnsi"/>
              </w:rPr>
              <w:t>sequestration, coastal protection and soil and water conservation.</w:t>
            </w:r>
          </w:p>
          <w:p>
            <w:pPr>
              <w:autoSpaceDE w:val="0"/>
              <w:autoSpaceDN w:val="0"/>
              <w:adjustRightInd w:val="0"/>
              <w:spacing w:after="0" w:line="240" w:lineRule="auto"/>
              <w:rPr>
                <w:rFonts w:cstheme="minorHAnsi"/>
              </w:rPr>
            </w:pPr>
            <w:r>
              <w:rPr>
                <w:rFonts w:cstheme="minorHAnsi"/>
              </w:rPr>
              <w:t>The indicator provides a measure of the relative extent of forest in the District. The availability of</w:t>
            </w:r>
          </w:p>
          <w:p>
            <w:pPr>
              <w:autoSpaceDE w:val="0"/>
              <w:autoSpaceDN w:val="0"/>
              <w:adjustRightInd w:val="0"/>
              <w:spacing w:after="0" w:line="240" w:lineRule="auto"/>
              <w:rPr>
                <w:rFonts w:cstheme="minorHAnsi"/>
              </w:rPr>
            </w:pPr>
            <w:r>
              <w:rPr>
                <w:rFonts w:cstheme="minorHAnsi"/>
              </w:rPr>
              <w:t>accurate data on a district forest area is a key element for forest policy and planning within the</w:t>
            </w:r>
          </w:p>
          <w:p>
            <w:pPr>
              <w:autoSpaceDE w:val="0"/>
              <w:autoSpaceDN w:val="0"/>
              <w:adjustRightInd w:val="0"/>
              <w:spacing w:after="0" w:line="240" w:lineRule="auto"/>
              <w:rPr>
                <w:rFonts w:cstheme="minorHAnsi"/>
              </w:rPr>
            </w:pPr>
            <w:r>
              <w:rPr>
                <w:rFonts w:cstheme="minorHAnsi"/>
              </w:rPr>
              <w:t>context of sustainable development.</w:t>
            </w:r>
          </w:p>
          <w:p>
            <w:pPr>
              <w:autoSpaceDE w:val="0"/>
              <w:autoSpaceDN w:val="0"/>
              <w:adjustRightInd w:val="0"/>
              <w:spacing w:after="0" w:line="240" w:lineRule="auto"/>
              <w:rPr>
                <w:rFonts w:cstheme="minorHAnsi"/>
              </w:rPr>
            </w:pPr>
            <w:r>
              <w:rPr>
                <w:rFonts w:cstheme="minorHAnsi"/>
              </w:rPr>
              <w:t>Changes in forest area reflect the demand for land for other uses and may help identify unsustainable</w:t>
            </w:r>
          </w:p>
          <w:p>
            <w:pPr>
              <w:rPr>
                <w:rFonts w:cstheme="minorHAnsi"/>
              </w:rPr>
            </w:pPr>
            <w:r>
              <w:rPr>
                <w:rFonts w:cstheme="minorHAnsi"/>
              </w:rPr>
              <w:t>practices in the forestry and agricultural sector.</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pPr>
              <w:autoSpaceDE w:val="0"/>
              <w:autoSpaceDN w:val="0"/>
              <w:adjustRightInd w:val="0"/>
              <w:spacing w:after="0" w:line="240" w:lineRule="auto"/>
              <w:rPr>
                <w:rFonts w:cstheme="minorHAnsi"/>
              </w:rPr>
            </w:pPr>
            <w:r>
              <w:rPr>
                <w:rFonts w:cstheme="minorHAnsi"/>
              </w:rPr>
              <w:t>Assessment of forest area is carried out at infrequent intervals in many countries. Access to remote</w:t>
            </w:r>
          </w:p>
          <w:p>
            <w:pPr>
              <w:autoSpaceDE w:val="0"/>
              <w:autoSpaceDN w:val="0"/>
              <w:adjustRightInd w:val="0"/>
              <w:spacing w:after="0" w:line="240" w:lineRule="auto"/>
              <w:rPr>
                <w:rFonts w:cstheme="minorHAnsi"/>
              </w:rPr>
            </w:pPr>
            <w:r>
              <w:rPr>
                <w:rFonts w:cstheme="minorHAnsi"/>
              </w:rPr>
              <w:t>sensing imagery has improved in recent years, but remote sensing techniques have limitations</w:t>
            </w:r>
          </w:p>
          <w:p>
            <w:pPr>
              <w:autoSpaceDE w:val="0"/>
              <w:autoSpaceDN w:val="0"/>
              <w:adjustRightInd w:val="0"/>
              <w:spacing w:after="0" w:line="240" w:lineRule="auto"/>
              <w:rPr>
                <w:rFonts w:cstheme="minorHAnsi"/>
              </w:rPr>
            </w:pPr>
            <w:r>
              <w:rPr>
                <w:rFonts w:cstheme="minorHAnsi"/>
              </w:rPr>
              <w:t>In particular there are limitations to assess land use (remote sensing primarily assesses land cover),</w:t>
            </w:r>
          </w:p>
          <w:p>
            <w:pPr>
              <w:autoSpaceDE w:val="0"/>
              <w:autoSpaceDN w:val="0"/>
              <w:adjustRightInd w:val="0"/>
              <w:spacing w:after="0" w:line="240" w:lineRule="auto"/>
              <w:rPr>
                <w:rFonts w:cstheme="minorHAnsi"/>
              </w:rPr>
            </w:pPr>
            <w:r>
              <w:rPr>
                <w:rFonts w:cstheme="minorHAnsi"/>
              </w:rPr>
              <w:t>and some slow changes such as forest regrowth cannot easily be observed with remote sensing</w:t>
            </w:r>
          </w:p>
          <w:p>
            <w:pPr>
              <w:autoSpaceDE w:val="0"/>
              <w:autoSpaceDN w:val="0"/>
              <w:adjustRightInd w:val="0"/>
              <w:spacing w:after="0" w:line="240" w:lineRule="auto"/>
              <w:rPr>
                <w:rFonts w:cstheme="minorHAnsi"/>
              </w:rPr>
            </w:pPr>
            <w:r>
              <w:rPr>
                <w:rFonts w:cstheme="minorHAnsi"/>
              </w:rPr>
              <w:t>techniques and require long time periods in order to detect. In addition, forest area with low canopy</w:t>
            </w:r>
          </w:p>
          <w:p>
            <w:pPr>
              <w:autoSpaceDE w:val="0"/>
              <w:autoSpaceDN w:val="0"/>
              <w:adjustRightInd w:val="0"/>
              <w:spacing w:after="0" w:line="240" w:lineRule="auto"/>
              <w:rPr>
                <w:rFonts w:cstheme="minorHAnsi"/>
              </w:rPr>
            </w:pPr>
            <w:r>
              <w:rPr>
                <w:rFonts w:cstheme="minorHAnsi"/>
              </w:rPr>
              <w:t>cover density</w:t>
            </w:r>
          </w:p>
          <w:p>
            <w:pPr>
              <w:autoSpaceDE w:val="0"/>
              <w:autoSpaceDN w:val="0"/>
              <w:adjustRightInd w:val="0"/>
              <w:spacing w:after="0" w:line="240" w:lineRule="auto"/>
              <w:rPr>
                <w:rFonts w:cstheme="minorHAnsi"/>
              </w:rPr>
            </w:pPr>
            <w:r>
              <w:rPr>
                <w:rFonts w:cstheme="minorHAnsi"/>
              </w:rPr>
              <w:t>Data collection at the MMDAs Forestry Commission Secretariats may take a relatively long time in</w:t>
            </w:r>
          </w:p>
          <w:p>
            <w:r>
              <w:rPr>
                <w:rFonts w:cstheme="minorHAnsi"/>
              </w:rPr>
              <w:t>view of the fact that data on forests may not be digitized.</w:t>
            </w: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autoSpaceDE w:val="0"/>
              <w:autoSpaceDN w:val="0"/>
              <w:adjustRightInd w:val="0"/>
              <w:spacing w:after="0" w:line="240" w:lineRule="auto"/>
              <w:rPr>
                <w:rFonts w:cstheme="minorHAnsi"/>
                <w:b/>
                <w:bCs/>
              </w:rPr>
            </w:pPr>
            <w:r>
              <w:rPr>
                <w:rFonts w:cstheme="minorHAnsi"/>
                <w:b/>
                <w:bCs/>
              </w:rPr>
              <w:t>Method of computation:</w:t>
            </w:r>
          </w:p>
          <w:p>
            <w:pPr>
              <w:autoSpaceDE w:val="0"/>
              <w:autoSpaceDN w:val="0"/>
              <w:adjustRightInd w:val="0"/>
              <w:spacing w:after="0" w:line="240" w:lineRule="auto"/>
              <w:rPr>
                <w:rFonts w:cstheme="minorHAnsi"/>
              </w:rPr>
            </w:pPr>
            <w:r>
              <w:rPr>
                <w:rFonts w:cstheme="minorHAnsi"/>
              </w:rPr>
              <w:t>The proposed computation would be:</w:t>
            </w:r>
          </w:p>
          <w:p>
            <w:pPr>
              <w:rPr>
                <w:rFonts w:cstheme="minorHAnsi"/>
              </w:rPr>
            </w:pPr>
            <w:r>
              <w:rPr>
                <w:rFonts w:cstheme="minorHAnsi"/>
              </w:rPr>
              <w:t>Forest Area as a Proportion of Land Area=</w:t>
            </w:r>
            <w:r>
              <w:rPr>
                <w:rFonts w:cstheme="minorHAnsi"/>
              </w:rPr>
              <w:drawing>
                <wp:inline distT="0" distB="0" distL="0" distR="0">
                  <wp:extent cx="1133475" cy="438150"/>
                  <wp:effectExtent l="0" t="0" r="952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a:xfrm>
                            <a:off x="0" y="0"/>
                            <a:ext cx="1133475" cy="438150"/>
                          </a:xfrm>
                          <a:prstGeom prst="rect">
                            <a:avLst/>
                          </a:prstGeom>
                          <a:noFill/>
                          <a:ln>
                            <a:noFill/>
                          </a:ln>
                        </pic:spPr>
                      </pic:pic>
                    </a:graphicData>
                  </a:graphic>
                </wp:inline>
              </w:drawing>
            </w:r>
          </w:p>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pPr>
              <w:autoSpaceDE w:val="0"/>
              <w:autoSpaceDN w:val="0"/>
              <w:adjustRightInd w:val="0"/>
              <w:spacing w:after="0" w:line="240" w:lineRule="auto"/>
              <w:rPr>
                <w:rFonts w:cstheme="minorHAnsi"/>
              </w:rPr>
            </w:pPr>
            <w:r>
              <w:rPr>
                <w:rFonts w:cstheme="minorHAnsi"/>
              </w:rPr>
              <w:t>Rigorous review processes are undertaken to ensure correct use of definitions and methodology as</w:t>
            </w:r>
          </w:p>
          <w:p>
            <w:r>
              <w:rPr>
                <w:rFonts w:cstheme="minorHAnsi"/>
              </w:rPr>
              <w:t>well as internal consistency.</w:t>
            </w: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689"/>
            <w:bookmarkStart w:id="26" w:name="_Toc37932748"/>
            <w:bookmarkStart w:id="27" w:name="_Toc36813076"/>
            <w:bookmarkStart w:id="28" w:name="_Toc36812576"/>
            <w:bookmarkStart w:id="29" w:name="_Toc36655613"/>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autoSpaceDE w:val="0"/>
              <w:autoSpaceDN w:val="0"/>
              <w:adjustRightInd w:val="0"/>
              <w:spacing w:after="0" w:line="240" w:lineRule="auto"/>
              <w:rPr>
                <w:rFonts w:cstheme="minorHAnsi"/>
                <w:b/>
                <w:bCs/>
              </w:rPr>
            </w:pPr>
            <w:r>
              <w:rPr>
                <w:rFonts w:cstheme="minorHAnsi"/>
                <w:b/>
                <w:bCs/>
              </w:rPr>
              <w:t>Data availability and gaps:</w:t>
            </w:r>
          </w:p>
          <w:p>
            <w:pPr>
              <w:autoSpaceDE w:val="0"/>
              <w:autoSpaceDN w:val="0"/>
              <w:adjustRightInd w:val="0"/>
              <w:spacing w:after="0" w:line="240" w:lineRule="auto"/>
              <w:rPr>
                <w:rFonts w:cstheme="minorHAnsi"/>
              </w:rPr>
            </w:pPr>
            <w:r>
              <w:rPr>
                <w:rFonts w:cstheme="minorHAnsi"/>
              </w:rPr>
              <w:t>Administrative data are routinely produced by Forestry Commission.</w:t>
            </w:r>
          </w:p>
          <w:p>
            <w:pPr>
              <w:autoSpaceDE w:val="0"/>
              <w:autoSpaceDN w:val="0"/>
              <w:adjustRightInd w:val="0"/>
              <w:spacing w:after="0" w:line="240" w:lineRule="auto"/>
              <w:rPr>
                <w:rFonts w:cstheme="minorHAnsi"/>
                <w:b/>
                <w:bCs/>
              </w:rPr>
            </w:pPr>
            <w:r>
              <w:rPr>
                <w:rFonts w:cstheme="minorHAnsi"/>
                <w:b/>
                <w:bCs/>
              </w:rPr>
              <w:t>Disaggregation:</w:t>
            </w:r>
          </w:p>
          <w:p>
            <w:r>
              <w:rPr>
                <w:rFonts w:cstheme="minorHAnsi"/>
              </w:rPr>
              <w:t>No further disaggregation of this indicator</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pPr>
              <w:rPr>
                <w:rFonts w:cstheme="minorHAnsi"/>
              </w:rPr>
            </w:pPr>
            <w:r>
              <w:rPr>
                <w:rFonts w:cstheme="minorHAnsi"/>
              </w:rPr>
              <w:t>Internationally comparable</w:t>
            </w: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autoSpaceDE w:val="0"/>
              <w:autoSpaceDN w:val="0"/>
              <w:adjustRightInd w:val="0"/>
              <w:spacing w:after="0" w:line="240" w:lineRule="auto"/>
              <w:rPr>
                <w:rFonts w:cstheme="minorHAnsi"/>
                <w:b/>
                <w:bCs/>
              </w:rPr>
            </w:pPr>
            <w:r>
              <w:rPr>
                <w:rFonts w:cstheme="minorHAnsi"/>
                <w:b/>
                <w:bCs/>
              </w:rPr>
              <w:t>URL:</w:t>
            </w:r>
          </w:p>
          <w:p>
            <w:pPr>
              <w:autoSpaceDE w:val="0"/>
              <w:autoSpaceDN w:val="0"/>
              <w:adjustRightInd w:val="0"/>
              <w:spacing w:after="0" w:line="240" w:lineRule="auto"/>
              <w:rPr>
                <w:rFonts w:cstheme="minorHAnsi"/>
              </w:rPr>
            </w:pPr>
            <w:r>
              <w:rPr>
                <w:rFonts w:cstheme="minorHAnsi"/>
              </w:rPr>
              <w:t>http://www.fao.org/forest-resources-assessment/en/</w:t>
            </w:r>
          </w:p>
          <w:p>
            <w:pPr>
              <w:autoSpaceDE w:val="0"/>
              <w:autoSpaceDN w:val="0"/>
              <w:adjustRightInd w:val="0"/>
              <w:spacing w:after="0" w:line="240" w:lineRule="auto"/>
              <w:rPr>
                <w:rFonts w:cstheme="minorHAnsi"/>
              </w:rPr>
            </w:pPr>
            <w:r>
              <w:rPr>
                <w:rFonts w:cstheme="minorHAnsi"/>
              </w:rPr>
              <w:t>http://www.fao.org/forest-resources-assessment/current-assessment/en/</w:t>
            </w:r>
          </w:p>
          <w:p>
            <w:r>
              <w:rPr>
                <w:rFonts w:cstheme="minorHAnsi"/>
              </w:rPr>
              <w:t>“Guide for country reporting for FRA 2015”, http://www.fao.org/3/a-au190e.pdf.</w:t>
            </w: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03D40"/>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D6A"/>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D5302"/>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1C527C76"/>
    <w:rsid w:val="40E84A9A"/>
    <w:rsid w:val="4F447B50"/>
    <w:rsid w:val="655E7B70"/>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2">
    <w:name w:val="Unresolved Mention"/>
    <w:basedOn w:val="4"/>
    <w:semiHidden/>
    <w:unhideWhenUsed/>
    <w:qFormat/>
    <w:uiPriority w:val="99"/>
    <w:rPr>
      <w:color w:val="605E5C"/>
      <w:shd w:val="clear" w:color="auto" w:fill="E1DFDD"/>
    </w:rPr>
  </w:style>
  <w:style w:type="character" w:customStyle="1" w:styleId="53">
    <w:name w:val="hidden-sm"/>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3" Type="http://schemas.openxmlformats.org/officeDocument/2006/relationships/glossaryDocument" Target="glossary/document.xml"/><Relationship Id="rId22" Type="http://schemas.openxmlformats.org/officeDocument/2006/relationships/fontTable" Target="fontTable.xml"/><Relationship Id="rId21" Type="http://schemas.microsoft.com/office/2006/relationships/vbaProject" Target="vbaProject.bin"/><Relationship Id="rId20" Type="http://schemas.openxmlformats.org/officeDocument/2006/relationships/customXml" Target="../customXml/item4.xml"/><Relationship Id="rId2" Type="http://schemas.openxmlformats.org/officeDocument/2006/relationships/settings" Target="settings.xml"/><Relationship Id="rId19" Type="http://schemas.openxmlformats.org/officeDocument/2006/relationships/customXml" Target="../customXml/item3.xml"/><Relationship Id="rId18" Type="http://schemas.openxmlformats.org/officeDocument/2006/relationships/customXml" Target="../customXml/item2.xml"/><Relationship Id="rId17" Type="http://schemas.openxmlformats.org/officeDocument/2006/relationships/customXml" Target="../customXml/item1.xml"/><Relationship Id="rId16" Type="http://schemas.openxmlformats.org/officeDocument/2006/relationships/image" Target="media/image5.emf"/><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3.bin"/></Relationships>
</file>

<file path=word/activeX/_rels/activeX2.xml.rels><?xml version="1.0" encoding="UTF-8" standalone="yes"?>
<Relationships xmlns="http://schemas.openxmlformats.org/package/2006/relationships"><Relationship Id="rId1" Type="http://schemas.microsoft.com/office/2006/relationships/activeXControlBinary" Target="activeX4.bin"/></Relationships>
</file>

<file path=word/activeX/_rels/activeX3.xml.rels><?xml version="1.0" encoding="UTF-8" standalone="yes"?>
<Relationships xmlns="http://schemas.openxmlformats.org/package/2006/relationships"><Relationship Id="rId1" Type="http://schemas.microsoft.com/office/2006/relationships/activeXControlBinary" Target="activeX1.bin"/></Relationships>
</file>

<file path=word/activeX/_rels/activeX4.xml.rels><?xml version="1.0" encoding="UTF-8" standalone="yes"?>
<Relationships xmlns="http://schemas.openxmlformats.org/package/2006/relationships"><Relationship Id="rId1" Type="http://schemas.microsoft.com/office/2006/relationships/activeXControlBinary" Target="activeX2.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3C5765"/>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13</Pages>
  <Words>216181</Words>
  <Characters>1232237</Characters>
  <Lines>10268</Lines>
  <Paragraphs>2891</Paragraphs>
  <TotalTime>78</TotalTime>
  <ScaleCrop>false</ScaleCrop>
  <LinksUpToDate>false</LinksUpToDate>
  <CharactersWithSpaces>1445527</CharactersWithSpaces>
  <Application>WPS Office_11.2.0.11341_F1E327BC-269C-435d-A152-05C5408002CA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2021-10-18T15:27:00Z</dcterms:created>
  <dc:creator>Fanning, Stephen B (JMD)</dc:creator>
  <cp:lastModifiedBy>Doreen</cp:lastModifiedBy>
  <cp:lastPrinted>2020-04-16T14:23:00Z</cp:lastPrinted>
  <dcterms:modified xsi:type="dcterms:W3CDTF">2022-10-20T07:03:11Z</dcterms:modified>
  <cp:revision>3</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1033-11.2.0.11341</vt:lpwstr>
  </property>
  <property fmtid="{D5CDD505-2E9C-101B-9397-08002B2CF9AE}" pid="4" name="ICV">
    <vt:lpwstr>E1A179731CF0458693EDE47538D64432</vt:lpwstr>
  </property>
</Properties>
</file>