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15.3.1 Proportion of land that is degraded over total land area [15.3.1] (AG_LND_DGRD)</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4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4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pPr>
            <w:r>
              <w:t>Target 15.3: By 2030, combat desertification, restore degraded land and soil, including land affected by desertification, drought and floods, and strive to achieve a land degradation-neutral world</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pPr>
            <w:r>
              <w:t>Indicator 15.3.1: Proportion of land that is degraded over total land area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2.4.1</w:t>
            </w:r>
          </w:p>
          <w:p>
            <w:r>
              <w:t>6.6.1</w:t>
            </w:r>
          </w:p>
          <w:p>
            <w:r>
              <w:t>11.3.1</w:t>
            </w:r>
          </w:p>
          <w:p>
            <w:r>
              <w:t>15.1.1</w:t>
            </w:r>
          </w:p>
          <w:p>
            <w:r>
              <w:t>15.2.1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Convention to Combat Desertification (UNCCD) and partners, including: Conservation International (CI), European Space Agency (ESA), Food and Agriculture Organization of the United Nations (FAO), Group on Earth Observation Land Degradation Neutrality Initiative (GEO-LDN), International Soil Reference and Information Centre (ISRIC), International Union for Conservation of Nature (IUCN), Joint Research Centre of the European Commission (JRC), United Nations Statistics Division (UNSD), United Nations Development Programme (UNDP), United Nations Environment (UNEP), World Resources Institute (WRI), United Nations Framework Convention on Climate Change (UNFCCC) and Convention on Biological Diversity (CBD).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3072"/>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5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pacing w:after="16" w:line="256" w:lineRule="auto"/>
              <w:ind w:left="-5" w:hanging="10"/>
              <w:jc w:val="both"/>
              <w:rPr>
                <w:rFonts w:ascii="Calibri" w:hAnsi="Calibri" w:cs="Calibri"/>
              </w:rPr>
            </w:pPr>
            <w:r>
              <w:rPr>
                <w:rFonts w:ascii="Calibri" w:hAnsi="Calibri" w:eastAsia="Calibri" w:cs="Calibri"/>
                <w:b/>
                <w:color w:val="4A4A4A"/>
                <w:lang w:eastAsia="zh-CN" w:bidi="ar"/>
              </w:rPr>
              <w:t xml:space="preserve">Definition: </w:t>
            </w:r>
          </w:p>
          <w:p>
            <w:pPr>
              <w:spacing w:after="205"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Land degradation</w:t>
            </w:r>
            <w:r>
              <w:rPr>
                <w:rFonts w:ascii="Calibri" w:hAnsi="Calibri" w:eastAsia="Calibri" w:cs="Calibri"/>
                <w:color w:val="404040"/>
                <w:lang w:eastAsia="zh-CN" w:bidi="ar"/>
              </w:rPr>
              <w:t xml:space="preserve"> is defined as the reduction or loss of the biological or economic productivity and complexity of rain</w:t>
            </w:r>
            <w:r>
              <w:rPr>
                <w:rFonts w:hint="default" w:ascii="Calibri" w:hAnsi="Calibri" w:eastAsia="Calibri" w:cs="Calibri"/>
                <w:color w:val="404040"/>
                <w:lang w:val="en-CA" w:eastAsia="zh-CN" w:bidi="ar"/>
              </w:rPr>
              <w:t xml:space="preserve"> </w:t>
            </w:r>
            <w:r>
              <w:rPr>
                <w:rFonts w:ascii="Calibri" w:hAnsi="Calibri" w:eastAsia="Calibri" w:cs="Calibri"/>
                <w:color w:val="404040"/>
                <w:lang w:eastAsia="zh-CN" w:bidi="ar"/>
              </w:rPr>
              <w:t>fed cropland, irrigated cropland, or range, pasture, fores</w:t>
            </w:r>
            <w:r>
              <w:rPr>
                <w:rFonts w:hint="default" w:ascii="Calibri" w:hAnsi="Calibri" w:eastAsia="Calibri" w:cs="Calibri"/>
                <w:color w:val="404040"/>
                <w:lang w:val="en-CA" w:eastAsia="zh-CN" w:bidi="ar"/>
              </w:rPr>
              <w:t xml:space="preserve">t </w:t>
            </w:r>
            <w:r>
              <w:rPr>
                <w:rFonts w:ascii="Calibri" w:hAnsi="Calibri" w:eastAsia="Calibri" w:cs="Calibri"/>
                <w:color w:val="404040"/>
                <w:lang w:eastAsia="zh-CN" w:bidi="ar"/>
              </w:rPr>
              <w:t>and woodlands resulting from a combination of pressures, including land use and management practices.</w:t>
            </w:r>
          </w:p>
          <w:p>
            <w:pPr>
              <w:spacing w:after="205"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Land Degradation Neutrality</w:t>
            </w:r>
            <w:r>
              <w:rPr>
                <w:rFonts w:ascii="Calibri" w:hAnsi="Calibri" w:eastAsia="Calibri" w:cs="Calibri"/>
                <w:color w:val="404040"/>
                <w:lang w:eastAsia="zh-CN" w:bidi="ar"/>
              </w:rPr>
              <w:t xml:space="preserve"> (LDN) is defined as a state whereby the amount and quality of land resources necessary to support ecosystem functions and services and enhance food security remain stable or increase within specified temporal and spatial scales and ecosystems .</w:t>
            </w:r>
          </w:p>
          <w:p>
            <w:pPr>
              <w:spacing w:after="230"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Total land area</w:t>
            </w:r>
            <w:r>
              <w:rPr>
                <w:rFonts w:ascii="Calibri" w:hAnsi="Calibri" w:eastAsia="Calibri" w:cs="Calibri"/>
                <w:color w:val="404040"/>
                <w:lang w:eastAsia="zh-CN" w:bidi="ar"/>
              </w:rPr>
              <w:t xml:space="preserve"> is the total surface area of a country excluding the area covered by inland waters, like major rivers and lakes.</w:t>
            </w:r>
          </w:p>
          <w:p>
            <w:pPr>
              <w:spacing w:after="19" w:line="256" w:lineRule="auto"/>
              <w:jc w:val="both"/>
              <w:rPr>
                <w:rFonts w:ascii="Calibri" w:hAnsi="Calibri" w:eastAsia="Times New Roman" w:cs="Calibri"/>
                <w:b/>
                <w:color w:val="404040"/>
                <w:lang w:eastAsia="zh-CN" w:bidi="ar"/>
              </w:rPr>
            </w:pPr>
            <w:r>
              <w:rPr>
                <w:rFonts w:ascii="Calibri" w:hAnsi="Calibri" w:eastAsia="Times New Roman" w:cs="Calibri"/>
                <w:b/>
                <w:color w:val="404040"/>
                <w:lang w:eastAsia="zh-CN" w:bidi="ar"/>
              </w:rPr>
              <w:t xml:space="preserve">Concepts: </w:t>
            </w:r>
          </w:p>
          <w:p>
            <w:pPr>
              <w:spacing w:after="19" w:line="256" w:lineRule="auto"/>
              <w:jc w:val="both"/>
            </w:pPr>
            <w:r>
              <w:rPr>
                <w:rFonts w:ascii="Calibri" w:hAnsi="Calibri" w:eastAsia="Calibri" w:cs="Calibri"/>
                <w:color w:val="404040"/>
                <w:lang w:eastAsia="zh-CN" w:bidi="ar"/>
              </w:rPr>
              <w:t xml:space="preserve">The assessment and quantification of land degradation is generally regarded as context-specific, making it difficult for a single indicator to fully capture the state or condition of the land. The ultimate determination of the extent of degraded land made by national authorities should be contextualized with other indicators, data and ground-based information. </w:t>
            </w:r>
            <w:r>
              <w:rPr>
                <w:rFonts w:ascii="Calibri" w:hAnsi="Calibri" w:eastAsia="Calibri" w:cs="Calibri"/>
                <w:color w:val="404040"/>
                <w:lang w:val="en-CA" w:eastAsia="zh-CN" w:bidi="ar"/>
              </w:rPr>
              <w:t xml:space="preserve">           </w:t>
            </w:r>
            <w:r>
              <w:rPr>
                <w:rFonts w:ascii="Calibri" w:hAnsi="Calibri" w:eastAsia="Calibri" w:cs="Calibri"/>
                <w:color w:val="404040"/>
                <w:sz w:val="21"/>
                <w:lang w:eastAsia="zh-CN" w:bidi="ar"/>
              </w:rPr>
              <w:t xml:space="preserve"> </w:t>
            </w:r>
          </w:p>
          <w:p>
            <w:pPr>
              <w:spacing w:after="205" w:line="268" w:lineRule="auto"/>
              <w:ind w:left="-5" w:right="382" w:hanging="10"/>
              <w:jc w:val="both"/>
            </w:pPr>
            <w:r>
              <w:rPr>
                <w:rFonts w:ascii="Calibri" w:hAnsi="Calibri" w:eastAsia="Calibri" w:cs="Calibri"/>
                <w:b w:val="0"/>
                <w:bCs/>
                <w:i w:val="0"/>
                <w:iCs/>
                <w:color w:val="404040"/>
                <w:sz w:val="21"/>
                <w:lang w:eastAsia="zh-CN" w:bidi="ar"/>
              </w:rPr>
              <w:t>Land cover</w:t>
            </w:r>
            <w:r>
              <w:rPr>
                <w:rFonts w:ascii="Calibri" w:hAnsi="Calibri" w:eastAsia="Calibri" w:cs="Calibri"/>
                <w:color w:val="404040"/>
                <w:sz w:val="21"/>
                <w:lang w:eastAsia="zh-CN" w:bidi="ar"/>
              </w:rPr>
              <w:t xml:space="preserve"> refers to the observed physical cover of the Earth’s</w:t>
            </w:r>
            <w:r>
              <w:rPr>
                <w:rFonts w:hint="default" w:ascii="Calibri" w:hAnsi="Calibri" w:eastAsia="Calibri" w:cs="Calibri"/>
                <w:color w:val="404040"/>
                <w:sz w:val="21"/>
                <w:lang w:val="en-CA" w:eastAsia="zh-CN" w:bidi="ar"/>
              </w:rPr>
              <w:t xml:space="preserve"> </w:t>
            </w:r>
            <w:r>
              <w:rPr>
                <w:rFonts w:ascii="Calibri" w:hAnsi="Calibri" w:eastAsia="Calibri" w:cs="Calibri"/>
                <w:color w:val="404040"/>
                <w:sz w:val="21"/>
                <w:lang w:eastAsia="zh-CN" w:bidi="ar"/>
              </w:rPr>
              <w:t>surface which describes the distribution of vegetation types, water bodies and human-made infrastructure.</w:t>
            </w:r>
          </w:p>
          <w:p>
            <w:pPr>
              <w:spacing w:after="135"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Land productivity</w:t>
            </w:r>
            <w:r>
              <w:rPr>
                <w:rFonts w:ascii="Calibri" w:hAnsi="Calibri" w:eastAsia="Calibri" w:cs="Calibri"/>
                <w:color w:val="404040"/>
                <w:lang w:eastAsia="zh-CN" w:bidi="ar"/>
              </w:rPr>
              <w:t xml:space="preserve"> refers to the total above-ground net primary production (NPP) defined as the energy fixed by plants minus their respiration which translates into the rate of biomass accumulation that delivers a suite of ecosystem services.</w:t>
            </w:r>
            <w:r>
              <w:rPr>
                <w:rFonts w:ascii="Calibri" w:hAnsi="Calibri" w:cs="Calibri"/>
              </w:rPr>
              <w:t xml:space="preserve"> </w:t>
            </w:r>
          </w:p>
          <w:p>
            <w:pPr>
              <w:spacing w:after="30" w:line="268" w:lineRule="auto"/>
              <w:ind w:left="-5" w:right="382" w:hanging="10"/>
              <w:jc w:val="both"/>
            </w:pPr>
            <w:r>
              <w:rPr>
                <w:rFonts w:ascii="Calibri" w:hAnsi="Calibri" w:eastAsia="Calibri" w:cs="Calibri"/>
                <w:b w:val="0"/>
                <w:bCs/>
                <w:i w:val="0"/>
                <w:iCs/>
                <w:color w:val="404040"/>
                <w:lang w:eastAsia="zh-CN" w:bidi="ar"/>
              </w:rPr>
              <w:t>Carbon stock</w:t>
            </w:r>
            <w:r>
              <w:rPr>
                <w:rFonts w:ascii="Calibri" w:hAnsi="Calibri" w:eastAsia="Calibri" w:cs="Calibri"/>
                <w:color w:val="404040"/>
                <w:lang w:eastAsia="zh-CN" w:bidi="ar"/>
              </w:rPr>
              <w:t xml:space="preserve"> is the quantity of carbon in a “pool”: a reservoir which has the capacity to accumulate or release carbon and is comprised of above- and below-ground biomass, dead organic matter, and soil organic carbon. </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age</w:t>
            </w:r>
            <w:r>
              <w:rPr>
                <w:lang w:val="en-CA"/>
              </w:rPr>
              <w:t xml:space="preserv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lang w:val="en-CA"/>
              </w:rPr>
            </w:pPr>
            <w:r>
              <w:rPr>
                <w:lang w:val="en-CA"/>
              </w:rPr>
              <w:t>Forestry Commission</w:t>
            </w:r>
            <w:r>
              <w:rPr>
                <w:rFonts w:hint="default"/>
                <w:lang w:val="en-CA"/>
              </w:rPr>
              <w:t>,</w:t>
            </w:r>
            <w:r>
              <w:rPr>
                <w:lang w:val="en-CA"/>
              </w:rPr>
              <w:t xml:space="preserve"> 2022</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Forestry Commission</w:t>
            </w:r>
            <w:r>
              <w:rPr>
                <w:rFonts w:hint="default"/>
                <w:lang w:val="en-CA"/>
              </w:rPr>
              <w:t xml:space="preserve"> of Ghana (FC</w:t>
            </w:r>
            <w:bookmarkStart w:id="38" w:name="_GoBack"/>
            <w:bookmarkEnd w:id="38"/>
            <w:r>
              <w:rPr>
                <w:rFonts w:hint="default"/>
                <w:lang w:val="en-CA"/>
              </w:rPr>
              <w:t>)</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quantitative assessments and corresponding mapping</w:t>
            </w:r>
            <w:r>
              <w:rPr>
                <w:rFonts w:hint="default"/>
                <w:lang w:val="en-CA"/>
              </w:rPr>
              <w:t xml:space="preserve"> of land degradation</w:t>
            </w:r>
            <w:r>
              <w:t xml:space="preserve"> at the national level, as required by this indicator, would help countries to set policy and planning priorities among diverse land resource areas, in particular: </w:t>
            </w:r>
          </w:p>
          <w:p>
            <w:pPr>
              <w:jc w:val="both"/>
            </w:pPr>
            <w:r>
              <w:t xml:space="preserve">• to identify hotspots and plan actions of redress, including through the conservation, rehabilitation, restoration and sustainable management of land resources; and </w:t>
            </w:r>
          </w:p>
          <w:p>
            <w:pPr>
              <w:jc w:val="both"/>
            </w:pPr>
            <w:r>
              <w:t>• to address emerging pressures to help avoid future land degradation.</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spacing w:after="14" w:line="268" w:lineRule="auto"/>
              <w:ind w:left="-5" w:right="382" w:hanging="10"/>
            </w:pPr>
            <w:r>
              <w:rPr>
                <w:rFonts w:ascii="Calibri" w:hAnsi="Calibri" w:eastAsia="Calibri" w:cs="Calibri"/>
                <w:color w:val="404040"/>
                <w:sz w:val="21"/>
                <w:lang w:eastAsia="zh-CN" w:bidi="ar"/>
              </w:rPr>
              <w:t xml:space="preserve"> </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7932748"/>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jc w:val="left"/>
            </w:pPr>
            <w:r>
              <w:rPr>
                <w:rFonts w:hint="default"/>
                <w:lang w:val="en-CA"/>
              </w:rPr>
              <w:t xml:space="preserve"> </w:t>
            </w:r>
            <w:r>
              <w:rPr>
                <w:rFonts w:ascii="SimSun" w:hAnsi="SimSun" w:eastAsia="SimSun" w:cs="SimSun"/>
                <w:kern w:val="0"/>
                <w:sz w:val="24"/>
                <w:szCs w:val="24"/>
                <w:lang w:val="en-US" w:eastAsia="zh-CN" w:bidi="ar"/>
              </w:rPr>
              <w:fldChar w:fldCharType="begin"/>
            </w:r>
            <w:r>
              <w:rPr>
                <w:rFonts w:ascii="SimSun" w:hAnsi="SimSun" w:eastAsia="SimSun" w:cs="SimSun"/>
                <w:kern w:val="0"/>
                <w:sz w:val="24"/>
                <w:szCs w:val="24"/>
                <w:lang w:val="en-US" w:eastAsia="zh-CN" w:bidi="ar"/>
              </w:rPr>
              <w:instrText xml:space="preserve"> HYPERLINK "http://bit.ly/3E616Dm" \t "_blank" </w:instrText>
            </w:r>
            <w:r>
              <w:rPr>
                <w:rFonts w:ascii="SimSun" w:hAnsi="SimSun" w:eastAsia="SimSun" w:cs="SimSun"/>
                <w:kern w:val="0"/>
                <w:sz w:val="24"/>
                <w:szCs w:val="24"/>
                <w:lang w:val="en-US" w:eastAsia="zh-CN" w:bidi="ar"/>
              </w:rPr>
              <w:fldChar w:fldCharType="separate"/>
            </w:r>
            <w:r>
              <w:rPr>
                <w:rStyle w:val="18"/>
                <w:rFonts w:hint="default" w:eastAsia="SimSun" w:cs="Sitka Banner" w:asciiTheme="minorAscii" w:hAnsiTheme="minorAscii"/>
                <w:sz w:val="22"/>
                <w:szCs w:val="22"/>
              </w:rPr>
              <w:t>bit.ly/3E616Dm</w:t>
            </w:r>
          </w:p>
          <w:p>
            <w:pPr>
              <w:keepNext w:val="0"/>
              <w:keepLines w:val="0"/>
              <w:widowControl/>
              <w:suppressLineNumbers w:val="0"/>
              <w:jc w:val="left"/>
              <w:rPr>
                <w:rFonts w:hint="default"/>
                <w:lang w:val="en-CA"/>
              </w:rPr>
            </w:pPr>
            <w:r>
              <w:rPr>
                <w:rFonts w:ascii="SimSun" w:hAnsi="SimSun" w:eastAsia="SimSun" w:cs="SimSun"/>
                <w:kern w:val="0"/>
                <w:sz w:val="24"/>
                <w:szCs w:val="24"/>
                <w:lang w:val="en-US" w:eastAsia="zh-CN" w:bidi="ar"/>
              </w:rPr>
              <w:fldChar w:fldCharType="end"/>
            </w:r>
          </w:p>
        </w:tc>
      </w:tr>
      <w:permEnd w:id="45"/>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Banner">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4A4F"/>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630E"/>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3244"/>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93C6FDE"/>
    <w:rsid w:val="1FD41B16"/>
    <w:rsid w:val="28183D14"/>
    <w:rsid w:val="66F9586D"/>
    <w:rsid w:val="6A790745"/>
    <w:rsid w:val="6DF76B6F"/>
    <w:rsid w:val="7DBF64C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footnote mark"/>
    <w:qFormat/>
    <w:uiPriority w:val="0"/>
    <w:rPr>
      <w:rFonts w:hint="default" w:ascii="Calibri" w:hAnsi="Calibri" w:eastAsia="Calibri" w:cs="Calibri"/>
      <w:color w:val="404040"/>
      <w:sz w:val="18"/>
      <w:vertAlign w:val="superscript"/>
    </w:rPr>
  </w:style>
  <w:style w:type="paragraph" w:customStyle="1" w:styleId="54">
    <w:name w:val="footnote description"/>
    <w:link w:val="55"/>
    <w:qFormat/>
    <w:uiPriority w:val="0"/>
    <w:pPr>
      <w:spacing w:line="254" w:lineRule="auto"/>
    </w:pPr>
    <w:rPr>
      <w:rFonts w:ascii="Calibri" w:hAnsi="Calibri" w:eastAsia="Calibri" w:cs="Times New Roman"/>
      <w:color w:val="404040"/>
      <w:sz w:val="18"/>
      <w:szCs w:val="22"/>
      <w:lang w:val="en-US" w:eastAsia="zh-CN" w:bidi="ar-SA"/>
    </w:rPr>
  </w:style>
  <w:style w:type="character" w:customStyle="1" w:styleId="55">
    <w:name w:val="footnote description Char"/>
    <w:link w:val="54"/>
    <w:qFormat/>
    <w:uiPriority w:val="0"/>
    <w:rPr>
      <w:rFonts w:hint="default" w:ascii="Calibri" w:hAnsi="Calibri" w:eastAsia="Calibri" w:cs="Calibri"/>
      <w:color w:val="404040"/>
      <w:sz w:val="18"/>
    </w:rPr>
  </w:style>
</w:styles>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7" Type="http://schemas.openxmlformats.org/officeDocument/2006/relationships/glossaryDocument" Target="glossary/document.xml"/><Relationship Id="rId16" Type="http://schemas.openxmlformats.org/officeDocument/2006/relationships/fontTable" Target="fontTable.xml"/><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15E76"/>
    <w:rsid w:val="0036646D"/>
    <w:rsid w:val="006153AA"/>
    <w:rsid w:val="0064052E"/>
    <w:rsid w:val="00760A1F"/>
    <w:rsid w:val="00C876C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15</Pages>
  <Words>216678</Words>
  <Characters>1235071</Characters>
  <Lines>10292</Lines>
  <Paragraphs>2897</Paragraphs>
  <TotalTime>73</TotalTime>
  <ScaleCrop>false</ScaleCrop>
  <LinksUpToDate>false</LinksUpToDate>
  <CharactersWithSpaces>1448852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2022-11-15T12:38:57Z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A12941BD42E74595BB797E57EBF0238C</vt:lpwstr>
  </property>
</Properties>
</file>