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1.5.1, 11.5.1, 13.1.1 Number of deaths and missing persons attributed to disasters per 100,000 population [1.5.1, 11.5.1, 13.1.1] (VC_DSR_MTMP)</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color w:val="000000"/>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color w:val="000000"/>
              </w:rP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rPr>
                <w:color w:val="000000"/>
              </w:rPr>
              <w:t>Indicator 1.5.1: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7"/>
        <w:gridCol w:w="5840"/>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measures the number of people who died, went missing or were directly affected by disasters per 100,000 population.</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Death: The number of people who died during the disaster, or directly after, as a direct result of the hazardous event.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Missing: The number of people whose whereabouts is unknown since the hazardous event. It includes people who are presumed dead, for whom there is no physical evidence such as a body, and for which an official/legal report has been filed with competent authorities.</w:t>
            </w:r>
          </w:p>
          <w:p>
            <w:pPr>
              <w:pStyle w:val="19"/>
              <w:rPr>
                <w:rFonts w:cstheme="minorHAnsi"/>
              </w:rPr>
            </w:pPr>
            <w:r>
              <w:rPr>
                <w:rFonts w:asciiTheme="minorHAnsi" w:hAnsiTheme="minorHAnsi" w:cstheme="minorHAnsi"/>
                <w:color w:val="000000"/>
                <w:sz w:val="22"/>
                <w:szCs w:val="22"/>
              </w:rPr>
              <w:t>Directly affected: The number of people 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 100,000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cstheme="minorHAnsi"/>
              </w:rPr>
              <w:t>National Disaster Management Organisation</w:t>
            </w:r>
            <w:r>
              <w:rPr>
                <w:rFonts w:hint="default" w:cstheme="minorHAnsi"/>
                <w:lang w:val="en-CA"/>
              </w:rPr>
              <w:t xml:space="preserve"> (NADMO)</w:t>
            </w:r>
            <w:r>
              <w:rPr>
                <w:rFonts w:hint="default"/>
                <w:lang w:val="en-CA"/>
              </w:rPr>
              <w:t xml:space="preserve"> A</w:t>
            </w:r>
            <w:r>
              <w:t>nnual report</w:t>
            </w:r>
          </w:p>
          <w:p>
            <w:pPr>
              <w:rPr>
                <w:rFonts w:hint="default"/>
                <w:lang w:val="en-CA"/>
              </w:rPr>
            </w:pPr>
            <w:r>
              <w:rPr>
                <w:rFonts w:hint="default"/>
                <w:lang w:val="en-CA"/>
              </w:rPr>
              <w:t>Ghana’s Voluntary National Review Report (VNR), 2022</w:t>
            </w:r>
            <w:bookmarkStart w:id="38" w:name="_GoBack"/>
            <w:bookmarkEnd w:id="38"/>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cstheme="minorHAnsi"/>
              </w:rPr>
              <w:t>National Disaster Management Organisation</w:t>
            </w:r>
            <w:r>
              <w:rPr>
                <w:rFonts w:hint="default" w:cstheme="minorHAnsi"/>
                <w:lang w:val="en-CA"/>
              </w:rPr>
              <w:t xml:space="preserve">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 xml:space="preserve">The indicator is based on the </w:t>
            </w:r>
            <w:r>
              <w:rPr>
                <w:rFonts w:cstheme="minorHAnsi"/>
              </w:rPr>
              <w:fldChar w:fldCharType="begin"/>
            </w:r>
            <w:r>
              <w:rPr>
                <w:rFonts w:cstheme="minorHAnsi"/>
              </w:rPr>
              <w:instrText xml:space="preserve"> HYPERLINK "https://www.undrr.org/publication/sendai-framework-disaster-risk-reduction-2015-2030" </w:instrText>
            </w:r>
            <w:r>
              <w:rPr>
                <w:rFonts w:cstheme="minorHAnsi"/>
              </w:rPr>
              <w:fldChar w:fldCharType="separate"/>
            </w:r>
            <w:r>
              <w:rPr>
                <w:rStyle w:val="18"/>
                <w:rFonts w:cstheme="minorHAnsi"/>
              </w:rPr>
              <w:t>Sendai Framework for Disaster Risk Reduction 2015-2030</w:t>
            </w:r>
            <w:r>
              <w:rPr>
                <w:rFonts w:cstheme="minorHAnsi"/>
              </w:rPr>
              <w:fldChar w:fldCharType="end"/>
            </w:r>
            <w:r>
              <w:rPr>
                <w:rFonts w:cstheme="minorHAnsi"/>
              </w:rPr>
              <w:t xml:space="preserve"> which was adopted by UN Member States in March 2015 as a global policy of disaster risk reduction. Two key targets of the framework are:</w:t>
            </w:r>
          </w:p>
          <w:p>
            <w:pPr>
              <w:autoSpaceDE w:val="0"/>
              <w:autoSpaceDN w:val="0"/>
              <w:adjustRightInd w:val="0"/>
              <w:spacing w:after="0" w:line="240" w:lineRule="auto"/>
              <w:rPr>
                <w:rFonts w:cstheme="minorHAnsi"/>
              </w:rPr>
            </w:pPr>
            <w:r>
              <w:rPr>
                <w:rFonts w:cstheme="minorHAnsi"/>
              </w:rPr>
              <w:t xml:space="preserve"> (i) To substantially reduce global disaster mortality by 2030, aiming to lower the average global figure per 100,000 global mortality between 2020 and 2030 compared with 2005-2015” and </w:t>
            </w:r>
          </w:p>
          <w:p>
            <w:pPr>
              <w:autoSpaceDE w:val="0"/>
              <w:autoSpaceDN w:val="0"/>
              <w:adjustRightInd w:val="0"/>
              <w:spacing w:after="0" w:line="240" w:lineRule="auto"/>
              <w:rPr>
                <w:rFonts w:cstheme="minorHAnsi"/>
              </w:rPr>
            </w:pPr>
            <w:r>
              <w:rPr>
                <w:rFonts w:cstheme="minorHAnsi"/>
              </w:rPr>
              <w:t>(ii) To substantially reduce the number of affected people globally by 2030, aiming to lower the average global figure per 100,000 between 2020 and 2030 compared with 2005-2015”.</w:t>
            </w:r>
          </w:p>
          <w:p>
            <w:pPr>
              <w:autoSpaceDE w:val="0"/>
              <w:autoSpaceDN w:val="0"/>
              <w:adjustRightInd w:val="0"/>
              <w:spacing w:after="0" w:line="240" w:lineRule="auto"/>
              <w:rPr>
                <w:rFonts w:cstheme="minorHAnsi"/>
              </w:rPr>
            </w:pPr>
            <w:r>
              <w:rPr>
                <w:rFonts w:cstheme="minorHAnsi"/>
              </w:rPr>
              <w:t>Meeting the targets will contribute to sustainable development and strengthen economic, social, health and environmental resilience. The economic, environmental and social perspectives would include poverty eradication, urban resilience, and climate change adaptation.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68125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 xml:space="preserve">There is no </w:t>
            </w:r>
            <w:r>
              <w:rPr>
                <w:rFonts w:hint="default"/>
                <w:lang w:val="en-CA"/>
              </w:rPr>
              <w:t xml:space="preserve">available </w:t>
            </w:r>
            <w:r>
              <w:t>disaggregation</w:t>
            </w:r>
            <w:r>
              <w:rPr>
                <w:rFonts w:hint="default"/>
                <w:lang w:val="en-CA"/>
              </w:rPr>
              <w:t xml:space="preserve"> </w:t>
            </w:r>
            <w:r>
              <w:t xml:space="preserve"> for this data</w:t>
            </w:r>
            <w:r>
              <w:rPr>
                <w:rFonts w:hint="default"/>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"https://view.officeapps.live.com/op/view.aspx?src=https%3A%2F%2Funstats.un.org%2Fsdgs%2Fmetadata%2Ffiles%2FMetadata-01-05-01.docx&amp;wdOrigin=BROWSELINK" </w:instrText>
            </w:r>
            <w:r>
              <w:fldChar w:fldCharType="separate"/>
            </w:r>
            <w:r>
              <w:rPr>
                <w:rStyle w:val="18"/>
              </w:rPr>
              <w:t>Metadata-01-05-01.docx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46763"/>
    <w:rsid w:val="000639BB"/>
    <w:rsid w:val="000716CF"/>
    <w:rsid w:val="00073907"/>
    <w:rsid w:val="00091352"/>
    <w:rsid w:val="0009691A"/>
    <w:rsid w:val="00097108"/>
    <w:rsid w:val="000A24C4"/>
    <w:rsid w:val="000B1F92"/>
    <w:rsid w:val="000B6681"/>
    <w:rsid w:val="000C6D3A"/>
    <w:rsid w:val="000E4EFE"/>
    <w:rsid w:val="000E6694"/>
    <w:rsid w:val="000F3B8E"/>
    <w:rsid w:val="000F7452"/>
    <w:rsid w:val="001034ED"/>
    <w:rsid w:val="00106632"/>
    <w:rsid w:val="001127E6"/>
    <w:rsid w:val="0013388C"/>
    <w:rsid w:val="0014660A"/>
    <w:rsid w:val="0015178E"/>
    <w:rsid w:val="00151B76"/>
    <w:rsid w:val="00154283"/>
    <w:rsid w:val="0015690D"/>
    <w:rsid w:val="0015725E"/>
    <w:rsid w:val="001734AE"/>
    <w:rsid w:val="00177F8D"/>
    <w:rsid w:val="00183788"/>
    <w:rsid w:val="0018734D"/>
    <w:rsid w:val="001A0E35"/>
    <w:rsid w:val="001A6F28"/>
    <w:rsid w:val="001B6829"/>
    <w:rsid w:val="001C1BC2"/>
    <w:rsid w:val="001C7A0B"/>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00C0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626E"/>
    <w:rsid w:val="0051738B"/>
    <w:rsid w:val="005222F8"/>
    <w:rsid w:val="00522827"/>
    <w:rsid w:val="0052362A"/>
    <w:rsid w:val="0053509F"/>
    <w:rsid w:val="00535955"/>
    <w:rsid w:val="005370AC"/>
    <w:rsid w:val="00537550"/>
    <w:rsid w:val="005377B9"/>
    <w:rsid w:val="00560EB1"/>
    <w:rsid w:val="00561174"/>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313"/>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46F4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C617483"/>
    <w:rsid w:val="15F01702"/>
    <w:rsid w:val="47295994"/>
    <w:rsid w:val="47B066DC"/>
    <w:rsid w:val="5E233346"/>
    <w:rsid w:val="6BDB611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D3E66"/>
    <w:rsid w:val="0036646D"/>
    <w:rsid w:val="00380A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215769</Words>
  <Characters>1229888</Characters>
  <Lines>10249</Lines>
  <Paragraphs>2885</Paragraphs>
  <TotalTime>3</TotalTime>
  <ScaleCrop>false</ScaleCrop>
  <LinksUpToDate>false</LinksUpToDate>
  <CharactersWithSpaces>1442772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2021-10-21T11:38:00Z</dcterms:created>
  <dc:creator>Fanning, Stephen B (JMD)</dc:creator>
  <cp:lastModifiedBy>Doreen</cp:lastModifiedBy>
  <cp:lastPrinted>2020-04-16T14:23:00Z</cp:lastPrinted>
  <dcterms:modified xsi:type="dcterms:W3CDTF">2022-11-13T11:34:25Z</dcterms:modified>
  <cp:revision>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F9B0943ABFF241DD82197C7222ACC3B2</vt:lpwstr>
  </property>
</Properties>
</file>