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1.4.2 Proportion of people with secure tenure rights to land out of total adult population [1.4.2] (SP_LGL_LNDSTR)</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t>Target 1.4: By 2030, ensure that all men and women, in particular the poor and the vulnerable, have</w:t>
            </w:r>
            <w:r>
              <w:rPr>
                <w:rFonts w:hint="default"/>
                <w:lang w:val="en-CA"/>
              </w:rPr>
              <w:t xml:space="preserve">  </w:t>
            </w:r>
            <w:r>
              <w:t>equal rights to economic resources, as well as access to basic services,</w:t>
            </w:r>
            <w:r>
              <w:rPr>
                <w:rFonts w:hint="default"/>
                <w:lang w:val="en-CA"/>
              </w:rPr>
              <w:t xml:space="preserve"> </w:t>
            </w:r>
            <w:r>
              <w:t>ownership and control over land</w:t>
            </w:r>
            <w:r>
              <w:rPr>
                <w:rFonts w:hint="default"/>
                <w:lang w:val="en-CA"/>
              </w:rPr>
              <w:t xml:space="preserve"> </w:t>
            </w:r>
            <w:r>
              <w:t>and other forms of property, inheritance, natural resources</w:t>
            </w:r>
            <w:r>
              <w:rPr>
                <w:rStyle w:val="55"/>
                <w:rFonts w:cstheme="minorHAnsi"/>
              </w:rPr>
              <w:t xml:space="preserve">, </w:t>
            </w:r>
            <w:r>
              <w:t>appropriate new technology and financial</w:t>
            </w:r>
            <w:r>
              <w:rPr>
                <w:rFonts w:hint="default"/>
                <w:lang w:val="en-CA"/>
              </w:rPr>
              <w:t xml:space="preserve"> </w:t>
            </w:r>
            <w:r>
              <w:t>services, including microfinance</w:t>
            </w:r>
            <w:r>
              <w:rPr>
                <w:rFonts w:hint="default"/>
                <w:lang w:val="en-CA"/>
              </w:rPr>
              <w:t>.</w:t>
            </w:r>
            <w:r>
              <w:t xml:space="preserv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1.4.2: Proportion of total adult population with secure tenure rights to land, (a) with legally recognized documentation, and (b) who perceive their rights to land as secure, by sex and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Proportion of people who perceive their rights to land as secure out of total adult population [1.4.2]</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Proportion of people with legally recognized documentation of their rights to land out of total adult population [1.4.2]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Style w:val="55"/>
                <w:rFonts w:cstheme="minorHAnsi"/>
              </w:rPr>
            </w:pPr>
            <w:r>
              <w:rPr>
                <w:rStyle w:val="55"/>
                <w:rFonts w:cstheme="minorHAnsi"/>
              </w:rPr>
              <w:t>,2.3.1</w:t>
            </w:r>
          </w:p>
          <w:p>
            <w:pPr>
              <w:rPr>
                <w:rStyle w:val="55"/>
                <w:rFonts w:cstheme="minorHAnsi"/>
              </w:rPr>
            </w:pPr>
            <w:r>
              <w:rPr>
                <w:rStyle w:val="55"/>
                <w:rFonts w:cstheme="minorHAnsi"/>
              </w:rPr>
              <w:t>2.3.2</w:t>
            </w:r>
          </w:p>
          <w:p>
            <w:pPr>
              <w:rPr>
                <w:rStyle w:val="55"/>
                <w:rFonts w:cstheme="minorHAnsi"/>
              </w:rPr>
            </w:pPr>
            <w:r>
              <w:rPr>
                <w:rStyle w:val="55"/>
                <w:rFonts w:cstheme="minorHAnsi"/>
              </w:rPr>
              <w:t>2.4.1</w:t>
            </w:r>
          </w:p>
          <w:p>
            <w:pPr>
              <w:rPr>
                <w:rStyle w:val="55"/>
                <w:rFonts w:cstheme="minorHAnsi"/>
              </w:rPr>
            </w:pPr>
            <w:r>
              <w:rPr>
                <w:rStyle w:val="55"/>
                <w:rFonts w:cstheme="minorHAnsi"/>
              </w:rPr>
              <w:t>5.a.1</w:t>
            </w:r>
          </w:p>
          <w:p>
            <w:pPr>
              <w:rPr>
                <w:rFonts w:cstheme="minorHAnsi"/>
              </w:rPr>
            </w:pPr>
            <w:r>
              <w:rPr>
                <w:rStyle w:val="55"/>
                <w:rFonts w:cstheme="minorHAnsi"/>
              </w:rPr>
              <w:t xml:space="preserve">5.a.2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United Nations Human Settlements</w:t>
            </w:r>
            <w:r>
              <w:rPr>
                <w:rFonts w:cstheme="minorHAnsi"/>
              </w:rPr>
              <w:br w:type="textWrapping"/>
            </w:r>
            <w:r>
              <w:rPr>
                <w:rStyle w:val="55"/>
                <w:rFonts w:cstheme="minorHAnsi"/>
              </w:rPr>
              <w:t>Programme (UN-Habitat), 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Definition: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measures the results of policies that aim to strengthen tenure security for all, including women and other vulnerable groups.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w:t>
            </w:r>
            <w:r>
              <w:rPr>
                <w:rFonts w:hint="default" w:eastAsia="Times New Roman" w:cstheme="minorHAnsi"/>
                <w:color w:val="000000"/>
                <w:lang w:val="en-CA"/>
              </w:rPr>
              <w:t xml:space="preserve"> and </w:t>
            </w:r>
            <w:r>
              <w:rPr>
                <w:rFonts w:eastAsia="Times New Roman" w:cstheme="minorHAnsi"/>
                <w:color w:val="000000"/>
              </w:rPr>
              <w:t xml:space="preserve">customary land. An individual can hold land in his/her own name, jointly with other individuals, as a member of a household, or collectively as </w:t>
            </w:r>
            <w:r>
              <w:rPr>
                <w:rFonts w:hint="default" w:eastAsia="Times New Roman" w:cstheme="minorHAnsi"/>
                <w:color w:val="000000"/>
                <w:lang w:val="en-CA"/>
              </w:rPr>
              <w:t xml:space="preserve">a </w:t>
            </w:r>
            <w:r>
              <w:rPr>
                <w:rFonts w:eastAsia="Times New Roman" w:cstheme="minorHAnsi"/>
                <w:color w:val="000000"/>
              </w:rPr>
              <w:t>member of</w:t>
            </w:r>
            <w:r>
              <w:rPr>
                <w:rFonts w:hint="default" w:eastAsia="Times New Roman" w:cstheme="minorHAnsi"/>
                <w:color w:val="000000"/>
                <w:lang w:val="en-CA"/>
              </w:rPr>
              <w:t xml:space="preserve"> a</w:t>
            </w:r>
            <w:r>
              <w:rPr>
                <w:rFonts w:eastAsia="Times New Roman" w:cstheme="minorHAnsi"/>
                <w:color w:val="000000"/>
              </w:rPr>
              <w:t xml:space="preserve"> group, cooperative or other type of association.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Secure tenure rights: comprised of two sub-components: (i) legally recognized documentation and (ii) perception of the security of tenure, which are both necessary to provide a full measurement of tenure security.</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pPr>
              <w:spacing w:before="100" w:beforeAutospacing="1" w:after="100" w:afterAutospacing="1" w:line="240" w:lineRule="auto"/>
              <w:rPr>
                <w:rFonts w:eastAsia="Times New Roman" w:cstheme="minorHAnsi"/>
                <w:color w:val="000000"/>
              </w:rPr>
            </w:pPr>
            <w:r>
              <w:rPr>
                <w:rFonts w:eastAsia="Times New Roman" w:cstheme="minorHAnsi"/>
                <w:color w:val="000000"/>
              </w:rPr>
              <w:t>For purposes of constructing the indicator (see next section for rationale), we define perceptions of tenure to be secure if:</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 The landholder does not report a fear of involuntary loss of the land within the next five years due to, for example, intra-family, community or external threats 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(ii) The landholder reports having the right to bequeath the land.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Total adult population: A country’s adult population is measured by census data or through surveys using an adequate sampling frame.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Interpretation: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administration services, possible duplicated documents, high cost of having state institutions protecting such rights.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Concepts: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pPr>
              <w:spacing w:before="100" w:beforeAutospacing="1" w:after="100" w:afterAutospacing="1" w:line="240" w:lineRule="auto"/>
              <w:rPr>
                <w:rFonts w:cstheme="minorHAnsi"/>
              </w:rPr>
            </w:pPr>
            <w:r>
              <w:rPr>
                <w:rFonts w:eastAsia="Times New Roman" w:cstheme="minorHAnsi"/>
                <w:color w:val="000000"/>
              </w:rPr>
              <w:t>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policies, law and land administration services, and define the categories of rights that are considered official.</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w:t>
            </w:r>
            <w:r>
              <w:rPr>
                <w:rFonts w:hint="default"/>
                <w:lang w:val="en-CA"/>
              </w:rPr>
              <w:t xml:space="preserve">hana </w:t>
            </w:r>
            <w:r>
              <w:t>C</w:t>
            </w:r>
            <w:r>
              <w:rPr>
                <w:rFonts w:hint="default"/>
                <w:lang w:val="en-CA"/>
              </w:rPr>
              <w:t xml:space="preserve">ensus of </w:t>
            </w:r>
            <w:r>
              <w:t>A</w:t>
            </w:r>
            <w:r>
              <w:rPr>
                <w:rFonts w:hint="default"/>
                <w:lang w:val="en-CA"/>
              </w:rPr>
              <w:t>griculture</w:t>
            </w:r>
            <w:r>
              <w:t xml:space="preserve"> </w:t>
            </w:r>
            <w:r>
              <w:rPr>
                <w:rFonts w:hint="default"/>
                <w:lang w:val="en-CA"/>
              </w:rPr>
              <w:t xml:space="preserve">(GCA) </w:t>
            </w:r>
            <w:r>
              <w:t>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Census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1.4.2.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pPr>
              <w:pStyle w:val="19"/>
              <w:rPr>
                <w:rFonts w:asciiTheme="minorHAnsi" w:hAnsiTheme="minorHAnsi" w:cstheme="minorHAnsi"/>
                <w:color w:val="000000"/>
                <w:sz w:val="22"/>
                <w:szCs w:val="22"/>
              </w:rPr>
            </w:pPr>
            <w:bookmarkStart w:id="38" w:name="_GoBack"/>
            <w:bookmarkEnd w:id="38"/>
            <w:r>
              <w:rPr>
                <w:rFonts w:asciiTheme="minorHAnsi" w:hAnsiTheme="minorHAnsi" w:cstheme="minorHAnsi"/>
                <w:color w:val="000000"/>
                <w:sz w:val="22"/>
                <w:szCs w:val="22"/>
              </w:rPr>
              <w:t>This indicator will inform policy and allow for the assessment of specific outcomes and practical priorities for further improvements of tenure security at the country level. Regular reporting on the two components of Indicator 1.4.2 will:</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incentives for governments to improve performance on progress with responsible land governance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inform governments and non-state actors to what extent countries’ legal and institutional frameworks recognize and support different land-tenure categories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information on implementation capacity to protect such rights in practice, as well as progress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identify the scope for additional action required at the country level as well as at a </w:t>
            </w:r>
            <w:r>
              <w:rPr>
                <w:rFonts w:asciiTheme="minorHAnsi" w:hAnsiTheme="minorHAnsi" w:cstheme="minorHAnsi"/>
                <w:color w:val="000000"/>
                <w:sz w:val="22"/>
                <w:szCs w:val="22"/>
                <w:lang w:val="en-CA"/>
              </w:rPr>
              <w:t>sub-national</w:t>
            </w:r>
            <w:r>
              <w:rPr>
                <w:rFonts w:asciiTheme="minorHAnsi" w:hAnsiTheme="minorHAnsi" w:cstheme="minorHAnsi"/>
                <w:color w:val="000000"/>
                <w:sz w:val="22"/>
                <w:szCs w:val="22"/>
              </w:rPr>
              <w:t xml:space="preserve"> level or for certain categories, geographic entities or ecosystems, and</w:t>
            </w:r>
          </w:p>
          <w:p>
            <w:pPr>
              <w:pStyle w:val="19"/>
              <w:rPr>
                <w:rFonts w:cstheme="minorHAnsi"/>
              </w:rPr>
            </w:pPr>
            <w:r>
              <w:rPr>
                <w:rFonts w:asciiTheme="minorHAnsi" w:hAnsiTheme="minorHAnsi" w:cstheme="minorHAnsi"/>
                <w:color w:val="000000"/>
                <w:sz w:val="22"/>
                <w:szCs w:val="22"/>
              </w:rPr>
              <w:t>· provide for equity between men and women in land rights.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asciiTheme="minorAscii" w:hAnsiTheme="minorAscii" w:eastAsiaTheme="minorEastAsia" w:cstheme="minorEastAsia"/>
                <w:sz w:val="22"/>
                <w:szCs w:val="22"/>
                <w:lang w:val="en-CA"/>
              </w:rPr>
            </w:pPr>
            <w:r>
              <w:rPr>
                <w:rFonts w:cstheme="minorHAnsi"/>
                <w:color w:val="404040" w:themeColor="text1" w:themeTint="BF"/>
                <w14:textFill>
                  <w14:solidFill>
                    <w14:schemeClr w14:val="tx1">
                      <w14:lumMod w14:val="75000"/>
                      <w14:lumOff w14:val="25000"/>
                    </w14:schemeClr>
                  </w14:solidFill>
                </w14:textFill>
              </w:rPr>
              <w:t xml:space="preserve">Part (A): </w:t>
            </w:r>
            <w:r>
              <w:rPr>
                <w:rFonts w:hint="default" w:asciiTheme="minorAscii" w:hAnsiTheme="minorAscii" w:eastAsiaTheme="minorEastAsia" w:cstheme="minorEastAsia"/>
                <w:sz w:val="22"/>
                <w:szCs w:val="22"/>
                <w:lang w:val="en-CA"/>
              </w:rPr>
              <w:t xml:space="preserve">(All holders who own or inherited a land and have registered the land/All holders ) </w:t>
            </w:r>
            <w:r>
              <w:rPr>
                <w:rFonts w:hint="default" w:asciiTheme="minorAscii" w:hAnsiTheme="minorAscii" w:eastAsiaTheme="minorEastAsia" w:cstheme="minorEastAsia"/>
                <w:sz w:val="22"/>
                <w:szCs w:val="22"/>
              </w:rPr>
              <w:t>X 100</w:t>
            </w:r>
          </w:p>
          <w:p>
            <w:r>
              <w:rPr>
                <w:rFonts w:cstheme="minorHAnsi"/>
                <w:color w:val="404040" w:themeColor="text1" w:themeTint="BF"/>
                <w14:textFill>
                  <w14:solidFill>
                    <w14:schemeClr w14:val="tx1">
                      <w14:lumMod w14:val="75000"/>
                      <w14:lumOff w14:val="25000"/>
                    </w14:schemeClr>
                  </w14:solidFill>
                </w14:textFill>
              </w:rPr>
              <w:t xml:space="preserve">Part (B): </w:t>
            </w:r>
            <w:r>
              <w:rPr>
                <w:rFonts w:hint="default"/>
                <w:lang w:val="en-CA"/>
              </w:rPr>
              <w:t xml:space="preserve">(All holders who own or inherited a land and have not completely registered the land/All holders ) </w:t>
            </w:r>
            <w:r>
              <w:t>X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Style w:val="55"/>
                <w:rFonts w:cstheme="minorHAnsi"/>
              </w:rPr>
              <w:t>The data is disaggregated by sex, rural and urban areas and</w:t>
            </w:r>
            <w:r>
              <w:rPr>
                <w:rFonts w:cstheme="minorHAnsi"/>
              </w:rPr>
              <w:t xml:space="preserve"> also by regions</w:t>
            </w:r>
            <w:r>
              <w:rPr>
                <w:rFonts w:hint="default" w:cstheme="minorHAnsi"/>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"https://landportal.org/library/" </w:instrText>
            </w:r>
            <w:r>
              <w:fldChar w:fldCharType="separate"/>
            </w:r>
            <w:r>
              <w:rPr>
                <w:rStyle w:val="18"/>
              </w:rPr>
              <w:t>https://landportal.org/library/</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5D2E"/>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147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A778E"/>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51D0547"/>
    <w:rsid w:val="3F400B25"/>
    <w:rsid w:val="47CC61D5"/>
    <w:rsid w:val="69D0241A"/>
    <w:rsid w:val="74F217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lead-copy"/>
    <w:basedOn w:val="4"/>
    <w:qFormat/>
    <w:uiPriority w:val="0"/>
  </w:style>
  <w:style w:type="character" w:customStyle="1" w:styleId="55">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648D0"/>
    <w:rsid w:val="00901314"/>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16</Pages>
  <Words>217170</Words>
  <Characters>1237874</Characters>
  <Lines>10315</Lines>
  <Paragraphs>2904</Paragraphs>
  <TotalTime>81</TotalTime>
  <ScaleCrop>false</ScaleCrop>
  <LinksUpToDate>false</LinksUpToDate>
  <CharactersWithSpaces>1452140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2022-09-13T10:42:00Z</dcterms:created>
  <dc:creator>Fanning, Stephen B (JMD)</dc:creator>
  <cp:lastModifiedBy>Doreen</cp:lastModifiedBy>
  <cp:lastPrinted>2020-04-16T14:23:00Z</cp:lastPrinted>
  <dcterms:modified xsi:type="dcterms:W3CDTF">2022-11-04T15:06:07Z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99A8A8B88FE74431AC7D7E493678D498</vt:lpwstr>
  </property>
</Properties>
</file>