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rPr>
              <w:rFonts w:asciiTheme="minorHAnsi" w:hAnsiTheme="minorHAnsi" w:eastAsiaTheme="minorHAnsi" w:cstheme="minorBidi"/>
              <w:sz w:val="22"/>
              <w:szCs w:val="22"/>
              <w:lang w:val="en-US" w:eastAsia="en-US" w:bidi="ar-SA"/>
            </w:rPr>
            <w:t>12.1.1 Countries with sustainable consumption and production (SCP) national action plans or SCP mainstreamed as a priority or target into national policies (1 = YES; 0 = NO) [12.1.1] (SG_SCP_CNTRY)</w:t>
          </w:r>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812571"/>
            <w:bookmarkStart w:id="3" w:name="_Toc36812684"/>
            <w:bookmarkStart w:id="4" w:name="_Toc36813071"/>
            <w:bookmarkStart w:id="5" w:name="_Toc36655608"/>
            <w:bookmarkStart w:id="6" w:name="_Toc37932743"/>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12: Ensure sustainable consumption and production patterns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12.1: Implement the 10</w:t>
            </w:r>
            <w:r>
              <w:rPr>
                <w:rFonts w:hint="default"/>
              </w:rPr>
              <w:noBreakHyphen/>
            </w:r>
            <w:r>
              <w:rPr>
                <w:rFonts w:hint="default"/>
              </w:rPr>
              <w:t>Year Framework of Programmes on Sustainable Consumption and Production Patterns, all countries taking action, with developed countries taking the lead, taking into account the development and capabilities of developing countries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Indicator </w:t>
            </w:r>
            <w:r>
              <w:t>12.1.1</w:t>
            </w:r>
            <w:r>
              <w:rPr>
                <w:rFonts w:hint="default"/>
                <w:lang w:val="en-CA"/>
              </w:rPr>
              <w:t>:</w:t>
            </w:r>
            <w:r>
              <w:t xml:space="preserve"> </w:t>
            </w:r>
            <w:r>
              <w:rPr>
                <w:rFonts w:hint="default"/>
                <w:lang w:val="en-CA"/>
              </w:rPr>
              <w:t>Number of countries developing, adopting or implementing policy instruments aimed at supporting the shift to sustainable consumption and production</w:t>
            </w:r>
            <w:bookmarkStart w:id="37" w:name="_GoBack"/>
            <w:bookmarkEnd w:id="37"/>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6812685"/>
            <w:bookmarkStart w:id="8" w:name="_Toc36813072"/>
            <w:bookmarkStart w:id="9" w:name="_Toc36812572"/>
            <w:bookmarkStart w:id="10" w:name="_Toc37932744"/>
            <w:bookmarkStart w:id="11" w:name="_Toc36655609"/>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812686"/>
            <w:bookmarkStart w:id="13" w:name="_Toc36812573"/>
            <w:bookmarkStart w:id="14" w:name="_Toc36813073"/>
            <w:bookmarkStart w:id="15" w:name="_Toc37932745"/>
            <w:bookmarkStart w:id="16" w:name="_Toc36655610"/>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6813074"/>
            <w:bookmarkStart w:id="18" w:name="_Toc37932746"/>
            <w:r>
              <w:rPr>
                <w:sz w:val="32"/>
                <w:szCs w:val="32"/>
              </w:rPr>
              <w:t>3. Data source type and data collection method</w:t>
            </w:r>
            <w:bookmarkEnd w:id="17"/>
            <w:bookmarkEnd w:id="1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655612"/>
            <w:bookmarkStart w:id="20" w:name="_Toc36812688"/>
            <w:bookmarkStart w:id="21" w:name="_Toc36813075"/>
            <w:bookmarkStart w:id="22" w:name="_Toc36812575"/>
            <w:bookmarkStart w:id="23" w:name="_Toc37932747"/>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7932748"/>
            <w:bookmarkStart w:id="25" w:name="_Toc36655613"/>
            <w:bookmarkStart w:id="26" w:name="_Toc36812689"/>
            <w:bookmarkStart w:id="27" w:name="_Toc36813076"/>
            <w:bookmarkStart w:id="28" w:name="_Toc36812576"/>
            <w:r>
              <w:rPr>
                <w:sz w:val="32"/>
                <w:szCs w:val="32"/>
              </w:rPr>
              <w:t>5. Data availability and disaggregation</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2"/>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4" w:name="_Toc37932753"/>
      <w:bookmarkStart w:id="35" w:name="Mapping"/>
      <w:r>
        <w:rPr>
          <w:sz w:val="28"/>
          <w:szCs w:val="28"/>
        </w:rPr>
        <w:t>B. Mapping of SDMX Detailed Concepts to IAEG-SDG File Format</w:t>
      </w:r>
      <w:bookmarkEnd w:id="34"/>
    </w:p>
    <w:bookmarkEnd w:id="35"/>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6" w:name="_Toc37932754"/>
      <w:r>
        <w:rPr>
          <w:sz w:val="28"/>
          <w:szCs w:val="28"/>
        </w:rPr>
        <w:t>C. Mapping of IAEG-SDG File Format to SDMX Detailed Concepts</w:t>
      </w:r>
      <w:bookmarkEnd w:id="36"/>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0E737408"/>
    <w:rsid w:val="17985ABB"/>
    <w:rsid w:val="2A50255C"/>
    <w:rsid w:val="2EFD6D6C"/>
    <w:rsid w:val="34824CA8"/>
    <w:rsid w:val="39087851"/>
    <w:rsid w:val="3FB54248"/>
    <w:rsid w:val="4D4B7F10"/>
    <w:rsid w:val="548E182E"/>
    <w:rsid w:val="5E455DA7"/>
    <w:rsid w:val="617B58CA"/>
    <w:rsid w:val="65FE2CB0"/>
    <w:rsid w:val="6C064747"/>
    <w:rsid w:val="6C9D06DD"/>
    <w:rsid w:val="779C169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6</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2022-11-12T08:54:05Z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EA442A988DCE43399983AFC77A53F21E</vt:lpwstr>
  </property>
</Properties>
</file>