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0.0.0 National series not in global framework (_)</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6813071"/>
            <w:bookmarkStart w:id="5" w:name="_Toc36812684"/>
            <w:bookmarkStart w:id="6" w:name="_Toc36812571"/>
            <w:bookmarkStart w:id="7" w:name="_Toc37932743"/>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31"/>
              <w:rPr>
                <w:color w:val="333333"/>
              </w:rPr>
            </w:pPr>
            <w:r>
              <w:rPr>
                <w:color w:val="333333"/>
              </w:rPr>
              <w:t xml:space="preserve">Goal 8: Promote sustained, inclusive and sustainable economic growth, full and productive employment and decent work for all </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29"/>
              <w:rPr>
                <w:sz w:val="22"/>
                <w:szCs w:val="22"/>
              </w:rPr>
            </w:pPr>
            <w:r>
              <w:rPr>
                <w:sz w:val="22"/>
                <w:szCs w:val="22"/>
              </w:rPr>
              <w:t>Target 8.6: By 2020, substantially reduce the proportion of youth not in employment, education or training</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pStyle w:val="31"/>
              <w:rPr>
                <w:color w:val="333333"/>
              </w:rPr>
            </w:pPr>
            <w:r>
              <w:rPr>
                <w:color w:val="333333"/>
              </w:rPr>
              <w:t xml:space="preserve">Indicator 8.6.1: Proportion of youth (aged 15-24 years) not in education, employment or training </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rPr>
                <w:lang w:val="en-CA"/>
              </w:rPr>
            </w:pPr>
            <w:r>
              <w:rPr>
                <w:lang w:val="en-CA"/>
              </w:rPr>
              <w:t>8.5.2</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29"/>
              <w:rPr>
                <w:sz w:val="22"/>
                <w:szCs w:val="22"/>
              </w:rPr>
            </w:pPr>
            <w:r>
              <w:rPr>
                <w:sz w:val="22"/>
                <w:szCs w:val="22"/>
              </w:rPr>
              <w:t>I</w:t>
            </w:r>
            <w:r>
              <w:rPr>
                <w:sz w:val="22"/>
                <w:szCs w:val="22"/>
                <w:lang w:val="en-CA"/>
              </w:rPr>
              <w:t xml:space="preserve">nternational </w:t>
            </w:r>
            <w:r>
              <w:rPr>
                <w:sz w:val="22"/>
                <w:szCs w:val="22"/>
              </w:rPr>
              <w:t>L</w:t>
            </w:r>
            <w:r>
              <w:rPr>
                <w:sz w:val="22"/>
                <w:szCs w:val="22"/>
                <w:lang w:val="en-CA"/>
              </w:rPr>
              <w:t xml:space="preserve">abour </w:t>
            </w:r>
            <w:r>
              <w:rPr>
                <w:sz w:val="22"/>
                <w:szCs w:val="22"/>
              </w:rPr>
              <w:t>O</w:t>
            </w:r>
            <w:r>
              <w:rPr>
                <w:sz w:val="22"/>
                <w:szCs w:val="22"/>
                <w:lang w:val="en-CA"/>
              </w:rPr>
              <w:t>rganization (ILO</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655609"/>
            <w:bookmarkStart w:id="9" w:name="_Toc37932744"/>
            <w:bookmarkStart w:id="10" w:name="_Toc36813072"/>
            <w:bookmarkStart w:id="11" w:name="_Toc36812572"/>
            <w:bookmarkStart w:id="12" w:name="_Toc36812685"/>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655610"/>
            <w:bookmarkStart w:id="14" w:name="_Toc36812686"/>
            <w:bookmarkStart w:id="15" w:name="_Toc36813073"/>
            <w:bookmarkStart w:id="16" w:name="_Toc36812573"/>
            <w:bookmarkStart w:id="17" w:name="_Toc37932745"/>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34"/>
              <w:jc w:val="both"/>
              <w:rPr>
                <w:b/>
                <w:bCs/>
                <w:sz w:val="22"/>
                <w:szCs w:val="22"/>
              </w:rPr>
            </w:pPr>
            <w:r>
              <w:rPr>
                <w:b/>
                <w:bCs/>
                <w:sz w:val="22"/>
                <w:szCs w:val="22"/>
              </w:rPr>
              <w:t xml:space="preserve">Definition: </w:t>
            </w:r>
          </w:p>
          <w:p>
            <w:pPr>
              <w:pStyle w:val="34"/>
              <w:jc w:val="both"/>
              <w:rPr>
                <w:sz w:val="22"/>
                <w:szCs w:val="22"/>
              </w:rPr>
            </w:pPr>
            <w:r>
              <w:rPr>
                <w:sz w:val="22"/>
                <w:szCs w:val="22"/>
              </w:rPr>
              <w:t xml:space="preserve">This indicator conveys the proportion of youth (aged 15-24 years) not in education, employment or training (also known as "the youth NEET rate"). </w:t>
            </w:r>
          </w:p>
          <w:p>
            <w:pPr>
              <w:pStyle w:val="34"/>
              <w:jc w:val="both"/>
              <w:rPr>
                <w:sz w:val="22"/>
                <w:szCs w:val="22"/>
              </w:rPr>
            </w:pPr>
          </w:p>
          <w:p>
            <w:pPr>
              <w:pStyle w:val="34"/>
              <w:jc w:val="both"/>
              <w:rPr>
                <w:sz w:val="22"/>
                <w:szCs w:val="22"/>
              </w:rPr>
            </w:pPr>
            <w:r>
              <w:rPr>
                <w:b/>
                <w:bCs/>
                <w:sz w:val="22"/>
                <w:szCs w:val="22"/>
              </w:rPr>
              <w:t>Concepts:</w:t>
            </w:r>
            <w:r>
              <w:rPr>
                <w:sz w:val="22"/>
                <w:szCs w:val="22"/>
              </w:rPr>
              <w:t xml:space="preserve"> </w:t>
            </w:r>
          </w:p>
          <w:p>
            <w:pPr>
              <w:pStyle w:val="34"/>
              <w:jc w:val="both"/>
              <w:rPr>
                <w:sz w:val="22"/>
                <w:szCs w:val="22"/>
              </w:rPr>
            </w:pPr>
            <w:r>
              <w:rPr>
                <w:sz w:val="22"/>
                <w:szCs w:val="22"/>
              </w:rPr>
              <w:t xml:space="preserve">For the purposes of this indicator, youth is defined as all persons between the ages of 15 and 24 (inclusive). </w:t>
            </w:r>
          </w:p>
          <w:p>
            <w:pPr>
              <w:pStyle w:val="34"/>
              <w:jc w:val="both"/>
              <w:rPr>
                <w:sz w:val="22"/>
                <w:szCs w:val="22"/>
              </w:rPr>
            </w:pPr>
            <w:r>
              <w:rPr>
                <w:sz w:val="22"/>
                <w:szCs w:val="22"/>
              </w:rPr>
              <w:t xml:space="preserve">According to the </w:t>
            </w:r>
            <w:r>
              <w:rPr>
                <w:sz w:val="22"/>
                <w:szCs w:val="22"/>
              </w:rPr>
              <w:fldChar w:fldCharType="begin"/>
            </w:r>
            <w:r>
              <w:rPr>
                <w:sz w:val="22"/>
                <w:szCs w:val="22"/>
              </w:rPr>
              <w:instrText xml:space="preserve"> HYPERLINK "https://uis.unesco.org/en/topic/international-standard-classification-education-isced" </w:instrText>
            </w:r>
            <w:r>
              <w:rPr>
                <w:sz w:val="22"/>
                <w:szCs w:val="22"/>
              </w:rPr>
              <w:fldChar w:fldCharType="separate"/>
            </w:r>
            <w:r>
              <w:rPr>
                <w:rStyle w:val="18"/>
                <w:sz w:val="22"/>
                <w:szCs w:val="22"/>
              </w:rPr>
              <w:t>International Standard Classification of Education (ISCED)</w:t>
            </w:r>
            <w:r>
              <w:rPr>
                <w:sz w:val="22"/>
                <w:szCs w:val="22"/>
              </w:rPr>
              <w:fldChar w:fldCharType="end"/>
            </w:r>
            <w:r>
              <w:rPr>
                <w:sz w:val="22"/>
                <w:szCs w:val="22"/>
              </w:rPr>
              <w:t xml:space="preserve">, education is defined as organized and sustained communication designed to bring about learning. Formal education is defined in ISCED as education that is institutionalized, intentional and planned through public organizations and recognized private bodies and, in their totality, make up the formal education system of a country. </w:t>
            </w:r>
          </w:p>
          <w:p>
            <w:pPr>
              <w:pStyle w:val="34"/>
              <w:jc w:val="both"/>
              <w:rPr>
                <w:sz w:val="22"/>
                <w:szCs w:val="22"/>
              </w:rPr>
            </w:pPr>
            <w:r>
              <w:rPr>
                <w:sz w:val="22"/>
                <w:szCs w:val="22"/>
              </w:rPr>
              <w:t>Non-formal education, like formal education is defined in ISCED as education that is institutionalized, intentional and planned by an education provider but is considered an addition, alternative and/or a complement to formal education.</w:t>
            </w:r>
          </w:p>
          <w:p>
            <w:pPr>
              <w:pStyle w:val="34"/>
              <w:jc w:val="both"/>
              <w:rPr>
                <w:sz w:val="22"/>
                <w:szCs w:val="22"/>
              </w:rPr>
            </w:pPr>
            <w:r>
              <w:rPr>
                <w:sz w:val="22"/>
                <w:szCs w:val="22"/>
              </w:rPr>
              <w:t xml:space="preserve">Informal learning is defined in ISCED as forms of learning that are intentional or deliberate, but not institutionalized. It is thus less organized and less structured than either formal or non-formal education. Informal learning may include learning activities that occur in the family, in the work place, in the local community, and in daily life, on a self-directed, family-directed or socially-directed basis. </w:t>
            </w:r>
          </w:p>
          <w:p>
            <w:pPr>
              <w:pStyle w:val="34"/>
              <w:jc w:val="both"/>
              <w:rPr>
                <w:sz w:val="22"/>
                <w:szCs w:val="22"/>
              </w:rPr>
            </w:pPr>
            <w:r>
              <w:rPr>
                <w:sz w:val="22"/>
                <w:szCs w:val="22"/>
              </w:rPr>
              <w:t xml:space="preserve">Employment is defined as all persons of working age who, during a short reference period (one week), were engaged in any activity to produce goods or provide services for pay or profit.  </w:t>
            </w:r>
          </w:p>
          <w:p>
            <w:pPr>
              <w:pStyle w:val="34"/>
              <w:jc w:val="both"/>
              <w:rPr>
                <w:sz w:val="22"/>
                <w:szCs w:val="22"/>
              </w:rPr>
            </w:pPr>
            <w:r>
              <w:rPr>
                <w:sz w:val="22"/>
                <w:szCs w:val="22"/>
              </w:rPr>
              <w:t xml:space="preserve">For the purpose of this indicator, persons are considered to be in training if they are in a non-academic learning activity through which they acquire specific skills intended for vocational or technical jobs. </w:t>
            </w:r>
          </w:p>
          <w:p>
            <w:pPr>
              <w:jc w:val="both"/>
            </w:pPr>
            <w:r>
              <w:t>Vocational training prepares trainees for jobs that are based on manual or practical activities, and for skilled operative jobs, both blue and white collar related to a specific trade, occupation or vocation. Technical training on the other hand imparts learning that can be applied in intermediate-level jobs, in particular those of technicians and middle managers.</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t>Percentage</w:t>
            </w:r>
            <w:r>
              <w:rPr>
                <w:rFonts w:hint="default"/>
                <w:lang w:val="en-CA"/>
              </w:rPr>
              <w:t xml:space="preserv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r>
              <w:rPr>
                <w:rFonts w:hint="default"/>
                <w:lang w:val="en-CA"/>
              </w:rPr>
              <w:t>Ghana P</w:t>
            </w:r>
            <w:r>
              <w:t xml:space="preserve">opulation </w:t>
            </w:r>
            <w:r>
              <w:rPr>
                <w:rFonts w:hint="default"/>
                <w:lang w:val="en-CA"/>
              </w:rPr>
              <w:t>and Housing C</w:t>
            </w:r>
            <w:r>
              <w:t>ensus</w:t>
            </w:r>
            <w:r>
              <w:rPr>
                <w:rFonts w:hint="default"/>
                <w:lang w:val="en-CA"/>
              </w:rPr>
              <w:t>, 2010</w:t>
            </w:r>
            <w:r>
              <w:t xml:space="preserve"> </w:t>
            </w:r>
          </w:p>
          <w:p>
            <w:pPr>
              <w:rPr>
                <w:rFonts w:hint="default"/>
                <w:lang w:val="en-CA"/>
              </w:rPr>
            </w:pPr>
            <w:r>
              <w:rPr>
                <w:rFonts w:hint="default"/>
                <w:lang w:val="en-CA"/>
              </w:rPr>
              <w:t>Ghana Living Standards Survey (GLSS) Round 6 Labour Force Report, 2015</w:t>
            </w:r>
            <w:bookmarkStart w:id="38" w:name="_GoBack"/>
            <w:bookmarkEnd w:id="38"/>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lang w:val="en-CA"/>
              </w:rPr>
            </w:pPr>
            <w:r>
              <w:rPr>
                <w:lang w:val="en-CA"/>
              </w:rPr>
              <w:t>Ghana Statistical Service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lang w:val="en-CA"/>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655612"/>
            <w:bookmarkStart w:id="21" w:name="_Toc36812688"/>
            <w:bookmarkStart w:id="22" w:name="_Toc37932747"/>
            <w:bookmarkStart w:id="23" w:name="_Toc36812575"/>
            <w:bookmarkStart w:id="24" w:name="_Toc368130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jc w:val="both"/>
            </w:pPr>
            <w:r>
              <w:t>The share of youth not in employment, education or training (youth NEET rate) provides a measure of youth who are outside the educational system, not in training and not in employment, and thus serves as a broader measure of potential youth labour market entrants than youth unemployment. It includes discouraged worker youth as well as those who are outside the labour force due to disability or engagement in household chores, among other reasons.</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576"/>
            <w:bookmarkStart w:id="26" w:name="_Toc36812689"/>
            <w:bookmarkStart w:id="27" w:name="_Toc37932748"/>
            <w:bookmarkStart w:id="28" w:name="_Toc36655613"/>
            <w:bookmarkStart w:id="29" w:name="_Toc368130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This data is disaggregated by sex.</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rPr>
              <w:fldChar w:fldCharType="begin"/>
            </w:r>
            <w:r>
              <w:rPr>
                <w:rFonts w:hint="default"/>
              </w:rPr>
              <w:instrText xml:space="preserve"> HYPERLINK "https://data.oecd.org/youthinac/youth-not-in-employment-education-or-training-neet.htm" </w:instrText>
            </w:r>
            <w:r>
              <w:rPr>
                <w:rFonts w:hint="default"/>
              </w:rPr>
              <w:fldChar w:fldCharType="separate"/>
            </w:r>
            <w:r>
              <w:rPr>
                <w:rStyle w:val="18"/>
                <w:rFonts w:hint="default"/>
              </w:rPr>
              <w:t>https://data.oecd.org/youthinac/youth-not-in-employment-education-or-training-neet.htm</w:t>
            </w:r>
            <w:r>
              <w:rPr>
                <w:rFonts w:hint="default"/>
              </w:rPr>
              <w:fldChar w:fldCharType="end"/>
            </w:r>
            <w:r>
              <w:rPr>
                <w:rFonts w:hint="default"/>
                <w:lang w:val="en-CA"/>
              </w:rPr>
              <w:t xml:space="preserve"> </w:t>
            </w: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60"/>
  <w:documentProtection w:edit="readOnly" w:enforcement="1"/>
  <w:defaultTabStop w:val="720"/>
  <w:noPunctuationKerning w:val="1"/>
  <w:characterSpacingControl w:val="doNotCompress"/>
  <w:footnotePr>
    <w:footnote w:id="2"/>
    <w:footnote w:id="3"/>
  </w:footnotePr>
  <w:endnotePr>
    <w:numFmt w:val="decimal"/>
    <w:endnote w:id="0"/>
    <w:endnote w:id="1"/>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3233B"/>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97D69"/>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B79D0"/>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4102"/>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18A3483D"/>
    <w:rsid w:val="38F81CA0"/>
    <w:rsid w:val="5A784246"/>
    <w:rsid w:val="5EC05FE9"/>
    <w:rsid w:val="67F04A0C"/>
    <w:rsid w:val="7EBD48C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1"/>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2">
    <w:name w:val="Unresolved Mention2"/>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3.bin"/></Relationships>
</file>

<file path=word/activeX/_rels/activeX2.xml.rels><?xml version="1.0" encoding="UTF-8" standalone="yes"?>
<Relationships xmlns="http://schemas.openxmlformats.org/package/2006/relationships"><Relationship Id="rId1" Type="http://schemas.microsoft.com/office/2006/relationships/activeXControlBinary" Target="activeX1.bin"/></Relationships>
</file>

<file path=word/activeX/_rels/activeX3.xml.rels><?xml version="1.0" encoding="UTF-8" standalone="yes"?>
<Relationships xmlns="http://schemas.openxmlformats.org/package/2006/relationships"><Relationship Id="rId1" Type="http://schemas.microsoft.com/office/2006/relationships/activeXControlBinary" Target="activeX4.bin"/></Relationships>
</file>

<file path=word/activeX/_rels/activeX4.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13443D"/>
    <w:rsid w:val="00191883"/>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12</Pages>
  <Words>215857</Words>
  <Characters>1230387</Characters>
  <Lines>10253</Lines>
  <Paragraphs>2886</Paragraphs>
  <TotalTime>47</TotalTime>
  <ScaleCrop>false</ScaleCrop>
  <LinksUpToDate>false</LinksUpToDate>
  <CharactersWithSpaces>1443358</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2021-11-10T11:14:00Z</dcterms:created>
  <dc:creator>Fanning, Stephen B (JMD)</dc:creator>
  <cp:lastModifiedBy>Doreen</cp:lastModifiedBy>
  <cp:lastPrinted>2020-04-16T14:23:00Z</cp:lastPrinted>
  <dcterms:modified xsi:type="dcterms:W3CDTF">2022-11-14T18:19:43Z</dcterms:modified>
  <cp:revision>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AFCD38A89DA149F682D01E604FBD961F</vt:lpwstr>
  </property>
</Properties>
</file>