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3.1.2 Proportion of births attended by skilled health personnel [3.1.2] (SH_STA_BRTC)</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7932743"/>
            <w:bookmarkStart w:id="5" w:name="_Toc36812571"/>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r>
              <w:t>.</w:t>
            </w: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rPr>
                <w:rFonts w:asciiTheme="minorHAnsi" w:hAnsiTheme="minorHAnsi" w:cstheme="minorHAnsi"/>
                <w:color w:val="auto"/>
                <w:sz w:val="22"/>
                <w:szCs w:val="22"/>
              </w:rPr>
            </w:pPr>
            <w:r>
              <w:fldChar w:fldCharType="begin"/>
            </w:r>
            <w:r>
              <w:instrText xml:space="preserve"> HYPERLINK "https://sustainabledevelopment-ghana.github.io/good-health-and-well-being" </w:instrText>
            </w:r>
            <w:r>
              <w:fldChar w:fldCharType="separate"/>
            </w:r>
            <w:r>
              <w:rPr>
                <w:rStyle w:val="54"/>
                <w:rFonts w:asciiTheme="minorHAnsi" w:hAnsiTheme="minorHAnsi" w:cstheme="minorHAnsi"/>
                <w:color w:val="auto"/>
                <w:sz w:val="22"/>
                <w:szCs w:val="22"/>
              </w:rPr>
              <w:t xml:space="preserve">Goal 3: </w:t>
            </w:r>
            <w:r>
              <w:rPr>
                <w:rStyle w:val="18"/>
                <w:rFonts w:asciiTheme="minorHAnsi" w:hAnsiTheme="minorHAnsi" w:cstheme="minorHAnsi"/>
                <w:color w:val="auto"/>
                <w:sz w:val="22"/>
                <w:szCs w:val="22"/>
                <w:u w:val="none"/>
              </w:rPr>
              <w:t xml:space="preserve">Ensure healthy lives and promote well-being for all at all ages. </w:t>
            </w:r>
            <w:r>
              <w:rPr>
                <w:rStyle w:val="18"/>
                <w:rFonts w:asciiTheme="minorHAnsi" w:hAnsiTheme="minorHAnsi" w:cstheme="minorHAnsi"/>
                <w:color w:val="auto"/>
                <w:sz w:val="22"/>
                <w:szCs w:val="22"/>
                <w:u w:val="none"/>
              </w:rPr>
              <w:fldChar w:fldCharType="end"/>
            </w:r>
          </w:p>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rStyle w:val="55"/>
                <w:rFonts w:ascii="Calibri" w:hAnsi="Calibri" w:cs="Calibri"/>
                <w:color w:val="333333"/>
                <w:sz w:val="22"/>
                <w:szCs w:val="22"/>
              </w:rPr>
              <w:t>Target</w:t>
            </w:r>
            <w:r>
              <w:rPr>
                <w:rStyle w:val="55"/>
                <w:color w:val="333333"/>
                <w:sz w:val="22"/>
                <w:szCs w:val="22"/>
              </w:rPr>
              <w:t> </w:t>
            </w:r>
            <w:r>
              <w:rPr>
                <w:rStyle w:val="55"/>
                <w:rFonts w:ascii="Calibri" w:hAnsi="Calibri" w:cs="Calibri"/>
                <w:color w:val="333333"/>
                <w:sz w:val="22"/>
                <w:szCs w:val="22"/>
              </w:rPr>
              <w:t>3.1</w:t>
            </w:r>
            <w:r>
              <w:rPr>
                <w:rStyle w:val="55"/>
                <w:color w:val="333333"/>
                <w:sz w:val="22"/>
                <w:szCs w:val="22"/>
              </w:rPr>
              <w:t>:</w:t>
            </w:r>
            <w:r>
              <w:rPr>
                <w:rStyle w:val="55"/>
                <w:rFonts w:ascii="Calibri" w:hAnsi="Calibri" w:cs="Calibri"/>
                <w:color w:val="333333"/>
                <w:sz w:val="22"/>
                <w:szCs w:val="22"/>
              </w:rPr>
              <w:t> By 2030, reduce the global maternal mortality ratio to less than 70 per 100,000 live births.</w:t>
            </w:r>
            <w:r>
              <w:rPr>
                <w:rStyle w:val="56"/>
                <w:rFonts w:ascii="Calibri" w:hAnsi="Calibri" w:cs="Calibri"/>
                <w:color w:val="333333"/>
                <w:sz w:val="22"/>
                <w:szCs w:val="22"/>
              </w:rPr>
              <w:t>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rPr>
                <w:rFonts w:asciiTheme="minorHAnsi" w:hAnsiTheme="minorHAnsi" w:cstheme="minorHAnsi"/>
                <w:color w:val="auto"/>
                <w:sz w:val="22"/>
                <w:szCs w:val="22"/>
              </w:rPr>
            </w:pPr>
            <w:r>
              <w:rPr>
                <w:rFonts w:asciiTheme="minorHAnsi" w:hAnsiTheme="minorHAnsi" w:cstheme="minorHAnsi"/>
                <w:color w:val="auto"/>
                <w:sz w:val="22"/>
                <w:szCs w:val="22"/>
              </w:rPr>
              <w:t>Indicator 3.1.2: Proportion of births attended by skilled health personnel</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cstheme="minorHAnsi"/>
                <w:color w:val="0B0C0C"/>
                <w:shd w:val="clear" w:color="auto" w:fill="FFFFFF"/>
              </w:rPr>
            </w:pPr>
            <w:r>
              <w:rPr>
                <w:rFonts w:cstheme="minorHAnsi"/>
                <w:color w:val="0B0C0C"/>
                <w:shd w:val="clear" w:color="auto" w:fill="FFFFFF"/>
              </w:rPr>
              <w:t>Homes deliveries by region and locality type</w:t>
            </w:r>
          </w:p>
          <w:p>
            <w:pPr>
              <w:rPr>
                <w:rFonts w:cstheme="minorHAnsi"/>
                <w:color w:val="0B0C0C"/>
                <w:shd w:val="clear" w:color="auto" w:fill="FFFFFF"/>
              </w:rPr>
            </w:pPr>
            <w:r>
              <w:rPr>
                <w:rFonts w:cstheme="minorHAnsi"/>
                <w:color w:val="0B0C0C"/>
                <w:shd w:val="clear" w:color="auto" w:fill="FFFFFF"/>
              </w:rPr>
              <w:t>Proportion of births attended by skilled hea</w:t>
            </w:r>
            <w:bookmarkStart w:id="38" w:name="_GoBack"/>
            <w:bookmarkEnd w:id="38"/>
            <w:r>
              <w:rPr>
                <w:rFonts w:cstheme="minorHAnsi"/>
                <w:color w:val="0B0C0C"/>
                <w:shd w:val="clear" w:color="auto" w:fill="FFFFFF"/>
              </w:rPr>
              <w:t>lth personnel</w:t>
            </w:r>
          </w:p>
          <w:p>
            <w:pPr>
              <w:rPr>
                <w:rFonts w:cstheme="minorHAnsi"/>
                <w:color w:val="0B0C0C"/>
                <w:shd w:val="clear" w:color="auto" w:fill="FFFFFF"/>
              </w:rPr>
            </w:pPr>
            <w:r>
              <w:rPr>
                <w:rFonts w:cstheme="minorHAnsi"/>
                <w:color w:val="0B0C0C"/>
                <w:shd w:val="clear" w:color="auto" w:fill="FFFFFF"/>
              </w:rPr>
              <w:t>Type of care received during Health facility delivery</w:t>
            </w:r>
          </w:p>
          <w:p>
            <w:r>
              <w:rPr>
                <w:rFonts w:cstheme="minorHAnsi"/>
                <w:color w:val="0B0C0C"/>
                <w:shd w:val="clear" w:color="auto" w:fill="FFFFFF"/>
              </w:rPr>
              <w:t>Type of care received during Home delivery</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0"/>
              <w:rPr>
                <w:sz w:val="22"/>
                <w:szCs w:val="22"/>
              </w:rPr>
            </w:pPr>
            <w:r>
              <w:rPr>
                <w:sz w:val="22"/>
                <w:szCs w:val="22"/>
              </w:rPr>
              <w:t>Related to Target 3.1 on reducing maternal mortality, 3.2 on reducing neonatal mortality and 3.8 on achieving universal health coverage (coverage of essential health services).</w:t>
            </w:r>
          </w:p>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rPr>
                <w:rFonts w:ascii="Segoe UI" w:hAnsi="Segoe UI" w:cs="Segoe UI"/>
                <w:sz w:val="22"/>
                <w:szCs w:val="22"/>
              </w:rPr>
            </w:pPr>
            <w:r>
              <w:rPr>
                <w:rStyle w:val="55"/>
                <w:rFonts w:ascii="Calibri" w:hAnsi="Calibri" w:cs="Calibri"/>
                <w:color w:val="4A4A4A"/>
                <w:sz w:val="22"/>
                <w:szCs w:val="22"/>
              </w:rPr>
              <w:t>United Nations Children’s Fund (UNICEF) and World Health Organization (WHO</w:t>
            </w:r>
            <w:r>
              <w:rPr>
                <w:rStyle w:val="55"/>
                <w:color w:val="4A4A4A"/>
                <w:sz w:val="22"/>
                <w:szCs w:val="22"/>
              </w:rPr>
              <w:t>)</w:t>
            </w:r>
            <w:r>
              <w:rPr>
                <w:rStyle w:val="56"/>
                <w:color w:val="4A4A4A"/>
                <w:sz w:val="22"/>
                <w:szCs w:val="22"/>
              </w:rPr>
              <w:t> </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686"/>
            <w:bookmarkStart w:id="15" w:name="_Toc36812573"/>
            <w:bookmarkStart w:id="16" w:name="_Toc37932745"/>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Proportion of births attended by skilled health personnel (generally doctors, nurses or midwives but can refer to other health professionals providing childbirth care) is the proportion of childbirths attended by professional health personnel. According to the current definition (1) these are competent maternal and newborn health (MNH) professionals educated, trained and regulated to national and international standards. They are competent to: (i) provide and promote evidence-based, human-rights based, quality, socio-culturally sensitive and dignified care to women and newborns; (ii) facilitate physiological processes during labour and delivery to ensure a clean and positive childbirth experience; and (iii) identify and manage or refer women and/or newborns with complications.</w:t>
            </w: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Ghana Statistical Service,</w:t>
            </w:r>
            <w:r>
              <w:rPr>
                <w:rFonts w:ascii="Sitka Subheading" w:hAnsi="Sitka Subheading" w:eastAsia="Times New Roman" w:cs="Arial"/>
                <w:i/>
                <w:iCs/>
                <w:lang w:val="en-GB" w:eastAsia="en-GB"/>
              </w:rPr>
              <w:t xml:space="preserve"> </w:t>
            </w:r>
            <w:r>
              <w:rPr>
                <w:rFonts w:eastAsia="Times New Roman" w:cstheme="minorHAnsi"/>
                <w:lang w:val="en-GB" w:eastAsia="en-GB"/>
              </w:rPr>
              <w:t>Ghana Maternal and Health Survey 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7932747"/>
            <w:bookmarkStart w:id="22" w:name="_Toc36812688"/>
            <w:bookmarkStart w:id="23" w:name="_Toc36655612"/>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57"/>
              <w:shd w:val="clear" w:color="auto" w:fill="FFFFFF"/>
              <w:spacing w:before="0" w:beforeAutospacing="0" w:after="0" w:afterAutospacing="0"/>
              <w:textAlignment w:val="baseline"/>
              <w:rPr>
                <w:rFonts w:ascii="Segoe UI" w:hAnsi="Segoe UI" w:cs="Segoe UI"/>
                <w:sz w:val="22"/>
                <w:szCs w:val="22"/>
              </w:rPr>
            </w:pPr>
            <w:r>
              <w:rPr>
                <w:rStyle w:val="55"/>
                <w:rFonts w:ascii="Calibri" w:hAnsi="Calibri" w:cs="Calibri"/>
                <w:color w:val="4A4A4A"/>
                <w:sz w:val="22"/>
                <w:szCs w:val="22"/>
                <w:lang w:val="en-GB"/>
              </w:rPr>
              <w:t>Having a skilled health care provider at the time of childbirth is an important lifesaving intervention for both women</w:t>
            </w:r>
            <w:r>
              <w:rPr>
                <w:rStyle w:val="55"/>
                <w:color w:val="4A4A4A"/>
                <w:sz w:val="22"/>
                <w:szCs w:val="22"/>
                <w:lang w:val="en-GB"/>
              </w:rPr>
              <w:t> </w:t>
            </w:r>
            <w:r>
              <w:rPr>
                <w:rStyle w:val="55"/>
                <w:rFonts w:ascii="Calibri" w:hAnsi="Calibri" w:cs="Calibri"/>
                <w:color w:val="4A4A4A"/>
                <w:sz w:val="22"/>
                <w:szCs w:val="22"/>
                <w:lang w:val="en-GB"/>
              </w:rPr>
              <w:t>and newborns. Not having access to this key assistance is detrimental to women's and newborns health because it could cause the death of the women and/or the newborn</w:t>
            </w:r>
            <w:r>
              <w:rPr>
                <w:rStyle w:val="55"/>
                <w:color w:val="4A4A4A"/>
                <w:sz w:val="22"/>
                <w:szCs w:val="22"/>
                <w:lang w:val="en-GB"/>
              </w:rPr>
              <w:t> </w:t>
            </w:r>
            <w:r>
              <w:rPr>
                <w:rStyle w:val="55"/>
                <w:rFonts w:ascii="Calibri" w:hAnsi="Calibri" w:cs="Calibri"/>
                <w:color w:val="4A4A4A"/>
                <w:sz w:val="22"/>
                <w:szCs w:val="22"/>
                <w:lang w:val="en-GB"/>
              </w:rPr>
              <w:t>or long lasting</w:t>
            </w:r>
            <w:r>
              <w:rPr>
                <w:rStyle w:val="55"/>
                <w:color w:val="4A4A4A"/>
                <w:sz w:val="22"/>
                <w:szCs w:val="22"/>
                <w:lang w:val="en-GB"/>
              </w:rPr>
              <w:t> </w:t>
            </w:r>
            <w:r>
              <w:rPr>
                <w:rStyle w:val="55"/>
                <w:rFonts w:ascii="Calibri" w:hAnsi="Calibri" w:cs="Calibri"/>
                <w:color w:val="4A4A4A"/>
                <w:sz w:val="22"/>
                <w:szCs w:val="22"/>
                <w:lang w:val="en-GB"/>
              </w:rPr>
              <w:t>morbidity</w:t>
            </w:r>
            <w:r>
              <w:rPr>
                <w:rStyle w:val="56"/>
                <w:rFonts w:ascii="Calibri" w:hAnsi="Calibri" w:cs="Calibri"/>
                <w:color w:val="4A4A4A"/>
                <w:sz w:val="22"/>
                <w:szCs w:val="22"/>
              </w:rPr>
              <w:t xml:space="preserve"> Achieving universal coverage for this indicator is therefore essential for reducing maternal and newborn mortality. </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pStyle w:val="35"/>
              <w:rPr>
                <w:sz w:val="22"/>
                <w:szCs w:val="22"/>
              </w:rPr>
            </w:pPr>
            <w:r>
              <w:rPr>
                <w:sz w:val="22"/>
                <w:szCs w:val="22"/>
              </w:rPr>
              <w:t>Births attended by skilled health personnel is an indicator of health care utilization. It is a measure of the health system’s functioning and potential to provide adequate coverage for childbirth. On its own, however, this indicator does not provide insight into the availability or accessibility of services, for example in cases where emergency care if needed. Neither does this indicator capture the quality of care received.</w:t>
            </w:r>
          </w:p>
          <w:p>
            <w:pPr>
              <w:pStyle w:val="35"/>
              <w:rPr>
                <w:sz w:val="22"/>
                <w:szCs w:val="22"/>
              </w:rPr>
            </w:pPr>
          </w:p>
          <w:p>
            <w:pPr>
              <w:pStyle w:val="35"/>
              <w:rPr>
                <w:sz w:val="22"/>
                <w:szCs w:val="22"/>
              </w:rPr>
            </w:pPr>
            <w:r>
              <w:rPr>
                <w:sz w:val="22"/>
                <w:szCs w:val="22"/>
              </w:rPr>
              <w:t>Data collection and data interpretation in many countries is challenged by lack of guidelines, standardization of professional titles and functions of the health care provider, and in some countries by task-shifting. In addition, many countries have found that there are large gaps between international standards and the competencies of existing of health care professionals providing childbirth care. Lack of training and an enabling environment often hinder evidence based management of common obstetric and neonatal complications.</w:t>
            </w:r>
          </w:p>
          <w:p>
            <w:pPr>
              <w:pStyle w:val="35"/>
              <w:rPr>
                <w:sz w:val="22"/>
                <w:szCs w:val="22"/>
              </w:rPr>
            </w:pPr>
          </w:p>
          <w:p>
            <w:pPr>
              <w:pStyle w:val="35"/>
              <w:rPr>
                <w:sz w:val="22"/>
                <w:szCs w:val="22"/>
              </w:rPr>
            </w:pPr>
            <w:r>
              <w:rPr>
                <w:sz w:val="22"/>
                <w:szCs w:val="22"/>
              </w:rPr>
              <w:t>The most commonly used denominator is the number of live births.</w:t>
            </w:r>
          </w:p>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Total number of live births in the preceding five years assisted by a doctor, midwife, nurse or community health nurse (skilled health provider) divided by total number of live births in the preceding five years and multiplied by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3076"/>
            <w:bookmarkStart w:id="27" w:name="_Toc36655613"/>
            <w:bookmarkStart w:id="28" w:name="_Toc36812689"/>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ascii="Helvetica" w:hAnsi="Helvetica" w:eastAsia="Helvetica" w:cs="Helvetica"/>
                <w:i w:val="0"/>
                <w:iCs w:val="0"/>
                <w:caps w:val="0"/>
                <w:color w:val="0B0C0C"/>
                <w:spacing w:val="0"/>
                <w:sz w:val="12"/>
                <w:szCs w:val="12"/>
                <w:shd w:val="clear" w:fill="FFFFFF"/>
                <w:lang w:val="en-US"/>
              </w:rPr>
            </w:pPr>
            <w:r>
              <w:rPr>
                <w:rFonts w:hint="default" w:eastAsia="Helvetica" w:cs="Helvetica" w:asciiTheme="minorAscii" w:hAnsiTheme="minorAscii"/>
                <w:i w:val="0"/>
                <w:iCs w:val="0"/>
                <w:caps w:val="0"/>
                <w:color w:val="0B0C0C"/>
                <w:spacing w:val="0"/>
                <w:sz w:val="22"/>
                <w:szCs w:val="22"/>
                <w:shd w:val="clear" w:fill="FFFFFF"/>
                <w:lang w:val="en-US"/>
              </w:rPr>
              <w:t xml:space="preserve">The data has been disaggregated by regions, urban and rural areas, and type of care </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"https://view.officeapps.live.com/op/view.aspx?src=https%3A%2F%2Funstats.un.org%2Fsdgs%2Fmetadata%2Ffiles%2FMetadata-03-01-02.docx&amp;wdOrigin=BROWSELINK" </w:instrText>
            </w:r>
            <w:r>
              <w:fldChar w:fldCharType="separate"/>
            </w:r>
            <w:r>
              <w:rPr>
                <w:rStyle w:val="18"/>
              </w:rPr>
              <w:t>Metadata-03-01-02.docx (live.com)</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w:panose1 w:val="020B0502040204020203"/>
    <w:charset w:val="00"/>
    <w:family w:val="swiss"/>
    <w:pitch w:val="default"/>
    <w:sig w:usb0="E4002EFF" w:usb1="C000E47F" w:usb2="00000009" w:usb3="00000000" w:csb0="200001FF" w:csb1="00000000"/>
  </w:font>
  <w:font w:name="Sitka Subheading">
    <w:panose1 w:val="00000000000000000000"/>
    <w:charset w:val="00"/>
    <w:family w:val="auto"/>
    <w:pitch w:val="default"/>
    <w:sig w:usb0="A00002EF" w:usb1="4000204B" w:usb2="00000000" w:usb3="00000000" w:csb0="2000019F"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7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0D72"/>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35D01"/>
    <w:rsid w:val="00344199"/>
    <w:rsid w:val="003514F3"/>
    <w:rsid w:val="00352386"/>
    <w:rsid w:val="0035311B"/>
    <w:rsid w:val="00355460"/>
    <w:rsid w:val="00372D21"/>
    <w:rsid w:val="00380958"/>
    <w:rsid w:val="00380B14"/>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7BF7"/>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05A7"/>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23C4C"/>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267CE"/>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335F"/>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3AA1"/>
    <w:rsid w:val="00F2310E"/>
    <w:rsid w:val="00F54570"/>
    <w:rsid w:val="00F75853"/>
    <w:rsid w:val="00F7784D"/>
    <w:rsid w:val="00F8144F"/>
    <w:rsid w:val="00F8462A"/>
    <w:rsid w:val="00F862A7"/>
    <w:rsid w:val="00F93763"/>
    <w:rsid w:val="00F939A2"/>
    <w:rsid w:val="00F96E8D"/>
    <w:rsid w:val="00FA20D9"/>
    <w:rsid w:val="00FB03D0"/>
    <w:rsid w:val="00FD54D7"/>
    <w:rsid w:val="00FF642D"/>
    <w:rsid w:val="691B67E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hidden-sm"/>
    <w:basedOn w:val="4"/>
    <w:qFormat/>
    <w:uiPriority w:val="0"/>
  </w:style>
  <w:style w:type="character" w:customStyle="1" w:styleId="55">
    <w:name w:val="normaltextrun"/>
    <w:basedOn w:val="4"/>
    <w:qFormat/>
    <w:uiPriority w:val="0"/>
  </w:style>
  <w:style w:type="character" w:customStyle="1" w:styleId="56">
    <w:name w:val="eop"/>
    <w:basedOn w:val="4"/>
    <w:qFormat/>
    <w:uiPriority w:val="0"/>
  </w:style>
  <w:style w:type="paragraph" w:customStyle="1" w:styleId="57">
    <w:name w:val="paragraph"/>
    <w:basedOn w:val="1"/>
    <w:qFormat/>
    <w:uiPriority w:val="0"/>
    <w:pPr>
      <w:spacing w:before="100" w:beforeAutospacing="1" w:after="100" w:afterAutospacing="1" w:line="240" w:lineRule="auto"/>
    </w:pPr>
    <w:rPr>
      <w:rFonts w:ascii="Times New Roman" w:hAnsi="Times New Roman" w:eastAsia="Times New Roman" w:cs="Times New Roman"/>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15A9B"/>
    <w:rsid w:val="00296525"/>
    <w:rsid w:val="0036646D"/>
    <w:rsid w:val="006153AA"/>
    <w:rsid w:val="0064052E"/>
    <w:rsid w:val="00760A1F"/>
    <w:rsid w:val="008B402B"/>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215932</Words>
  <Characters>1230817</Characters>
  <Lines>10256</Lines>
  <Paragraphs>2887</Paragraphs>
  <TotalTime>67</TotalTime>
  <ScaleCrop>false</ScaleCrop>
  <LinksUpToDate>false</LinksUpToDate>
  <CharactersWithSpaces>1443862</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2021-10-18T12:15:00Z</dcterms:created>
  <dc:creator>Fanning, Stephen B (JMD)</dc:creator>
  <cp:lastModifiedBy>origi</cp:lastModifiedBy>
  <cp:lastPrinted>2020-04-16T14:23:00Z</cp:lastPrinted>
  <dcterms:modified xsi:type="dcterms:W3CDTF">2022-10-10T21:40:58Z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41FF9C98818545F1ADAB3CF87B307A3F</vt:lpwstr>
  </property>
</Properties>
</file>