
<file path=[Content_Types].xml><?xml version="1.0" encoding="utf-8"?>
<Types xmlns="http://schemas.openxmlformats.org/package/2006/content-types">
  <Default Extension="xml" ContentType="application/xml"/>
  <Default Extension="wmf" ContentType="image/x-wmf"/>
  <Default Extension="rels" ContentType="application/vnd.openxmlformats-package.relationships+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activeX/activeX1.bin" ContentType="application/vnd.ms-office.activeX"/>
  <Override PartName="/word/activeX/activeX1.xml" ContentType="application/vnd.ms-office.activeX+xml"/>
  <Override PartName="/word/activeX/activeX2.bin" ContentType="application/vnd.ms-office.activeX"/>
  <Override PartName="/word/activeX/activeX2.xml" ContentType="application/vnd.ms-office.activeX+xml"/>
  <Override PartName="/word/activeX/activeX3.bin" ContentType="application/vnd.ms-office.activeX"/>
  <Override PartName="/word/activeX/activeX3.xml" ContentType="application/vnd.ms-office.activeX+xml"/>
  <Override PartName="/word/activeX/activeX4.bin" ContentType="application/vnd.ms-office.activeX"/>
  <Override PartName="/word/activeX/activeX4.xml" ContentType="application/vnd.ms-office.activeX+xml"/>
  <Override PartName="/word/document.xml" ContentType="application/vnd.ms-word.document.macroEnabled.main+xml"/>
  <Override PartName="/word/endnotes.xml" ContentType="application/vnd.openxmlformats-officedocument.wordprocessingml.endnotes+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footnotes.xml" ContentType="application/vnd.openxmlformats-officedocument.wordprocessingml.footnotes+xml"/>
  <Override PartName="/word/glossary/document.xml" ContentType="application/vnd.openxmlformats-officedocument.wordprocessingml.document.glossary+xml"/>
  <Override PartName="/word/glossary/endnotes.xml" ContentType="application/vnd.openxmlformats-officedocument.wordprocessingml.endnotes+xml"/>
  <Override PartName="/word/glossary/fontTable.xml" ContentType="application/vnd.openxmlformats-officedocument.wordprocessingml.fontTable+xml"/>
  <Override PartName="/word/glossary/footnotes.xml" ContentType="application/vnd.openxmlformats-officedocument.wordprocessingml.footnotes+xml"/>
  <Override PartName="/word/glossary/settings.xml" ContentType="application/vnd.openxmlformats-officedocument.wordprocessingml.settings+xml"/>
  <Override PartName="/word/glossary/styles.xml" ContentType="application/vnd.openxmlformats-officedocument.wordprocessingml.styles+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Override PartName="/word/vbaData.xml" ContentType="application/vnd.ms-word.vbaData+xml"/>
  <Override PartName="/word/vbaProject.bin" ContentType="application/vnd.ms-office.vbaProject"/>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pStyle w:val="21"/>
        <w:jc w:val="center"/>
        <w:rPr>
          <w:rFonts w:eastAsiaTheme="minorHAnsi"/>
          <w:sz w:val="48"/>
          <w:szCs w:val="48"/>
        </w:rPr>
      </w:pPr>
      <w:r>
        <w:rPr>
          <w:rFonts w:eastAsiaTheme="minorHAnsi"/>
          <w:sz w:val="48"/>
          <w:szCs w:val="48"/>
        </w:rPr>
        <w:t>SDG Metadata Authoring Tool Template</w:t>
      </w:r>
    </w:p>
    <w:p>
      <w:pPr>
        <w:pStyle w:val="19"/>
        <w:jc w:val="center"/>
      </w:pPr>
      <w:r>
        <w:t>Word Version 3.4 (DRAFT)</w:t>
      </w:r>
    </w:p>
    <w:p>
      <w:pPr>
        <w:jc w:val="center"/>
      </w:pPr>
      <w:r>
        <w:t>Main and Detailed Concept Collection Form</w:t>
      </w:r>
    </w:p>
    <w:sdt>
      <w:sdtPr>
        <w:rPr>
          <w:rFonts w:asciiTheme="minorHAnsi" w:hAnsiTheme="minorHAnsi" w:eastAsiaTheme="minorHAnsi" w:cstheme="minorBidi"/>
          <w:color w:val="auto"/>
          <w:sz w:val="22"/>
          <w:szCs w:val="22"/>
        </w:rPr>
        <w:id w:val="-682818703"/>
        <w:docPartObj>
          <w:docPartGallery w:val="Table of Contents"/>
          <w:docPartUnique/>
        </w:docPartObj>
      </w:sdtPr>
      <w:sdtEndPr>
        <w:rPr>
          <w:rFonts w:asciiTheme="minorHAnsi" w:hAnsiTheme="minorHAnsi" w:eastAsiaTheme="minorHAnsi" w:cstheme="minorBidi"/>
          <w:b/>
          <w:bCs/>
          <w:color w:val="auto"/>
          <w:sz w:val="22"/>
          <w:szCs w:val="22"/>
        </w:rPr>
      </w:sdtEndPr>
      <w:sdtContent>
        <w:p>
          <w:pPr>
            <w:pStyle w:val="26"/>
          </w:pPr>
          <w:r>
            <w:t>Contents</w:t>
          </w:r>
        </w:p>
        <w:p>
          <w:pPr>
            <w:pStyle w:val="22"/>
            <w:tabs>
              <w:tab w:val="right" w:leader="dot" w:pos="9350"/>
            </w:tabs>
            <w:rPr>
              <w:rFonts w:eastAsiaTheme="minorEastAsia"/>
            </w:rPr>
          </w:pPr>
          <w:r>
            <w:rPr>
              <w:rStyle w:val="18"/>
            </w:rPr>
            <w:fldChar w:fldCharType="begin"/>
          </w:r>
          <w:r>
            <w:rPr>
              <w:rStyle w:val="18"/>
            </w:rPr>
            <w:instrText xml:space="preserve"> TOC \o "1-3" \h \z \u </w:instrText>
          </w:r>
          <w:r>
            <w:rPr>
              <w:rStyle w:val="18"/>
            </w:rPr>
            <w:fldChar w:fldCharType="separate"/>
          </w:r>
          <w:r>
            <w:fldChar w:fldCharType="begin"/>
          </w:r>
          <w:r>
            <w:instrText xml:space="preserve"> HYPERLINK \l "_Toc37932741" </w:instrText>
          </w:r>
          <w:r>
            <w:fldChar w:fldCharType="separate"/>
          </w:r>
          <w:r>
            <w:rPr>
              <w:rStyle w:val="18"/>
            </w:rPr>
            <w:t>Metadata Attachment</w:t>
          </w:r>
          <w:r>
            <w:tab/>
          </w:r>
          <w:r>
            <w:fldChar w:fldCharType="begin"/>
          </w:r>
          <w:r>
            <w:instrText xml:space="preserve"> PAGEREF _Toc37932741 \h </w:instrText>
          </w:r>
          <w:r>
            <w:fldChar w:fldCharType="separate"/>
          </w:r>
          <w:r>
            <w:t>2</w:t>
          </w:r>
          <w:r>
            <w:fldChar w:fldCharType="end"/>
          </w:r>
          <w:r>
            <w:fldChar w:fldCharType="end"/>
          </w:r>
        </w:p>
        <w:p>
          <w:pPr>
            <w:pStyle w:val="22"/>
            <w:tabs>
              <w:tab w:val="right" w:leader="dot" w:pos="9350"/>
            </w:tabs>
            <w:rPr>
              <w:rFonts w:eastAsiaTheme="minorEastAsia"/>
            </w:rPr>
          </w:pPr>
          <w:r>
            <w:fldChar w:fldCharType="begin"/>
          </w:r>
          <w:r>
            <w:instrText xml:space="preserve"> HYPERLINK \l "_Toc37932742" </w:instrText>
          </w:r>
          <w:r>
            <w:fldChar w:fldCharType="separate"/>
          </w:r>
          <w:r>
            <w:rPr>
              <w:rStyle w:val="18"/>
            </w:rPr>
            <w:t>Metadata Submission Form</w:t>
          </w:r>
          <w:r>
            <w:tab/>
          </w:r>
          <w:r>
            <w:fldChar w:fldCharType="begin"/>
          </w:r>
          <w:r>
            <w:instrText xml:space="preserve"> PAGEREF _Toc37932742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"_Toc37932743" </w:instrText>
          </w:r>
          <w:r>
            <w:fldChar w:fldCharType="separate"/>
          </w:r>
          <w:r>
            <w:rPr>
              <w:rStyle w:val="18"/>
            </w:rPr>
            <w:t>0. Indicator information</w:t>
          </w:r>
          <w:r>
            <w:tab/>
          </w:r>
          <w:r>
            <w:fldChar w:fldCharType="begin"/>
          </w:r>
          <w:r>
            <w:instrText xml:space="preserve"> PAGEREF _Toc37932743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"_Toc37932744" </w:instrText>
          </w:r>
          <w:r>
            <w:fldChar w:fldCharType="separate"/>
          </w:r>
          <w:r>
            <w:rPr>
              <w:rStyle w:val="18"/>
            </w:rPr>
            <w:t>1. Data reporter</w:t>
          </w:r>
          <w:r>
            <w:tab/>
          </w:r>
          <w:r>
            <w:fldChar w:fldCharType="begin"/>
          </w:r>
          <w:r>
            <w:instrText xml:space="preserve"> PAGEREF _Toc37932744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"_Toc37932745" </w:instrText>
          </w:r>
          <w:r>
            <w:fldChar w:fldCharType="separate"/>
          </w:r>
          <w:r>
            <w:rPr>
              <w:rStyle w:val="18"/>
            </w:rPr>
            <w:t>2. Definition, concepts, and classifications</w:t>
          </w:r>
          <w:r>
            <w:tab/>
          </w:r>
          <w:r>
            <w:fldChar w:fldCharType="begin"/>
          </w:r>
          <w:r>
            <w:instrText xml:space="preserve"> PAGEREF _Toc37932745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"_Toc37932746" </w:instrText>
          </w:r>
          <w:r>
            <w:fldChar w:fldCharType="separate"/>
          </w:r>
          <w:r>
            <w:rPr>
              <w:rStyle w:val="18"/>
            </w:rPr>
            <w:t>3. Data source type and data collection method</w:t>
          </w:r>
          <w:r>
            <w:tab/>
          </w:r>
          <w:r>
            <w:fldChar w:fldCharType="begin"/>
          </w:r>
          <w:r>
            <w:instrText xml:space="preserve"> PAGEREF _Toc37932746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"_Toc37932747" </w:instrText>
          </w:r>
          <w:r>
            <w:fldChar w:fldCharType="separate"/>
          </w:r>
          <w:r>
            <w:rPr>
              <w:rStyle w:val="18"/>
            </w:rPr>
            <w:t>4. Other methodological considerations</w:t>
          </w:r>
          <w:r>
            <w:tab/>
          </w:r>
          <w:r>
            <w:fldChar w:fldCharType="begin"/>
          </w:r>
          <w:r>
            <w:instrText xml:space="preserve"> PAGEREF _Toc37932747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"_Toc37932748" </w:instrText>
          </w:r>
          <w:r>
            <w:fldChar w:fldCharType="separate"/>
          </w:r>
          <w:r>
            <w:rPr>
              <w:rStyle w:val="18"/>
            </w:rPr>
            <w:t>5. Data availability and disaggregation</w:t>
          </w:r>
          <w:r>
            <w:tab/>
          </w:r>
          <w:r>
            <w:fldChar w:fldCharType="begin"/>
          </w:r>
          <w:r>
            <w:instrText xml:space="preserve"> PAGEREF _Toc37932748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"_Toc37932749" </w:instrText>
          </w:r>
          <w:r>
            <w:fldChar w:fldCharType="separate"/>
          </w:r>
          <w:r>
            <w:rPr>
              <w:rStyle w:val="18"/>
            </w:rPr>
            <w:t>6. Comparability/deviation from international standards</w:t>
          </w:r>
          <w:r>
            <w:tab/>
          </w:r>
          <w:r>
            <w:fldChar w:fldCharType="begin"/>
          </w:r>
          <w:r>
            <w:instrText xml:space="preserve"> PAGEREF _Toc37932749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"_Toc37932750" </w:instrText>
          </w:r>
          <w:r>
            <w:fldChar w:fldCharType="separate"/>
          </w:r>
          <w:r>
            <w:rPr>
              <w:rStyle w:val="18"/>
            </w:rPr>
            <w:t>7. References and documentation</w:t>
          </w:r>
          <w:r>
            <w:tab/>
          </w:r>
          <w:r>
            <w:fldChar w:fldCharType="begin"/>
          </w:r>
          <w:r>
            <w:instrText xml:space="preserve"> PAGEREF _Toc37932750 \h </w:instrText>
          </w:r>
          <w:r>
            <w:fldChar w:fldCharType="separate"/>
          </w:r>
          <w:r>
            <w:t>4</w:t>
          </w:r>
          <w:r>
            <w:fldChar w:fldCharType="end"/>
          </w:r>
          <w:r>
            <w:fldChar w:fldCharType="end"/>
          </w:r>
        </w:p>
        <w:p>
          <w:pPr>
            <w:pStyle w:val="22"/>
            <w:tabs>
              <w:tab w:val="right" w:leader="dot" w:pos="9350"/>
            </w:tabs>
            <w:rPr>
              <w:rFonts w:eastAsiaTheme="minorEastAsia"/>
            </w:rPr>
          </w:pPr>
          <w:r>
            <w:fldChar w:fldCharType="begin"/>
          </w:r>
          <w:r>
            <w:instrText xml:space="preserve"> HYPERLINK \l "_Toc37932751" </w:instrText>
          </w:r>
          <w:r>
            <w:fldChar w:fldCharType="separate"/>
          </w:r>
          <w:r>
            <w:rPr>
              <w:rStyle w:val="18"/>
              <w:rFonts w:eastAsia="Times New Roman" w:cs="Times New Roman"/>
              <w:lang w:val="en-GB" w:eastAsia="en-GB"/>
            </w:rPr>
            <w:t>Appendices</w:t>
          </w:r>
          <w:r>
            <w:tab/>
          </w:r>
          <w:r>
            <w:fldChar w:fldCharType="begin"/>
          </w:r>
          <w:r>
            <w:instrText xml:space="preserve"> PAGEREF _Toc37932751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"_Toc37932752" </w:instrText>
          </w:r>
          <w:r>
            <w:fldChar w:fldCharType="separate"/>
          </w:r>
          <w:r>
            <w:rPr>
              <w:rStyle w:val="18"/>
            </w:rPr>
            <w:t>A. Definitions of Metadata Concepts</w:t>
          </w:r>
          <w:r>
            <w:tab/>
          </w:r>
          <w:r>
            <w:fldChar w:fldCharType="begin"/>
          </w:r>
          <w:r>
            <w:instrText xml:space="preserve"> PAGEREF _Toc37932752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"_Toc37932753" </w:instrText>
          </w:r>
          <w:r>
            <w:fldChar w:fldCharType="separate"/>
          </w:r>
          <w:r>
            <w:rPr>
              <w:rStyle w:val="18"/>
            </w:rPr>
            <w:t>B. Mapping of SDMX Detailed Concepts to IAEG-SDG File Format</w:t>
          </w:r>
          <w:r>
            <w:tab/>
          </w:r>
          <w:r>
            <w:fldChar w:fldCharType="begin"/>
          </w:r>
          <w:r>
            <w:instrText xml:space="preserve"> PAGEREF _Toc37932753 \h </w:instrText>
          </w:r>
          <w:r>
            <w:fldChar w:fldCharType="separate"/>
          </w:r>
          <w:r>
            <w:t>7</w:t>
          </w:r>
          <w:r>
            <w:fldChar w:fldCharType="end"/>
          </w:r>
          <w:r>
            <w:fldChar w:fldCharType="end"/>
          </w:r>
        </w:p>
        <w:p>
          <w:pPr>
            <w:pStyle w:val="23"/>
            <w:tabs>
              <w:tab w:val="right" w:leader="dot" w:pos="9350"/>
            </w:tabs>
            <w:rPr>
              <w:b/>
              <w:bCs/>
            </w:rPr>
          </w:pPr>
          <w:r>
            <w:fldChar w:fldCharType="begin"/>
          </w:r>
          <w:r>
            <w:instrText xml:space="preserve"> HYPERLINK \l "_Toc37932754" </w:instrText>
          </w:r>
          <w:r>
            <w:fldChar w:fldCharType="separate"/>
          </w:r>
          <w:r>
            <w:rPr>
              <w:rStyle w:val="18"/>
            </w:rPr>
            <w:t>C. Mapping of IAEG-SDG File Format to SDMX Detailed Concepts</w:t>
          </w:r>
          <w:r>
            <w:tab/>
          </w:r>
          <w:r>
            <w:fldChar w:fldCharType="begin"/>
          </w:r>
          <w:r>
            <w:instrText xml:space="preserve"> PAGEREF _Toc37932754 \h </w:instrText>
          </w:r>
          <w:r>
            <w:fldChar w:fldCharType="separate"/>
          </w:r>
          <w:r>
            <w:t>8</w:t>
          </w:r>
          <w:r>
            <w:fldChar w:fldCharType="end"/>
          </w:r>
          <w:r>
            <w:fldChar w:fldCharType="end"/>
          </w:r>
          <w:r>
            <w:rPr>
              <w:b/>
              <w:bCs/>
            </w:rPr>
            <w:fldChar w:fldCharType="end"/>
          </w:r>
        </w:p>
      </w:sdtContent>
    </w:sdt>
    <w:p>
      <w:pPr>
        <w:pStyle w:val="37"/>
        <w:outlineLvl w:val="9"/>
      </w:pPr>
      <w:r>
        <w:t>Instructions</w:t>
      </w:r>
    </w:p>
    <w:p>
      <w:r>
        <w:rPr>
          <w:b/>
          <w:bCs/>
        </w:rPr>
        <w:t>This is a template for 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r>
        <w:rPr>
          <w:b/>
          <w:bCs/>
        </w:rPr>
        <w:t>Both national and global metadata can be submitted using this tool.</w:t>
      </w:r>
      <w:r>
        <w:t xml:space="preserve"> Headers, text, bullets, tables, formulas, and images can be cut and pasted into their corresponding cell without additional formatting.</w:t>
      </w:r>
      <w:r>
        <w:rPr>
          <w:rStyle w:val="14"/>
        </w:rPr>
        <w:footnoteReference w:id="0"/>
      </w:r>
      <w:r>
        <w:t xml:space="preserve"> A </w:t>
      </w:r>
      <w:r>
        <w:fldChar w:fldCharType="begin"/>
      </w:r>
      <w:r>
        <w:instrText xml:space="preserve"> HYPERLINK \l "Mapping" </w:instrText>
      </w:r>
      <w:r>
        <w:fldChar w:fldCharType="separate"/>
      </w:r>
      <w:r>
        <w:rPr>
          <w:rStyle w:val="18"/>
        </w:rPr>
        <w:t>mapping</w:t>
      </w:r>
      <w:r>
        <w:rPr>
          <w:rStyle w:val="18"/>
        </w:rPr>
        <w:fldChar w:fldCharType="end"/>
      </w:r>
      <w:r>
        <w:t xml:space="preserve"> of the IAEG-SDG metadata file format to SDMX metadata concepts is also provided.</w:t>
      </w:r>
    </w:p>
    <w:p>
      <w:r>
        <w:rPr>
          <w:b/>
          <w:bCs/>
        </w:rPr>
        <w:t>Use only the metadata concepts provided</w:t>
      </w:r>
      <w:r>
        <w:t xml:space="preserve">. Do not add additional metadata concepts. Only the SDMX Metadata Concepts will be read by our automation tool. Use the detailed metadata concepts (preceded by a number and a letter e.g. “0.a”) where available and as feasible; otherwise use the main concepts (preceded by a number e.g. “0”). If you are not sure where to put metadata within the existing SDMX Metadata Concepts, see the </w:t>
      </w:r>
      <w:r>
        <w:fldChar w:fldCharType="begin"/>
      </w:r>
      <w:r>
        <w:instrText xml:space="preserve"> HYPERLINK \l "Metadata_Concept_Definitions" </w:instrText>
      </w:r>
      <w:r>
        <w:fldChar w:fldCharType="separate"/>
      </w:r>
      <w:r>
        <w:rPr>
          <w:rStyle w:val="18"/>
        </w:rPr>
        <w:t>descriptions</w:t>
      </w:r>
      <w:r>
        <w:rPr>
          <w:rStyle w:val="18"/>
        </w:rPr>
        <w:fldChar w:fldCharType="end"/>
      </w:r>
      <w:r>
        <w:t xml:space="preserve"> provided. </w:t>
      </w:r>
    </w:p>
    <w:p>
      <w:r>
        <w:rPr>
          <w:b/>
          <w:bCs/>
        </w:rPr>
        <w:t>Submit one set of tables for each SDG indicator metadata file</w:t>
      </w:r>
      <w:r>
        <w:t>.</w:t>
      </w:r>
    </w:p>
    <w:p/>
    <w:p>
      <w:pPr>
        <w:pStyle w:val="37"/>
        <w:outlineLvl w:val="0"/>
      </w:pPr>
      <w:bookmarkStart w:id="0" w:name="_Toc37932741"/>
      <w:r>
        <w:t>Metadata Attachment</w:t>
      </w:r>
      <w:bookmarkEnd w:id="0"/>
    </w:p>
    <w:p>
      <w:pPr>
        <w:spacing w:after="0"/>
        <w:rPr>
          <w:sz w:val="26"/>
          <w:szCs w:val="26"/>
        </w:rPr>
      </w:pPr>
      <w:r>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
          <w:permStart w:id="0" w:edGrp="everyone"/>
          <w:r>
            <w:t>National (N)</w:t>
          </w:r>
        </w:p>
      </w:sdtContent>
    </w:sdt>
    <w:permEnd w:id="0"/>
    <w:p>
      <w:pPr>
        <w:spacing w:after="0"/>
        <w:rPr>
          <w:sz w:val="26"/>
          <w:szCs w:val="26"/>
        </w:rPr>
      </w:pPr>
      <w:r>
        <w:rPr>
          <w:sz w:val="26"/>
          <w:szCs w:val="26"/>
        </w:rPr>
        <w:t>SDG series</w:t>
      </w:r>
    </w:p>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permStart w:id="1" w:edGrp="everyone"/>
          <w:bookmarkStart w:id="1" w:name="_Hlk53861140"/>
          <w:r>
            <w:t>0.0.0 National series not in global framework (_)</w:t>
          </w:r>
          <w:permEnd w:id="1"/>
        </w:p>
      </w:sdtContent>
    </w:sdt>
    <w:bookmarkEnd w:id="1"/>
    <w:p>
      <w:pPr>
        <w:spacing w:after="0"/>
        <w:rPr>
          <w:sz w:val="26"/>
          <w:szCs w:val="26"/>
        </w:rPr>
      </w:pPr>
    </w:p>
    <w:p>
      <w:pPr>
        <w:spacing w:after="0"/>
        <w:rPr>
          <w:sz w:val="26"/>
          <w:szCs w:val="26"/>
        </w:rPr>
      </w:pPr>
      <w:r>
        <w:rPr>
          <w:sz w:val="26"/>
          <w:szCs w:val="26"/>
        </w:rPr>
        <w:object>
          <v:shape id="_x0000_i1025" o:spt="201" type="#_x0000_t201" style="height:24pt;width:72pt;" o:ole="t" filled="f" o:preferrelative="t" stroked="f" coordsize="21600,21600">
            <v:path/>
            <v:fill on="f" focussize="0,0"/>
            <v:stroke on="f"/>
            <v:imagedata r:id="rId9" o:title=""/>
            <o:lock v:ext="edit" aspectratio="t"/>
            <w10:wrap type="none"/>
            <w10:anchorlock/>
          </v:shape>
          <w:control r:id="rId8" w:name="AddSeries" w:shapeid="_x0000_i1025"/>
        </w:object>
      </w:r>
      <w:r>
        <w:rPr>
          <w:sz w:val="26"/>
          <w:szCs w:val="26"/>
        </w:rPr>
        <w:t xml:space="preserve">   </w:t>
      </w:r>
      <w:r>
        <w:rPr>
          <w:sz w:val="26"/>
          <w:szCs w:val="26"/>
        </w:rPr>
        <w:object>
          <v:shape id="_x0000_i1026" o:spt="201" type="#_x0000_t201" style="height:24pt;width:91.5pt;" o:ole="t" filled="f" o:preferrelative="t" stroked="f" coordsize="21600,21600">
            <v:path/>
            <v:fill on="f" focussize="0,0"/>
            <v:stroke on="f"/>
            <v:imagedata r:id="rId11" o:title=""/>
            <o:lock v:ext="edit" aspectratio="t"/>
            <w10:wrap type="none"/>
            <w10:anchorlock/>
          </v:shape>
          <w:control r:id="rId10" w:name="RemoveSeries" w:shapeid="_x0000_i1026"/>
        </w:object>
      </w:r>
    </w:p>
    <w:p>
      <w:pPr>
        <w:spacing w:after="0"/>
        <w:rPr>
          <w:sz w:val="26"/>
          <w:szCs w:val="26"/>
        </w:rPr>
      </w:pPr>
    </w:p>
    <w:p>
      <w:pPr>
        <w:spacing w:after="0"/>
        <w:rPr>
          <w:sz w:val="26"/>
          <w:szCs w:val="26"/>
        </w:rPr>
      </w:pPr>
      <w:r>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
          <w:permStart w:id="2" w:edGrp="everyone"/>
          <w:r>
            <w:t>Ghana (288)</w:t>
          </w:r>
        </w:p>
      </w:sdtContent>
    </w:sdt>
    <w:permEnd w:id="2"/>
    <w:p>
      <w:pPr>
        <w:spacing w:after="0"/>
        <w:rPr>
          <w:sz w:val="26"/>
          <w:szCs w:val="26"/>
        </w:rPr>
      </w:pPr>
      <w:r>
        <w:rPr>
          <w:sz w:val="26"/>
          <w:szCs w:val="26"/>
        </w:rPr>
        <w:t xml:space="preserve">Metadata language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
          <w:permStart w:id="3" w:edGrp="everyone"/>
          <w:r>
            <w:t>en</w:t>
          </w:r>
        </w:p>
      </w:sdtContent>
    </w:sdt>
    <w:permEnd w:id="3"/>
    <w:p>
      <w:r>
        <w:t xml:space="preserve">Please use a 2-letter ISO 639-1 language code. Full list is available at the </w:t>
      </w:r>
      <w:r>
        <w:fldChar w:fldCharType="begin"/>
      </w:r>
      <w:r>
        <w:instrText xml:space="preserve"> HYPERLINK "https://www.iso.org/iso-639-language-codes.html" </w:instrText>
      </w:r>
      <w:r>
        <w:fldChar w:fldCharType="separate"/>
      </w:r>
      <w:r>
        <w:rPr>
          <w:rStyle w:val="18"/>
        </w:rPr>
        <w:t>ISO web page</w:t>
      </w:r>
      <w:r>
        <w:rPr>
          <w:rStyle w:val="18"/>
        </w:rPr>
        <w:fldChar w:fldCharType="end"/>
      </w:r>
      <w:r>
        <w:t>.</w:t>
      </w:r>
    </w:p>
    <w:p/>
    <w:p>
      <w:pPr>
        <w:pStyle w:val="3"/>
      </w:pPr>
      <w:r>
        <w:t>Import Data Structure Definition</w:t>
      </w:r>
    </w:p>
    <w:p>
      <w:r>
        <w:t>To update the options in the dropdowns according to an SDMX DSD, click one of the buttons below:</w:t>
      </w:r>
    </w:p>
    <w:p>
      <w:r>
        <w:object>
          <v:shape id="_x0000_i1027" o:spt="201" type="#_x0000_t201" style="height:24pt;width:139.85pt;" o:ole="t" filled="f" o:preferrelative="t" stroked="f" coordsize="21600,21600">
            <v:path/>
            <v:fill on="f" focussize="0,0"/>
            <v:stroke on="f"/>
            <v:imagedata r:id="rId13" o:title=""/>
            <o:lock v:ext="edit" aspectratio="t"/>
            <w10:wrap type="none"/>
            <w10:anchorlock/>
          </v:shape>
          <w:control r:id="rId12" w:name="ImportSdmxDsd" w:shapeid="_x0000_i1027"/>
        </w:object>
      </w:r>
      <w:r>
        <w:t xml:space="preserve">             </w:t>
      </w:r>
      <w:r>
        <w:object>
          <v:shape id="_x0000_i1028" o:spt="201" type="#_x0000_t201" style="height:24pt;width:199.85pt;" o:ole="t" filled="f" o:preferrelative="t" stroked="f" coordsize="21600,21600">
            <v:path/>
            <v:fill on="f" focussize="0,0"/>
            <v:stroke on="f"/>
            <v:imagedata r:id="rId15" o:title=""/>
            <o:lock v:ext="edit" aspectratio="t"/>
            <w10:wrap type="none"/>
            <w10:anchorlock/>
          </v:shape>
          <w:control r:id="rId14" w:name="ImportSdmxDsdGlobal" w:shapeid="_x0000_i1028"/>
        </w:object>
      </w:r>
    </w:p>
    <w:sdt>
      <w:sdtPr>
        <w:rPr>
          <w:vanish/>
        </w:rPr>
        <w:alias w:val="Imported SDMX DSD"/>
        <w:tag w:val="boxSdmxDsd"/>
        <w:id w:val="-1489243057"/>
        <w:placeholder>
          <w:docPart w:val="6579C099C5094C30AA228610665230E0"/>
        </w:placeholder>
        <w15:appearance w15:val="hidden"/>
        <w:text w:multiLine="1"/>
      </w:sdtPr>
      <w:sdtEndPr>
        <w:rPr>
          <w:vanish/>
        </w:rPr>
      </w:sdtEndPr>
      <w:sdtContent>
        <w:p>
          <w:r>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w:t>
          </w:r>
          <w:r>
            <w:rPr>
              <w:vanish/>
            </w:rPr>
            <w:t>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Pr>
              <w:vanish/>
            </w:rPr>
            <w:br w:type="textWrapping"/>
          </w:r>
          <w:r>
            <w:rPr>
              <w:vanish/>
            </w:rPr>
            <w:br w:type="textWrapping"/>
          </w:r>
          <w:r>
            <w:rPr>
              <w:vanish/>
            </w:rP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Pr>
              <w:vanish/>
            </w:rPr>
            <w:br w:type="textWrapping"/>
          </w:r>
          <w:r>
            <w:rPr>
              <w:vanish/>
            </w:rPr>
            <w:br w:type="textWrapping"/>
          </w:r>
          <w:r>
            <w:rPr>
              <w:vanish/>
            </w:rP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Pr>
              <w:vanish/>
            </w:rPr>
            <w:br w:type="textWrapping"/>
          </w:r>
          <w:r>
            <w:rPr>
              <w:vanish/>
            </w:rPr>
            <w:br w:type="textWrapping"/>
          </w:r>
          <w:r>
            <w:rPr>
              <w:vanish/>
            </w:rP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Pr>
              <w:vanish/>
            </w:rPr>
            <w:br w:type="textWrapping"/>
          </w:r>
          <w:r>
            <w:rPr>
              <w:vanish/>
            </w:rPr>
            <w:br w:type="textWrapping"/>
          </w:r>
          <w:r>
            <w:rPr>
              <w:vanish/>
            </w:rP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Pr>
              <w:vanish/>
            </w:rPr>
            <w:br w:type="textWrapping"/>
          </w:r>
          <w:r>
            <w:rPr>
              <w:vanish/>
            </w:rP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w:t>
          </w:r>
          <w:r>
            <w:rPr>
              <w:vanish/>
            </w:rPr>
            <w:t>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w:t>
          </w:r>
          <w:r>
            <w:rPr>
              <w:vanish/>
            </w:rPr>
            <w:t>&gt;&lt;com:Name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w:t>
          </w:r>
          <w:r>
            <w:rPr>
              <w:vanish/>
            </w:rPr>
            <w:t>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w:t>
          </w:r>
          <w:r>
            <w:rPr>
              <w:vanish/>
            </w:rPr>
            <w:t>:Code&gt;&lt;str:Code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w:t>
          </w:r>
          <w:r>
            <w:rPr>
              <w:vanish/>
            </w:rPr>
            <w:t>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w:t>
          </w:r>
          <w:r>
            <w:rPr>
              <w:vanish/>
            </w:rPr>
            <w:t>:Code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w:t>
          </w:r>
          <w:r>
            <w:rPr>
              <w:vanish/>
            </w:rPr>
            <w:t>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w:t>
          </w:r>
          <w:r>
            <w:rPr>
              <w:vanish/>
            </w:rPr>
            <w:t>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w:t>
          </w:r>
          <w:r>
            <w:rPr>
              <w:vanish/>
            </w:rPr>
            <w:t>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w:t>
          </w:r>
          <w:r>
            <w:rPr>
              <w:vanish/>
            </w:rPr>
            <w:t>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w:t>
          </w:r>
          <w:r>
            <w:rPr>
              <w:vanish/>
            </w:rPr>
            <w:t>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w:t>
          </w:r>
          <w:r>
            <w:rPr>
              <w:vanish/>
            </w:rPr>
            <w:t>-Eastern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w:t>
          </w:r>
          <w:r>
            <w:rPr>
              <w:vanish/>
            </w:rPr>
            <w:t>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w:t>
          </w:r>
          <w:r>
            <w:rPr>
              <w:vanish/>
            </w:rPr>
            <w:t>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w:t>
          </w:r>
          <w:r>
            <w:rPr>
              <w:vanish/>
            </w:rPr>
            <w:t>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w:t>
          </w:r>
          <w:r>
            <w:rPr>
              <w:vanish/>
            </w:rPr>
            <w:t>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w:t>
          </w:r>
          <w:r>
            <w:rPr>
              <w:vanish/>
            </w:rPr>
            <w:t>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w:t>
          </w:r>
          <w:r>
            <w:rPr>
              <w:vanish/>
            </w:rPr>
            <w:t>:Name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w:t>
          </w:r>
          <w:r>
            <w:rPr>
              <w:vanish/>
            </w:rPr>
            <w:t>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w:t>
          </w:r>
          <w:r>
            <w:rPr>
              <w:vanish/>
            </w:rPr>
            <w:t xml:space="preserve">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w:t>
          </w:r>
          <w:r>
            <w:rPr>
              <w:vanish/>
            </w:rPr>
            <w:t>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w:t>
          </w:r>
          <w:r>
            <w:rPr>
              <w:vanish/>
            </w:rPr>
            <w:t>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w:t>
          </w:r>
          <w:r>
            <w:rPr>
              <w:vanish/>
            </w:rPr>
            <w:t>="urn:sdmx:org.sdmx.infomodel.codelist.Code=IAEG-SDGs:CL_AREA(1.4).531"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w:t>
          </w:r>
          <w:r>
            <w:rPr>
              <w:vanish/>
            </w:rPr>
            <w:t>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w:t>
          </w:r>
          <w:r>
            <w:rPr>
              <w:vanish/>
            </w:rPr>
            <w:t>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w:t>
          </w:r>
          <w:r>
            <w:rPr>
              <w:vanish/>
            </w:rPr>
            <w:t>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w:t>
          </w:r>
          <w:r>
            <w:rPr>
              <w:vanish/>
            </w:rPr>
            <w:t>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w:t>
          </w:r>
          <w:r>
            <w:rPr>
              <w:vanish/>
            </w:rPr>
            <w:t>.sdmx.infomodel.codelist.Code=IAEG-SDGs:CL_AREA(1.4).764"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w:t>
          </w:r>
          <w:r>
            <w:rPr>
              <w:vanish/>
            </w:rPr>
            <w: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w:t>
          </w:r>
          <w:r>
            <w:rPr>
              <w:vanish/>
            </w:rPr>
            <w:t>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w:t>
          </w:r>
          <w:r>
            <w:rPr>
              <w:vanish/>
            </w:rPr>
            <w:t>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w:t>
          </w:r>
          <w:r>
            <w:rPr>
              <w:vanish/>
            </w:rPr>
            <w:t>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w:t>
          </w:r>
          <w:r>
            <w:rPr>
              <w:vanish/>
            </w:rPr>
            <w:t>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w:t>
          </w:r>
          <w:r>
            <w:rPr>
              <w:vanish/>
            </w:rPr>
            <w: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w:t>
          </w:r>
          <w:r>
            <w:rPr>
              <w:vanish/>
            </w:rPr>
            <w:t>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w:t>
          </w:r>
          <w:r>
            <w:rPr>
              <w:vanish/>
            </w:rPr>
            <w:t>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w:t>
          </w:r>
          <w:r>
            <w:rPr>
              <w:vanish/>
            </w:rPr>
            <w:t>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w:t>
          </w:r>
          <w:r>
            <w:rPr>
              <w:vanish/>
            </w:rPr>
            <w:t>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w:t>
          </w:r>
          <w:r>
            <w:rPr>
              <w:vanish/>
            </w:rPr>
            <w:t>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w:t>
          </w:r>
          <w:r>
            <w:rPr>
              <w:vanish/>
            </w:rPr>
            <w:t>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w:t>
          </w:r>
          <w:r>
            <w:rPr>
              <w:vanish/>
            </w:rPr>
            <w:t>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w:t>
          </w:r>
          <w:r>
            <w:rPr>
              <w:vanish/>
            </w:rPr>
            <w: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w:t>
          </w:r>
          <w:r>
            <w:rPr>
              <w:vanish/>
            </w:rPr>
            <w:t>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w:t>
          </w:r>
          <w:r>
            <w:rPr>
              <w:vanish/>
            </w:rPr>
            <w:t>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w:t>
          </w:r>
          <w:r>
            <w:rPr>
              <w:vanish/>
            </w:rPr>
            <w:t>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w:t>
          </w:r>
          <w:r>
            <w:rPr>
              <w:vanish/>
            </w:rPr>
            <w:t>:lang="en"&gt;United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w:t>
          </w:r>
          <w:r>
            <w:rPr>
              <w:vanish/>
            </w:rPr>
            <w:t>:Description&gt;&lt;/str:Code&gt;&lt;str:Code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w:t>
          </w:r>
          <w:r>
            <w:rPr>
              <w:vanish/>
            </w:rPr>
            <w:t>&gt;&lt;com:Name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w:t>
          </w:r>
          <w:r>
            <w:rPr>
              <w:vanish/>
            </w:rPr>
            <w:t>"&gt;International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w:t>
          </w:r>
          <w:r>
            <w:rPr>
              <w:vanish/>
            </w:rPr>
            <w:t xml:space="preserve">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w:t>
          </w:r>
          <w:r>
            <w:rPr>
              <w:vanish/>
            </w:rPr>
            <w:t>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w:t>
          </w:r>
          <w:r>
            <w:rPr>
              <w:vanish/>
            </w:rPr>
            <w:t>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w:t>
          </w:r>
          <w:r>
            <w:rPr>
              <w:vanish/>
            </w:rPr>
            <w:t>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w:t>
          </w:r>
          <w:r>
            <w:rPr>
              <w:vanish/>
            </w:rPr>
            <w:t>.codelist.Code=IAEG-SDGs:CL_COMP_BREAKDOWN(1.4).IHR_03"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w:t>
          </w:r>
          <w:r>
            <w:rPr>
              <w:vanish/>
            </w:rPr>
            <w:t>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w:t>
          </w:r>
          <w:r>
            <w:rPr>
              <w:vanish/>
            </w:rPr>
            <w:t>"&gt;&lt;com:Name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w:t>
          </w:r>
          <w:r>
            <w:rPr>
              <w:vanish/>
            </w:rPr>
            <w:t>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w:t>
          </w:r>
          <w:r>
            <w:rPr>
              <w:vanish/>
            </w:rPr>
            <w: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w:t>
          </w:r>
          <w:r>
            <w:rPr>
              <w:vanish/>
            </w:rPr>
            <w:t>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w:t>
          </w:r>
          <w:r>
            <w:rPr>
              <w:vanish/>
            </w:rPr>
            <w:t xml:space="preserve">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w:t>
          </w:r>
          <w:r>
            <w:rPr>
              <w:vanish/>
            </w:rPr>
            <w:t>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w:t>
          </w:r>
          <w:r>
            <w:rPr>
              <w:vanish/>
            </w:rPr>
            <w:t>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w:t>
          </w:r>
          <w:r>
            <w:rPr>
              <w:vanish/>
            </w:rPr>
            <w: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w:t>
          </w:r>
          <w:r>
            <w:rPr>
              <w:vanish/>
            </w:rPr>
            <w:t>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w:t>
          </w:r>
          <w:r>
            <w:rPr>
              <w:vanish/>
            </w:rPr>
            <w: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w:t>
          </w:r>
          <w:r>
            <w:rPr>
              <w:vanish/>
            </w:rPr>
            <w:t>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w:t>
          </w:r>
          <w:r>
            <w:rPr>
              <w:vanish/>
            </w:rPr>
            <w:t>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w:t>
          </w:r>
          <w:r>
            <w:rPr>
              <w:vanish/>
            </w:rPr>
            <w:t>.4).C77"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w:t>
          </w:r>
          <w:r>
            <w:rPr>
              <w:vanish/>
            </w:rPr>
            <w:t>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w:t>
          </w:r>
          <w:r>
            <w:rPr>
              <w:vanish/>
            </w:rPr>
            <w:t>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w:t>
          </w:r>
          <w:r>
            <w:rPr>
              <w:vanish/>
            </w:rPr>
            <w:t>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w:t>
          </w:r>
          <w:r>
            <w:rPr>
              <w:vanish/>
            </w:rPr>
            <w:t>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w:t>
          </w:r>
          <w:r>
            <w:rPr>
              <w:vanish/>
            </w:rPr>
            <w:t>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w:t>
          </w:r>
          <w:r>
            <w:rPr>
              <w:vanish/>
            </w:rPr>
            <w:t>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w:t>
          </w:r>
          <w:r>
            <w:rPr>
              <w:vanish/>
            </w:rPr>
            <w:t>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w:t>
          </w:r>
          <w:r>
            <w:rPr>
              <w:vanish/>
            </w:rPr>
            <w: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w:t>
          </w:r>
          <w:r>
            <w:rPr>
              <w:vanish/>
            </w:rPr>
            <w:t>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w:t>
          </w:r>
          <w:r>
            <w:rPr>
              <w:vanish/>
            </w:rPr>
            <w:t>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w:t>
          </w:r>
          <w:r>
            <w:rPr>
              <w:vanish/>
            </w:rPr>
            <w:t>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w:t>
          </w:r>
          <w:r>
            <w:rPr>
              <w:vanish/>
            </w:rPr>
            <w:t>="urn:sdmx:org.sdmx.infomodel.codelist.Code=IAEG-SDGs:CL_CUST_BREAKDOWN(1.4).C288"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w:t>
          </w:r>
          <w:r>
            <w:rPr>
              <w:vanish/>
            </w:rPr>
            <w: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w:t>
          </w:r>
          <w:r>
            <w:rPr>
              <w:vanish/>
            </w:rPr>
            <w:t>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w:t>
          </w:r>
          <w:r>
            <w:rPr>
              <w:vanish/>
            </w:rPr>
            <w:t>&lt;/com:Name&gt;&lt;com:Description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w:t>
          </w:r>
          <w:r>
            <w:rPr>
              <w:vanish/>
            </w:rPr>
            <w:t>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w:t>
          </w:r>
          <w:r>
            <w:rPr>
              <w:vanish/>
            </w:rPr>
            <w: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w:t>
          </w:r>
          <w:r>
            <w:rPr>
              <w:vanish/>
            </w:rPr>
            <w:t>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w:t>
          </w:r>
          <w:r>
            <w:rPr>
              <w:vanish/>
            </w:rPr>
            <w:t>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w:t>
          </w:r>
          <w:r>
            <w:rPr>
              <w:vanish/>
            </w:rPr>
            <w:t>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w:t>
          </w:r>
          <w:r>
            <w:rPr>
              <w:vanish/>
            </w:rPr>
            <w:t>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w:t>
          </w:r>
          <w:r>
            <w:rPr>
              <w:vanish/>
            </w:rPr>
            <w:t>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w:t>
          </w:r>
          <w:r>
            <w:rPr>
              <w:vanish/>
            </w:rPr>
            <w:t>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w:t>
          </w:r>
          <w:r>
            <w:rPr>
              <w:vanish/>
            </w:rPr>
            <w:t>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w:t>
          </w:r>
          <w:r>
            <w:rPr>
              <w:vanish/>
            </w:rPr>
            <w:t>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w:t>
          </w:r>
          <w:r>
            <w:rPr>
              <w:vanish/>
            </w:rPr>
            <w:t>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w:t>
          </w:r>
          <w:r>
            <w:rPr>
              <w:vanish/>
            </w:rPr>
            <w:t>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w:t>
          </w:r>
          <w:r>
            <w:rPr>
              <w:vanish/>
            </w:rPr>
            <w:t>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w:t>
          </w:r>
          <w:r>
            <w:rPr>
              <w:vanish/>
            </w:rPr>
            <w: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w:t>
          </w:r>
          <w:r>
            <w:rPr>
              <w:vanish/>
            </w:rPr>
            <w:t>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w:t>
          </w:r>
          <w:r>
            <w:rPr>
              <w:vanish/>
            </w:rPr>
            <w:t>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w:t>
          </w:r>
          <w:r>
            <w:rPr>
              <w:vanish/>
            </w:rPr>
            <w:t>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w:t>
          </w:r>
          <w:r>
            <w:rPr>
              <w:vanish/>
            </w:rPr>
            <w:t>="urn:sdmx:org.sdmx.infomodel.codelist.Code=IAEG-SDGs:CL_CUST_BREAKDOWN(1.4).C656"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w:t>
          </w:r>
          <w:r>
            <w:rPr>
              <w:vanish/>
            </w:rPr>
            <w: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w:t>
          </w:r>
          <w:r>
            <w:rPr>
              <w:vanish/>
            </w:rPr>
            <w:t>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w:t>
          </w:r>
          <w:r>
            <w:rPr>
              <w:vanish/>
            </w:rPr>
            <w:t>&lt;/com:Name&gt;&lt;com:Description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w:t>
          </w:r>
          <w:r>
            <w:rPr>
              <w:vanish/>
            </w:rPr>
            <w:t>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w:t>
          </w:r>
          <w:r>
            <w:rPr>
              <w:vanish/>
            </w:rPr>
            <w: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w:t>
          </w:r>
          <w:r>
            <w:rPr>
              <w:vanish/>
            </w:rPr>
            <w:t>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w:t>
          </w:r>
          <w:r>
            <w:rPr>
              <w:vanish/>
            </w:rPr>
            <w:t>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w:t>
          </w:r>
          <w:r>
            <w:rPr>
              <w:vanish/>
            </w:rPr>
            <w:t>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w:t>
          </w:r>
          <w:r>
            <w:rPr>
              <w:vanish/>
            </w:rPr>
            <w:t>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w:t>
          </w:r>
          <w:r>
            <w:rPr>
              <w:vanish/>
            </w:rPr>
            <w:t>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w:t>
          </w:r>
          <w:r>
            <w:rPr>
              <w:vanish/>
            </w:rPr>
            <w:t>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w:t>
          </w:r>
          <w:r>
            <w:rPr>
              <w:vanish/>
            </w:rPr>
            <w:t>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w:t>
          </w:r>
          <w:r>
            <w:rPr>
              <w:vanish/>
            </w:rPr>
            <w:t>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w:t>
          </w:r>
          <w:r>
            <w:rPr>
              <w:vanish/>
            </w:rPr>
            <w:t>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w:t>
          </w:r>
          <w:r>
            <w:rPr>
              <w:vanish/>
            </w:rPr>
            <w:t>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w:t>
          </w:r>
          <w:r>
            <w:rPr>
              <w:vanish/>
            </w:rPr>
            <w:t>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w:t>
          </w:r>
          <w:r>
            <w:rPr>
              <w:vanish/>
            </w:rPr>
            <w: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w:t>
          </w:r>
          <w:r>
            <w:rPr>
              <w:vanish/>
            </w:rPr>
            <w:t>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w:t>
          </w:r>
          <w:r>
            <w:rPr>
              <w:vanish/>
            </w:rPr>
            <w:t>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w:t>
          </w:r>
          <w:r>
            <w:rPr>
              <w:vanish/>
            </w:rPr>
            <w:t>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w:t>
          </w:r>
          <w:r>
            <w:rPr>
              <w:vanish/>
            </w:rPr>
            <w:t>:lang="en"&gt;Short-cycle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w:t>
          </w:r>
          <w:r>
            <w:rPr>
              <w:vanish/>
            </w:rPr>
            <w:t>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w:t>
          </w:r>
          <w:r>
            <w:rPr>
              <w:vanish/>
            </w:rPr>
            <w:t>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w:t>
          </w:r>
          <w:r>
            <w:rPr>
              <w:vanish/>
            </w:rPr>
            <w:t>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w:t>
          </w:r>
          <w:r>
            <w:rPr>
              <w:vanish/>
            </w:rPr>
            <w:t>="ISCO08_5"&gt;&lt;com:Name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w:t>
          </w:r>
          <w:r>
            <w:rPr>
              <w:vanish/>
            </w:rPr>
            <w: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w:t>
          </w:r>
          <w:r>
            <w:rPr>
              <w:vanish/>
            </w:rPr>
            <w: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w:t>
          </w:r>
          <w:r>
            <w:rPr>
              <w:vanish/>
            </w:rPr>
            <w:t>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w:t>
          </w:r>
          <w:r>
            <w:rPr>
              <w:vanish/>
            </w:rPr>
            <w:t>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w:t>
          </w:r>
          <w:r>
            <w:rPr>
              <w:vanish/>
            </w:rPr>
            <w:t>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w:t>
          </w:r>
          <w:r>
            <w:rPr>
              <w:vanish/>
            </w:rPr>
            <w: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w:t>
          </w:r>
          <w:r>
            <w:rPr>
              <w:vanish/>
            </w:rPr>
            <w:t>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w:t>
          </w:r>
          <w:r>
            <w:rPr>
              <w:vanish/>
            </w:rPr>
            <w:t>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w:t>
          </w:r>
          <w:r>
            <w:rPr>
              <w:vanish/>
            </w:rPr>
            <w:t>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w:t>
          </w:r>
          <w:r>
            <w:rPr>
              <w:vanish/>
            </w:rPr>
            <w: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w:t>
          </w:r>
          <w:r>
            <w:rPr>
              <w:vanish/>
            </w:rPr>
            <w: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w:t>
          </w:r>
          <w:r>
            <w:rPr>
              <w:vanish/>
            </w:rPr>
            <w: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w:t>
          </w:r>
          <w:r>
            <w:rPr>
              <w:vanish/>
            </w:rPr>
            <w:t>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w:t>
          </w:r>
          <w:r>
            <w:rPr>
              <w:vanish/>
            </w:rPr>
            <w:t>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w:t>
          </w:r>
          <w:r>
            <w:rPr>
              <w:vanish/>
            </w:rPr>
            <w:t>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w:t>
          </w:r>
          <w:r>
            <w:rPr>
              <w:vanish/>
            </w:rPr>
            <w: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w:t>
          </w:r>
          <w:r>
            <w:rPr>
              <w:vanish/>
            </w:rPr>
            <w:t>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w:t>
          </w:r>
          <w:r>
            <w:rPr>
              <w:vanish/>
            </w:rPr>
            <w:t>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w:t>
          </w:r>
          <w:r>
            <w:rPr>
              <w:vanish/>
            </w:rPr>
            <w:t>:lang="en"&gt;C200304&lt;/com:AnnotationText&gt;&lt;/com:Annotation&gt;&lt;com:Annotation&gt;&lt;com:AnnotationTitle&gt;IndicatorTitle&lt;/com:AnnotationTitle&gt;&lt;com:AnnotationType&gt;IndicatorTitle&lt;/com:AnnotationType&gt;&lt;com:AnnotationText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w:t>
          </w:r>
          <w:r>
            <w:rPr>
              <w:vanish/>
            </w:rPr>
            <w:t>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w:t>
          </w:r>
          <w:r>
            <w:rPr>
              <w:vanish/>
            </w:rPr>
            <w:t>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w:t>
          </w:r>
          <w:r>
            <w:rPr>
              <w:vanish/>
            </w:rPr>
            <w:t>"&gt;Countries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w:t>
          </w:r>
          <w:r>
            <w:rPr>
              <w:vanish/>
            </w:rPr>
            <w:t>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w:t>
          </w:r>
          <w:r>
            <w:rPr>
              <w:vanish/>
            </w:rPr>
            <w:t xml:space="preserve">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w:t>
          </w:r>
          <w:r>
            <w:rPr>
              <w:vanish/>
            </w:rPr>
            <w:t>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w:t>
          </w:r>
          <w:r>
            <w:rPr>
              <w:vanish/>
            </w:rPr>
            <w:t>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w:t>
          </w:r>
          <w:r>
            <w:rPr>
              <w:vanish/>
            </w:rPr>
            <w:t>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w:t>
          </w:r>
          <w:r>
            <w:rPr>
              <w:vanish/>
            </w:rPr>
            <w:t>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w:t>
          </w:r>
          <w:r>
            <w:rPr>
              <w:vanish/>
            </w:rPr>
            <w:t>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w:t>
          </w:r>
          <w:r>
            <w:rPr>
              <w:vanish/>
            </w:rPr>
            <w:t>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w:t>
          </w:r>
          <w:r>
            <w:rPr>
              <w:vanish/>
            </w:rPr>
            <w:t>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w:t>
          </w:r>
          <w:r>
            <w:rPr>
              <w:vanish/>
            </w:rPr>
            <w:t>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w:t>
          </w:r>
          <w:r>
            <w:rPr>
              <w:vanish/>
            </w:rPr>
            <w:t>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w:t>
          </w:r>
          <w:r>
            <w:rPr>
              <w:vanish/>
            </w:rPr>
            <w:t>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w:t>
          </w:r>
          <w:r>
            <w:rPr>
              <w:vanish/>
            </w:rPr>
            <w:t>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w:t>
          </w:r>
          <w:r>
            <w:rPr>
              <w:vanish/>
            </w:rPr>
            <w:t xml:space="preserve">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w:t>
          </w:r>
          <w:r>
            <w:rPr>
              <w:vanish/>
            </w:rPr>
            <w: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w:t>
          </w:r>
          <w:r>
            <w:rPr>
              <w:vanish/>
            </w:rPr>
            <w:t>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w:t>
          </w:r>
          <w:r>
            <w:rPr>
              <w:vanish/>
            </w:rPr>
            <w:t>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w:t>
          </w:r>
          <w:r>
            <w:rPr>
              <w:vanish/>
            </w:rPr>
            <w: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w:t>
          </w:r>
          <w:r>
            <w:rPr>
              <w:vanish/>
            </w:rPr>
            <w:t>&gt;&lt;com:Annotation&gt;&lt;com:AnnotationType&gt;ORDER&lt;/com:AnnotationType&gt;&lt;com:AnnotationText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w:t>
          </w:r>
          <w:r>
            <w:rPr>
              <w:vanish/>
            </w:rPr>
            <w:t>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w:t>
          </w:r>
          <w:r>
            <w:rPr>
              <w:vanish/>
            </w:rPr>
            <w:t>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w:t>
          </w:r>
          <w:r>
            <w:rPr>
              <w:vanish/>
            </w:rPr>
            <w:t>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w:t>
          </w:r>
          <w:r>
            <w:rPr>
              <w:vanish/>
            </w:rPr>
            <w:t>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w:t>
          </w:r>
          <w:r>
            <w:rPr>
              <w:vanish/>
            </w:rPr>
            <w:t>(1.4).SH_AAP_MORT"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w:t>
          </w:r>
          <w:r>
            <w:rPr>
              <w:vanish/>
            </w:rPr>
            <w:t>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w:t>
          </w:r>
          <w:r>
            <w:rPr>
              <w:vanish/>
            </w:rPr>
            <w:t>:Annotation&gt;&lt;/com:Annotations&gt;&lt;com:Name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w:t>
          </w:r>
          <w:r>
            <w:rPr>
              <w:vanish/>
            </w:rPr>
            <w:t>&lt;/com:Description&gt;&lt;/str:Code&gt;&lt;str:Code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w:t>
          </w:r>
          <w:r>
            <w:rPr>
              <w:vanish/>
            </w:rPr>
            <w:t>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w:t>
          </w:r>
          <w:r>
            <w:rPr>
              <w:vanish/>
            </w:rPr>
            <w:t>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w:t>
          </w:r>
          <w:r>
            <w:rPr>
              <w:vanish/>
            </w:rPr>
            <w:t>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w:t>
          </w:r>
          <w:r>
            <w:rPr>
              <w:vanish/>
            </w:rPr>
            <w:t>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w:t>
          </w:r>
          <w:r>
            <w:rPr>
              <w:vanish/>
            </w:rPr>
            <w:t xml:space="preserve">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w:t>
          </w:r>
          <w:r>
            <w:rPr>
              <w:vanish/>
            </w:rPr>
            <w:t>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w:t>
          </w:r>
          <w:r>
            <w:rPr>
              <w:vanish/>
            </w:rPr>
            <w:t>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w:t>
          </w:r>
          <w:r>
            <w:rPr>
              <w:vanish/>
            </w:rPr>
            <w:t>:AnnotationTitle&gt;&lt;com:AnnotationType&gt;IndicatorTitle&lt;/com:AnnotationType&gt;&lt;com:AnnotationText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w:t>
          </w:r>
          <w:r>
            <w:rPr>
              <w:vanish/>
            </w:rPr>
            <w:t>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w:t>
          </w:r>
          <w:r>
            <w:rPr>
              <w:vanish/>
            </w:rPr>
            <w:t>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w:t>
          </w:r>
          <w:r>
            <w:rPr>
              <w:vanish/>
            </w:rPr>
            <w:t>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w:t>
          </w:r>
          <w:r>
            <w:rPr>
              <w:vanish/>
            </w:rPr>
            <w:t>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w:t>
          </w:r>
          <w:r>
            <w:rPr>
              <w:vanish/>
            </w:rPr>
            <w:t>:CL_SERIES(1.4).SE_TRA_GRDL"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w:t>
          </w:r>
          <w:r>
            <w:rPr>
              <w:vanish/>
            </w:rPr>
            <w:t>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w:t>
          </w:r>
          <w:r>
            <w:rPr>
              <w:vanish/>
            </w:rPr>
            <w:t>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w:t>
          </w:r>
          <w:r>
            <w:rPr>
              <w:vanish/>
            </w:rPr>
            <w: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w:t>
          </w:r>
          <w:r>
            <w:rPr>
              <w:vanish/>
            </w:rPr>
            <w:t>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w:t>
          </w:r>
          <w:r>
            <w:rPr>
              <w:vanish/>
            </w:rPr>
            <w:t xml:space="preserv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w:t>
          </w:r>
          <w:r>
            <w:rPr>
              <w:vanish/>
            </w:rPr>
            <w:t>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w:t>
          </w:r>
          <w:r>
            <w:rPr>
              <w:vanish/>
            </w:rPr>
            <w: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w:t>
          </w:r>
          <w:r>
            <w:rPr>
              <w:vanish/>
            </w:rPr>
            <w:t>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w:t>
          </w:r>
          <w:r>
            <w:rPr>
              <w:vanish/>
            </w:rPr>
            <w:t>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w:t>
          </w:r>
          <w:r>
            <w:rPr>
              <w:vanish/>
            </w:rPr>
            <w:t>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w:t>
          </w:r>
          <w:r>
            <w:rPr>
              <w:vanish/>
            </w:rPr>
            <w:t>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w:t>
          </w:r>
          <w:r>
            <w:rPr>
              <w:vanish/>
            </w:rPr>
            <w:t>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w:t>
          </w:r>
          <w:r>
            <w:rPr>
              <w:vanish/>
            </w:rPr>
            <w:t xml:space="preserve">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w:t>
          </w:r>
          <w:r>
            <w:rPr>
              <w:vanish/>
            </w:rPr>
            <w:t>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w:t>
          </w:r>
          <w:r>
            <w:rPr>
              <w:vanish/>
            </w:rPr>
            <w:t>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w:t>
          </w:r>
          <w:r>
            <w:rPr>
              <w:vanish/>
            </w:rPr>
            <w: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w:t>
          </w:r>
          <w:r>
            <w:rPr>
              <w:vanish/>
            </w:rPr>
            <w: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w:t>
          </w:r>
          <w:r>
            <w:rPr>
              <w:vanish/>
            </w:rPr>
            <w: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w:t>
          </w:r>
          <w:r>
            <w:rPr>
              <w:vanish/>
            </w:rPr>
            <w:t>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w:t>
          </w:r>
          <w:r>
            <w:rPr>
              <w:vanish/>
            </w:rPr>
            <w: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w:t>
          </w:r>
          <w:r>
            <w:rPr>
              <w:vanish/>
            </w:rPr>
            <w:t>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w:t>
          </w:r>
          <w:r>
            <w:rPr>
              <w:vanish/>
            </w:rPr>
            <w:t>).EN_H2O_WBAMBQ"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w:t>
          </w:r>
          <w:r>
            <w:rPr>
              <w:vanish/>
            </w:rPr>
            <w:t>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w:t>
          </w:r>
          <w:r>
            <w:rPr>
              <w:vanish/>
            </w:rPr>
            <w:t>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w:t>
          </w:r>
          <w:r>
            <w:rPr>
              <w:vanish/>
            </w:rPr>
            <w:t>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w:t>
          </w:r>
          <w:r>
            <w:rPr>
              <w:vanish/>
            </w:rPr>
            <w:t>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w:t>
          </w:r>
          <w:r>
            <w:rPr>
              <w:vanish/>
            </w:rPr>
            <w:t>%)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w:t>
          </w:r>
          <w:r>
            <w:rPr>
              <w:vanish/>
            </w:rPr>
            <w:t>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w:t>
          </w:r>
          <w:r>
            <w:rPr>
              <w:vanish/>
            </w:rPr>
            <w: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w:t>
          </w:r>
          <w:r>
            <w:rPr>
              <w:vanish/>
            </w:rPr>
            <w:t>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w:t>
          </w:r>
          <w:r>
            <w:rPr>
              <w:vanish/>
            </w:rPr>
            <w:t>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w:t>
          </w:r>
          <w:r>
            <w:rPr>
              <w:vanish/>
            </w:rPr>
            <w:t>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w:t>
          </w:r>
          <w:r>
            <w:rPr>
              <w:vanish/>
            </w:rPr>
            <w:t>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w:t>
          </w:r>
          <w:r>
            <w:rPr>
              <w:vanish/>
            </w:rPr>
            <w: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w:t>
          </w:r>
          <w:r>
            <w:rPr>
              <w:vanish/>
            </w:rPr>
            <w: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w:t>
          </w:r>
          <w:r>
            <w:rPr>
              <w:vanish/>
            </w:rPr>
            <w:t>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w:t>
          </w:r>
          <w:r>
            <w:rPr>
              <w:vanish/>
            </w:rPr>
            <w:t>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w:t>
          </w:r>
          <w:r>
            <w:rPr>
              <w:vanish/>
            </w:rPr>
            <w:t>&gt;&lt;com:AnnotationText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w:t>
          </w:r>
          <w:r>
            <w:rPr>
              <w:vanish/>
            </w:rPr>
            <w:t>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w:t>
          </w:r>
          <w:r>
            <w:rPr>
              <w:vanish/>
            </w:rPr>
            <w:t>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w:t>
          </w:r>
          <w:r>
            <w:rPr>
              <w:vanish/>
            </w:rPr>
            <w: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w:t>
          </w:r>
          <w:r>
            <w:rPr>
              <w:vanish/>
            </w:rPr>
            <w:t>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w:t>
          </w:r>
          <w:r>
            <w:rPr>
              <w:vanish/>
            </w:rPr>
            <w:t>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w:t>
          </w:r>
          <w:r>
            <w:rPr>
              <w:vanish/>
            </w:rPr>
            <w:t>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w:t>
          </w:r>
          <w:r>
            <w:rPr>
              <w:vanish/>
            </w:rPr>
            <w:t>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w:t>
          </w:r>
          <w:r>
            <w:rPr>
              <w:vanish/>
            </w:rPr>
            <w:t>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w:t>
          </w:r>
          <w:r>
            <w:rPr>
              <w:vanish/>
            </w:rPr>
            <w: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w:t>
          </w:r>
          <w:r>
            <w:rPr>
              <w:vanish/>
            </w:rPr>
            <w:t>"&gt;&lt;com:Annotations&gt;&lt;com:Annotation&gt;&lt;com:AnnotationTitle&gt;Indicator&lt;/com:AnnotationTitle&gt;&lt;com:AnnotationType&gt;Indicator&lt;/com:AnnotationType&gt;&lt;com:AnnotationText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w:t>
          </w:r>
          <w:r>
            <w:rPr>
              <w:vanish/>
            </w:rPr>
            <w:t>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w:t>
          </w:r>
          <w:r>
            <w:rPr>
              <w:vanish/>
            </w:rPr>
            <w:t>:CL_SERIES(1.4).DC_TOF_INFRAL"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w:t>
          </w:r>
          <w:r>
            <w:rPr>
              <w:vanish/>
            </w:rPr>
            <w: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w:t>
          </w:r>
          <w:r>
            <w:rPr>
              <w:vanish/>
            </w:rPr>
            <w:t>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w:t>
          </w:r>
          <w:r>
            <w:rPr>
              <w:vanish/>
            </w:rPr>
            <w: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w:t>
          </w:r>
          <w:r>
            <w:rPr>
              <w:vanish/>
            </w:rPr>
            <w:t>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w:t>
          </w:r>
          <w:r>
            <w:rPr>
              <w:vanish/>
            </w:rPr>
            <w:t xml:space="preserve">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w:t>
          </w:r>
          <w:r>
            <w:rPr>
              <w:vanish/>
            </w:rPr>
            <w:t>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w:t>
          </w:r>
          <w:r>
            <w:rPr>
              <w:vanish/>
            </w:rPr>
            <w: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w:t>
          </w:r>
          <w:r>
            <w:rPr>
              <w:vanish/>
            </w:rPr>
            <w:t>,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w:t>
          </w:r>
          <w:r>
            <w:rPr>
              <w:vanish/>
            </w:rPr>
            <w:t>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w:t>
          </w:r>
          <w:r>
            <w:rPr>
              <w:vanish/>
            </w:rPr>
            <w:t>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w:t>
          </w:r>
          <w:r>
            <w:rPr>
              <w:vanish/>
            </w:rPr>
            <w:t>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w:t>
          </w:r>
          <w:r>
            <w:rPr>
              <w:vanish/>
            </w:rPr>
            <w:t>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w:t>
          </w:r>
          <w:r>
            <w:rPr>
              <w:vanish/>
            </w:rPr>
            <w: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w:t>
          </w:r>
          <w:r>
            <w:rPr>
              <w:vanish/>
            </w:rPr>
            <w:t>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w:t>
          </w:r>
          <w:r>
            <w:rPr>
              <w:vanish/>
            </w:rPr>
            <w:t>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w:t>
          </w:r>
          <w:r>
            <w:rPr>
              <w:vanish/>
            </w:rPr>
            <w:t>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w:t>
          </w:r>
          <w:r>
            <w:rPr>
              <w:vanish/>
            </w:rPr>
            <w:t>"&gt;Number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w:t>
          </w:r>
          <w:r>
            <w:rPr>
              <w:vanish/>
            </w:rPr>
            <w:t>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w:t>
          </w:r>
          <w:r>
            <w:rPr>
              <w:vanish/>
            </w:rPr>
            <w: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w:t>
          </w:r>
          <w:r>
            <w:rPr>
              <w:vanish/>
            </w:rPr>
            <w: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w:t>
          </w:r>
          <w:r>
            <w:rPr>
              <w:vanish/>
            </w:rPr>
            <w:t>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w:t>
          </w:r>
          <w:r>
            <w:rPr>
              <w:vanish/>
            </w:rPr>
            <w:t>&lt;/com:Description&gt;&lt;/str:Code&gt;&lt;str:Code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w:t>
          </w:r>
          <w:r>
            <w:rPr>
              <w:vanish/>
            </w:rPr>
            <w:t>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w:t>
          </w:r>
          <w:r>
            <w:rPr>
              <w:vanish/>
            </w:rPr>
            <w:t>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w:t>
          </w:r>
          <w:r>
            <w:rPr>
              <w:vanish/>
            </w:rPr>
            <w:t>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w:t>
          </w:r>
          <w:r>
            <w:rPr>
              <w:vanish/>
            </w:rPr>
            <w:t>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w:t>
          </w:r>
          <w:r>
            <w:rPr>
              <w:vanish/>
            </w:rPr>
            <w: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w:t>
          </w:r>
          <w:r>
            <w:rPr>
              <w:vanish/>
            </w:rPr>
            <w:t>:AnnotationText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w:t>
          </w:r>
          <w:r>
            <w:rPr>
              <w:vanish/>
            </w:rPr>
            <w:t>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w:t>
          </w:r>
          <w:r>
            <w:rPr>
              <w:vanish/>
            </w:rPr>
            <w: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w:t>
          </w:r>
          <w:r>
            <w:rPr>
              <w:vanish/>
            </w:rPr>
            <w:t>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w:t>
          </w:r>
          <w:r>
            <w:rPr>
              <w:vanish/>
            </w:rPr>
            <w:t>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w:t>
          </w:r>
          <w:r>
            <w:rPr>
              <w:vanish/>
            </w:rPr>
            <w: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w:t>
          </w:r>
          <w:r>
            <w:rPr>
              <w:vanish/>
            </w:rPr>
            <w:t>&lt;/com:AnnotationText&gt;&lt;/com:Annotation&gt;&lt;com:Annotation&gt;&lt;com:AnnotationType&gt;ORDER&lt;/com:AnnotationType&gt;&lt;com:AnnotationText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w:t>
          </w:r>
          <w:r>
            <w:rPr>
              <w:vanish/>
            </w:rPr>
            <w:t xml:space="preserve">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w:t>
          </w:r>
          <w:r>
            <w:rPr>
              <w:vanish/>
            </w:rPr>
            <w: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w:t>
          </w:r>
          <w:r>
            <w:rPr>
              <w:vanish/>
            </w:rPr>
            <w:t>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w:t>
          </w:r>
          <w:r>
            <w:rPr>
              <w:vanish/>
            </w:rPr>
            <w:t>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w:t>
          </w:r>
          <w:r>
            <w:rPr>
              <w:vanish/>
            </w:rPr>
            <w:t xml:space="preserve">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w:t>
          </w:r>
          <w:r>
            <w:rPr>
              <w:vanish/>
            </w:rPr>
            <w:t xml:space="preserve">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w:t>
          </w:r>
          <w:r>
            <w:rPr>
              <w:vanish/>
            </w:rPr>
            <w:t>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w:t>
          </w:r>
          <w:r>
            <w:rPr>
              <w:vanish/>
            </w:rPr>
            <w: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w:t>
          </w:r>
          <w:r>
            <w:rPr>
              <w:vanish/>
            </w:rPr>
            <w:t>:AnnotationText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w:t>
          </w:r>
          <w:r>
            <w:rPr>
              <w:vanish/>
            </w:rPr>
            <w:t>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w:t>
          </w:r>
          <w:r>
            <w:rPr>
              <w:vanish/>
            </w:rPr>
            <w:t>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w:t>
          </w:r>
          <w:r>
            <w:rPr>
              <w:vanish/>
            </w:rPr>
            <w:t>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w:t>
          </w:r>
          <w:r>
            <w:rPr>
              <w:vanish/>
            </w:rPr>
            <w:t>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w:t>
          </w:r>
          <w:r>
            <w:rPr>
              <w:vanish/>
            </w:rPr>
            <w:t>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w:t>
          </w:r>
          <w:r>
            <w:rPr>
              <w:vanish/>
            </w:rPr>
            <w:t>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w:t>
          </w:r>
          <w:r>
            <w:rPr>
              <w:vanish/>
            </w:rPr>
            <w:t xml:space="preserve">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w:t>
          </w:r>
          <w:r>
            <w:rPr>
              <w:vanish/>
            </w:rPr>
            <w:t>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w:t>
          </w:r>
          <w:r>
            <w:rPr>
              <w:vanish/>
            </w:rPr>
            <w:t>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w:t>
          </w:r>
          <w:r>
            <w:rPr>
              <w:vanish/>
            </w:rPr>
            <w:t xml:space="preserve">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w:t>
          </w:r>
          <w:r>
            <w:rPr>
              <w:vanish/>
            </w:rPr>
            <w:t>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w:t>
          </w:r>
          <w:r>
            <w:rPr>
              <w:vanish/>
            </w:rPr>
            <w:t>"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w:t>
          </w:r>
          <w:r>
            <w:rPr>
              <w:vanish/>
            </w:rPr>
            <w:t>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w:t>
          </w:r>
          <w:r>
            <w:rPr>
              <w:vanish/>
            </w:rPr>
            <w:t>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w:t>
          </w:r>
          <w:r>
            <w:rPr>
              <w:vanish/>
            </w:rPr>
            <w:t xml:space="preserve">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w:t>
          </w:r>
          <w:r>
            <w:rPr>
              <w:vanish/>
            </w:rPr>
            <w:t>.infomodel.codelist.Code=IAEG-SDGs:CL_SERIES(1.4).VC_HTF_DETVOG"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w:t>
          </w:r>
          <w:r>
            <w:rPr>
              <w:vanish/>
            </w:rPr>
            <w:t>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w:t>
          </w:r>
          <w:r>
            <w:rPr>
              <w:vanish/>
            </w:rPr>
            <w: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w:t>
          </w:r>
          <w:r>
            <w:rPr>
              <w:vanish/>
            </w:rPr>
            <w:t>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w:t>
          </w:r>
          <w:r>
            <w:rPr>
              <w:vanish/>
            </w:rPr>
            <w: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w:t>
          </w:r>
          <w:r>
            <w:rPr>
              <w:vanish/>
            </w:rPr>
            <w:t>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w:t>
          </w:r>
          <w:r>
            <w:rPr>
              <w:vanish/>
            </w:rPr>
            <w:t>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w:t>
          </w:r>
          <w:r>
            <w:rPr>
              <w:vanish/>
            </w:rPr>
            <w:t>&lt;/com:AnnotationType&gt;&lt;com:AnnotationText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w:t>
          </w:r>
          <w:r>
            <w:rPr>
              <w:vanish/>
            </w:rPr>
            <w:t>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w:t>
          </w:r>
          <w:r>
            <w:rPr>
              <w:vanish/>
            </w:rPr>
            <w:t xml:space="preserv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w:t>
          </w:r>
          <w:r>
            <w:rPr>
              <w:vanish/>
            </w:rPr>
            <w:t>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w:t>
          </w:r>
          <w:r>
            <w:rPr>
              <w:vanish/>
            </w:rPr>
            <w:t>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w:t>
          </w:r>
          <w:r>
            <w:rPr>
              <w:vanish/>
            </w:rPr>
            <w:t>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w:t>
          </w:r>
          <w:r>
            <w:rPr>
              <w:vanish/>
            </w:rPr>
            <w:t>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w:t>
          </w:r>
          <w:r>
            <w:rPr>
              <w:vanish/>
            </w:rPr>
            <w:t>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w:t>
          </w:r>
          <w:r>
            <w:rPr>
              <w:vanish/>
            </w:rPr>
            <w:t>:Code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w:t>
          </w:r>
          <w:r>
            <w:rPr>
              <w:vanish/>
            </w:rPr>
            <w: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w:t>
          </w:r>
          <w:r>
            <w:rPr>
              <w:vanish/>
            </w:rPr>
            <w:t>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w:t>
          </w:r>
          <w:r>
            <w:rPr>
              <w:vanish/>
            </w:rPr>
            <w:t xml:space="preserve">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w:t>
          </w:r>
          <w:r>
            <w:rPr>
              <w:vanish/>
            </w:rPr>
            <w:t>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w:t>
          </w:r>
          <w:r>
            <w:rPr>
              <w:vanish/>
            </w:rPr>
            <w:t>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w:t>
          </w:r>
          <w:r>
            <w:rPr>
              <w:vanish/>
            </w:rPr>
            <w:t>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w:t>
          </w:r>
          <w:r>
            <w:rPr>
              <w:vanish/>
            </w:rPr>
            <w:t>:AnnotationText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w:t>
          </w:r>
          <w:r>
            <w:rPr>
              <w:vanish/>
            </w:rPr>
            <w:t>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w:t>
          </w:r>
          <w:r>
            <w:rPr>
              <w:vanish/>
            </w:rPr>
            <w:t>&gt;&lt;/com:Annotations&gt;&lt;com:Name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w:t>
          </w:r>
          <w:r>
            <w:rPr>
              <w:vanish/>
            </w:rPr>
            <w:t>.14.1 ]&lt;/com:Name&gt;&lt;com:Description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w:t>
          </w:r>
          <w:r>
            <w:rPr>
              <w:vanish/>
            </w:rPr>
            <w:t>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w:t>
          </w:r>
          <w:r>
            <w:rPr>
              <w:vanish/>
            </w:rPr>
            <w:t>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w:t>
          </w:r>
          <w:r>
            <w:rPr>
              <w:vanish/>
            </w:rPr>
            <w:t xml:space="preserve">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w:t>
          </w:r>
          <w:r>
            <w:rPr>
              <w:vanish/>
            </w:rPr>
            <w:t>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w:t>
          </w:r>
          <w:r>
            <w:rPr>
              <w:vanish/>
            </w:rPr>
            <w:t xml:space="preserve">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w:t>
          </w:r>
          <w:r>
            <w:rPr>
              <w:vanish/>
            </w:rPr>
            <w:t>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w:t>
          </w:r>
          <w:r>
            <w:rPr>
              <w:vanish/>
            </w:rPr>
            <w:t>:AnnotationText&gt;&lt;/com:Annotation&gt;&lt;/com:Annotations&gt;&lt;com:Name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w:t>
          </w:r>
          <w:r>
            <w:rPr>
              <w:vanish/>
            </w:rPr>
            <w:t>:AnnotationText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w:t>
          </w:r>
          <w:r>
            <w:rPr>
              <w:vanish/>
            </w:rPr>
            <w:t>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w:t>
          </w:r>
          <w:r>
            <w:rPr>
              <w:vanish/>
            </w:rPr>
            <w:t>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w:t>
          </w:r>
          <w:r>
            <w:rPr>
              <w:vanish/>
            </w:rPr>
            <w:t>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w:t>
          </w:r>
          <w:r>
            <w:rPr>
              <w:vanish/>
            </w:rPr>
            <w:t>"&gt;Percent&lt;/com:Name&gt;&lt;com:Description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w:t>
          </w:r>
          <w:r>
            <w:rPr>
              <w:vanish/>
            </w:rPr>
            <w:t>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w:t>
          </w:r>
          <w:r>
            <w:rPr>
              <w:vanish/>
            </w:rPr>
            <w:t xml:space="preserve">="urn:sdmx:org.sdmx.infomodel.codelist.Code=SDMX:CL_FREQ(2.0).H"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w:t>
          </w:r>
          <w:r>
            <w:rPr>
              <w:vanish/>
            </w:rPr>
            <w:t>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w:t>
          </w:r>
          <w:r>
            <w:rPr>
              <w:vanish/>
            </w:rPr>
            <w: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w:t>
          </w:r>
          <w:r>
            <w:rPr>
              <w:vanish/>
            </w:rPr>
            <w:t>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w:t>
          </w:r>
          <w:r>
            <w:rPr>
              <w:vanish/>
            </w:rPr>
            <w:t xml:space="preserve">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w:t>
          </w:r>
          <w:r>
            <w:rPr>
              <w:vanish/>
            </w:rPr>
            <w:t>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w:t>
          </w:r>
          <w:r>
            <w:rPr>
              <w:vanish/>
            </w:rPr>
            <w:t>:Name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w:t>
          </w:r>
          <w:r>
            <w:rPr>
              <w:vanish/>
            </w:rPr>
            <w:t>&lt;/com:Description&gt;&lt;str:CoreRepresentation&gt;&lt;str:TextFormat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w:t>
          </w:r>
          <w:r>
            <w:rPr>
              <w:vanish/>
            </w:rPr>
            <w:t>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w:t>
          </w:r>
          <w:r>
            <w:rPr>
              <w:vanish/>
            </w:rPr>
            <w:t>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w:t>
          </w:r>
          <w:r>
            <w:rPr>
              <w:vanish/>
            </w:rPr>
            <w: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w:t>
          </w:r>
          <w:r>
            <w:rPr>
              <w:vanish/>
            </w:rPr>
            <w:t>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w:t>
          </w:r>
          <w:r>
            <w:rPr>
              <w:vanish/>
            </w:rPr>
            <w:t>="CUST_BREAKDOWN"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w:t>
          </w:r>
          <w:r>
            <w:rPr>
              <w:vanish/>
            </w:rPr>
            <w:t>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pPr>
        <w:pStyle w:val="37"/>
        <w:outlineLvl w:val="0"/>
      </w:pPr>
      <w:bookmarkStart w:id="2" w:name="_Toc37932742"/>
      <w:r>
        <w:t>Metadata Submission Form</w:t>
      </w:r>
      <w:bookmarkEnd w:id="2"/>
    </w:p>
    <w:p/>
    <w:tbl>
      <w:tblPr>
        <w:tblStyle w:val="5"/>
        <w:tblW w:w="4750" w:type="pct"/>
        <w:tblCaption w:val="0. Indicator information"/>
        <w:tblInd w:w="0" w:type="dxa"/>
        <w:tblLayout w:type="fixed"/>
        <w:tblCellMar>
          <w:top w:w="0" w:type="dxa"/>
          <w:left w:w="115" w:type="dxa"/>
          <w:bottom w:w="0" w:type="dxa"/>
          <w:right w:w="115" w:type="dxa"/>
        </w:tblCellMar>
      </w:tblPr>
      <w:tblGrid>
        <w:gridCol w:w="3164"/>
        <w:gridCol w:w="5947"/>
      </w:tblGrid>
      <w:tr>
        <w:tblPrEx>
          <w:tblCellMar>
            <w:top w:w="0" w:type="dxa"/>
            <w:left w:w="115" w:type="dxa"/>
            <w:bottom w:w="0" w:type="dxa"/>
            <w:right w:w="115" w:type="dxa"/>
          </w:tblCellMar>
        </w:tblPrEx>
        <w:trPr>
          <w:trHeight w:val="470" w:hRule="atLeast"/>
        </w:trPr>
        <w:tc>
          <w:tcPr>
            <w:tcW w:w="8892" w:type="dxa"/>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3" w:name="_Toc36812684"/>
            <w:bookmarkStart w:id="4" w:name="_Toc36813071"/>
            <w:bookmarkStart w:id="5" w:name="_Toc36812571"/>
            <w:bookmarkStart w:id="6" w:name="_Toc37932743"/>
            <w:bookmarkStart w:id="7" w:name="_Toc36655608"/>
            <w:r>
              <w:rPr>
                <w:sz w:val="32"/>
                <w:szCs w:val="32"/>
              </w:rPr>
              <w:t>0. Indicator information</w:t>
            </w:r>
            <w:bookmarkEnd w:id="3"/>
            <w:bookmarkEnd w:id="4"/>
            <w:bookmarkEnd w:id="5"/>
            <w:bookmarkEnd w:id="6"/>
            <w:bookmarkEnd w:id="7"/>
          </w:p>
        </w:tc>
      </w:tr>
      <w:tr>
        <w:tblPrEx>
          <w:tblCellMar>
            <w:top w:w="0" w:type="dxa"/>
            <w:left w:w="115" w:type="dxa"/>
            <w:bottom w:w="0" w:type="dxa"/>
            <w:right w:w="115" w:type="dxa"/>
          </w:tblCellMar>
        </w:tblPrEx>
        <w:trPr>
          <w:trHeight w:val="300" w:hRule="atLeast"/>
        </w:trPr>
        <w:tc>
          <w:tcPr>
            <w:tcW w:w="3088"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5804"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i/>
                <w:iCs/>
                <w:color w:val="000000"/>
              </w:rPr>
            </w:pPr>
            <w:r>
              <w:rPr>
                <w:rFonts w:ascii="Calibri" w:hAnsi="Calibri" w:eastAsia="Times New Roman" w:cs="Calibri"/>
                <w:i/>
                <w:iCs/>
                <w:color w:val="000000"/>
              </w:rPr>
              <w:t xml:space="preserve">Insert text, lists, tables, and images. </w:t>
            </w:r>
          </w:p>
        </w:tc>
      </w:tr>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4" w:edGrp="everyone" w:colFirst="1" w:colLast="1"/>
            <w:r>
              <w:rPr>
                <w:rFonts w:ascii="Calibri" w:hAnsi="Calibri" w:eastAsia="Times New Roman" w:cs="Calibri"/>
              </w:rPr>
              <w:t>0. Indicator information</w:t>
            </w:r>
          </w:p>
        </w:tc>
        <w:tc>
          <w:tcPr>
            <w:tcW w:w="5804" w:type="dxa"/>
            <w:tcBorders>
              <w:top w:val="single" w:color="auto" w:sz="4" w:space="0"/>
              <w:left w:val="nil"/>
              <w:bottom w:val="single" w:color="auto" w:sz="4" w:space="0"/>
              <w:right w:val="single" w:color="auto" w:sz="4" w:space="0"/>
            </w:tcBorders>
            <w:shd w:val="clear" w:color="auto" w:fill="auto"/>
          </w:tcPr>
          <w:p/>
        </w:tc>
      </w:tr>
      <w:permEnd w:id="4"/>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5" w:edGrp="everyone" w:colFirst="1" w:colLast="1"/>
            <w:r>
              <w:rPr>
                <w:rFonts w:ascii="Calibri" w:hAnsi="Calibri" w:eastAsia="Times New Roman" w:cs="Calibri"/>
              </w:rPr>
              <w:t>0.a. Goal</w:t>
            </w:r>
          </w:p>
        </w:tc>
        <w:tc>
          <w:tcPr>
            <w:tcW w:w="5804" w:type="dxa"/>
            <w:tcBorders>
              <w:top w:val="single" w:color="auto" w:sz="4" w:space="0"/>
              <w:left w:val="nil"/>
              <w:bottom w:val="single" w:color="auto" w:sz="4" w:space="0"/>
              <w:right w:val="single" w:color="auto" w:sz="4" w:space="0"/>
            </w:tcBorders>
            <w:shd w:val="clear" w:color="auto" w:fill="auto"/>
          </w:tcPr>
          <w:p>
            <w:pPr>
              <w:bidi w:val="0"/>
              <w:rPr>
                <w:rFonts w:hint="default" w:ascii="Calibri" w:hAnsi="Calibri" w:cs="Calibri"/>
                <w:sz w:val="22"/>
                <w:szCs w:val="22"/>
              </w:rPr>
            </w:pPr>
            <w:r>
              <w:rPr>
                <w:rFonts w:hint="default" w:ascii="Calibri" w:hAnsi="Calibri" w:eastAsia="SimSun" w:cs="Calibri"/>
                <w:sz w:val="22"/>
                <w:szCs w:val="22"/>
              </w:rPr>
              <w:t>Goal 11: Make cities and human settlements inclusive, safe, resilient and sustainable</w:t>
            </w:r>
          </w:p>
        </w:tc>
      </w:tr>
      <w:permEnd w:id="5"/>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6" w:edGrp="everyone" w:colFirst="1" w:colLast="1"/>
            <w:r>
              <w:rPr>
                <w:rFonts w:ascii="Calibri" w:hAnsi="Calibri" w:eastAsia="Times New Roman" w:cs="Calibri"/>
              </w:rPr>
              <w:t>0.b. Target</w:t>
            </w:r>
          </w:p>
        </w:tc>
        <w:tc>
          <w:tcPr>
            <w:tcW w:w="5804" w:type="dxa"/>
            <w:tcBorders>
              <w:top w:val="nil"/>
              <w:left w:val="nil"/>
              <w:bottom w:val="single" w:color="auto" w:sz="4" w:space="0"/>
              <w:right w:val="single" w:color="auto" w:sz="4" w:space="0"/>
            </w:tcBorders>
            <w:shd w:val="clear" w:color="auto" w:fill="auto"/>
          </w:tcPr>
          <w:p>
            <w:pPr>
              <w:pStyle w:val="29"/>
            </w:pPr>
            <w:r>
              <w:rPr>
                <w:rFonts w:cstheme="minorHAnsi"/>
                <w:sz w:val="22"/>
                <w:szCs w:val="22"/>
              </w:rPr>
              <w:t xml:space="preserve">Target 11.6: By 2030, reduce the adverse per capita environmental impact of cities, including by paying special attention to air quality and municipal and other waste management. </w:t>
            </w:r>
          </w:p>
        </w:tc>
      </w:tr>
      <w:permEnd w:id="6"/>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7" w:edGrp="everyone" w:colFirst="1" w:colLast="1"/>
            <w:r>
              <w:rPr>
                <w:rFonts w:ascii="Calibri" w:hAnsi="Calibri" w:eastAsia="Times New Roman" w:cs="Calibri"/>
              </w:rPr>
              <w:t>0.c. Indicator</w:t>
            </w:r>
          </w:p>
        </w:tc>
        <w:tc>
          <w:tcPr>
            <w:tcW w:w="5804" w:type="dxa"/>
            <w:tcBorders>
              <w:top w:val="nil"/>
              <w:left w:val="nil"/>
              <w:bottom w:val="single" w:color="auto" w:sz="4" w:space="0"/>
              <w:right w:val="single" w:color="auto" w:sz="4" w:space="0"/>
            </w:tcBorders>
            <w:shd w:val="clear" w:color="auto" w:fill="auto"/>
          </w:tcPr>
          <w:p>
            <w:pPr>
              <w:bidi w:val="0"/>
            </w:pPr>
            <w:r>
              <w:t xml:space="preserve">Indicator 11.6.1: Proportion of </w:t>
            </w:r>
            <w:r>
              <w:rPr>
                <w:rFonts w:hint="default"/>
                <w:lang w:val="en-CA"/>
              </w:rPr>
              <w:t xml:space="preserve">municipal </w:t>
            </w:r>
            <w:r>
              <w:t>solid waste</w:t>
            </w:r>
            <w:r>
              <w:rPr>
                <w:rFonts w:hint="default"/>
                <w:lang w:val="en-CA"/>
              </w:rPr>
              <w:t xml:space="preserve"> </w:t>
            </w:r>
            <w:r>
              <w:t xml:space="preserve">collected and </w:t>
            </w:r>
            <w:r>
              <w:rPr>
                <w:rFonts w:hint="default"/>
                <w:lang w:val="en-CA"/>
              </w:rPr>
              <w:t xml:space="preserve">managed in controlled facilities </w:t>
            </w:r>
            <w:r>
              <w:t xml:space="preserve">out of total </w:t>
            </w:r>
            <w:r>
              <w:rPr>
                <w:rFonts w:hint="default"/>
                <w:lang w:val="en-CA"/>
              </w:rPr>
              <w:t>municipal</w:t>
            </w:r>
            <w:r>
              <w:t xml:space="preserve"> waste generated, by cities</w:t>
            </w:r>
          </w:p>
        </w:tc>
      </w:tr>
      <w:permEnd w:id="7"/>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8" w:edGrp="everyone" w:colFirst="1" w:colLast="1"/>
            <w:r>
              <w:rPr>
                <w:rFonts w:ascii="Calibri" w:hAnsi="Calibri" w:eastAsia="Times New Roman" w:cs="Calibri"/>
              </w:rPr>
              <w:t>0.d. Series</w:t>
            </w:r>
          </w:p>
        </w:tc>
        <w:tc>
          <w:tcPr>
            <w:tcW w:w="5804" w:type="dxa"/>
            <w:tcBorders>
              <w:top w:val="nil"/>
              <w:left w:val="nil"/>
              <w:bottom w:val="single" w:color="auto" w:sz="4" w:space="0"/>
              <w:right w:val="single" w:color="auto" w:sz="4" w:space="0"/>
            </w:tcBorders>
            <w:shd w:val="clear" w:color="auto" w:fill="auto"/>
          </w:tcPr>
          <w:p/>
        </w:tc>
      </w:tr>
      <w:permEnd w:id="8"/>
      <w:tr>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9" w:edGrp="everyone" w:colFirst="1" w:colLast="1"/>
            <w:r>
              <w:rPr>
                <w:rFonts w:ascii="Calibri" w:hAnsi="Calibri" w:eastAsia="Times New Roman" w:cs="Calibri"/>
              </w:rPr>
              <w:t>0.e. Metadata update</w:t>
            </w:r>
          </w:p>
        </w:tc>
        <w:tc>
          <w:tcPr>
            <w:tcW w:w="5804" w:type="dxa"/>
            <w:tcBorders>
              <w:top w:val="nil"/>
              <w:left w:val="nil"/>
              <w:bottom w:val="single" w:color="auto" w:sz="4" w:space="0"/>
              <w:right w:val="single" w:color="auto" w:sz="4" w:space="0"/>
            </w:tcBorders>
            <w:shd w:val="clear" w:color="auto" w:fill="auto"/>
          </w:tcPr>
          <w:p/>
        </w:tc>
      </w:tr>
      <w:permEnd w:id="9"/>
      <w:tr>
        <w:tblPrEx>
          <w:tblCellMar>
            <w:top w:w="0" w:type="dxa"/>
            <w:left w:w="115" w:type="dxa"/>
            <w:bottom w:w="0" w:type="dxa"/>
            <w:right w:w="115" w:type="dxa"/>
          </w:tblCellMar>
        </w:tblPrEx>
        <w:trPr>
          <w:trHeight w:val="332" w:hRule="atLeast"/>
        </w:trPr>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0" w:edGrp="everyone" w:colFirst="1" w:colLast="1"/>
            <w:r>
              <w:rPr>
                <w:rFonts w:ascii="Calibri" w:hAnsi="Calibri" w:eastAsia="Times New Roman" w:cs="Calibri"/>
              </w:rPr>
              <w:t>0.f. Related indicators</w:t>
            </w:r>
          </w:p>
        </w:tc>
        <w:tc>
          <w:tcPr>
            <w:tcW w:w="5804" w:type="dxa"/>
            <w:tcBorders>
              <w:top w:val="nil"/>
              <w:left w:val="nil"/>
              <w:bottom w:val="single" w:color="auto" w:sz="4" w:space="0"/>
              <w:right w:val="single" w:color="auto" w:sz="4" w:space="0"/>
            </w:tcBorders>
            <w:shd w:val="clear" w:color="auto" w:fill="auto"/>
          </w:tcPr>
          <w:p>
            <w:pPr>
              <w:shd w:val="clear" w:color="auto" w:fill="FFFFFF"/>
              <w:spacing w:after="0"/>
              <w:rPr>
                <w:rFonts w:eastAsia="Times New Roman" w:cstheme="minorHAnsi"/>
                <w:color w:val="4A4A4A"/>
                <w:lang w:eastAsia="en-GB"/>
              </w:rPr>
            </w:pPr>
            <w:r>
              <w:rPr>
                <w:rFonts w:eastAsia="Times New Roman" w:cstheme="minorHAnsi"/>
                <w:color w:val="4A4A4A"/>
                <w:lang w:eastAsia="en-GB"/>
              </w:rPr>
              <w:t xml:space="preserve">1.4.1 </w:t>
            </w:r>
          </w:p>
          <w:p>
            <w:pPr>
              <w:shd w:val="clear" w:color="auto" w:fill="FFFFFF"/>
              <w:spacing w:after="0"/>
              <w:rPr>
                <w:rFonts w:eastAsia="Times New Roman" w:cstheme="minorHAnsi"/>
                <w:color w:val="4A4A4A"/>
                <w:lang w:eastAsia="en-GB"/>
              </w:rPr>
            </w:pPr>
            <w:r>
              <w:rPr>
                <w:rFonts w:eastAsia="Times New Roman" w:cstheme="minorHAnsi"/>
                <w:color w:val="4A4A4A"/>
                <w:lang w:eastAsia="en-GB"/>
              </w:rPr>
              <w:t>6.3.1</w:t>
            </w:r>
          </w:p>
          <w:p>
            <w:pPr>
              <w:shd w:val="clear" w:color="auto" w:fill="FFFFFF"/>
              <w:spacing w:after="0"/>
              <w:rPr>
                <w:rFonts w:eastAsia="Times New Roman" w:cstheme="minorHAnsi"/>
                <w:color w:val="4A4A4A"/>
                <w:lang w:eastAsia="en-GB"/>
              </w:rPr>
            </w:pPr>
            <w:r>
              <w:rPr>
                <w:rFonts w:eastAsia="Times New Roman" w:cstheme="minorHAnsi"/>
                <w:color w:val="4A4A4A"/>
                <w:lang w:eastAsia="en-GB"/>
              </w:rPr>
              <w:t xml:space="preserve">12.3.1.b </w:t>
            </w:r>
          </w:p>
          <w:p>
            <w:pPr>
              <w:shd w:val="clear" w:color="auto" w:fill="FFFFFF"/>
              <w:spacing w:after="0"/>
            </w:pPr>
            <w:r>
              <w:rPr>
                <w:rFonts w:eastAsia="Times New Roman" w:cstheme="minorHAnsi"/>
                <w:color w:val="4A4A4A"/>
                <w:lang w:eastAsia="en-GB"/>
              </w:rPr>
              <w:t>12.5.1</w:t>
            </w:r>
          </w:p>
        </w:tc>
      </w:tr>
      <w:permEnd w:id="10"/>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1" w:edGrp="everyone" w:colFirst="1" w:colLast="1"/>
            <w:r>
              <w:rPr>
                <w:rFonts w:ascii="Calibri" w:hAnsi="Calibri" w:eastAsia="Times New Roman" w:cs="Calibri"/>
              </w:rPr>
              <w:t>0.g. International organisations(s) responsible for global monitoring</w:t>
            </w:r>
          </w:p>
        </w:tc>
        <w:tc>
          <w:tcPr>
            <w:tcW w:w="5804" w:type="dxa"/>
            <w:tcBorders>
              <w:top w:val="nil"/>
              <w:left w:val="nil"/>
              <w:bottom w:val="single" w:color="auto" w:sz="4" w:space="0"/>
              <w:right w:val="single" w:color="auto" w:sz="4" w:space="0"/>
            </w:tcBorders>
            <w:shd w:val="clear" w:color="auto" w:fill="auto"/>
          </w:tcPr>
          <w:p>
            <w:pPr>
              <w:pStyle w:val="34"/>
              <w:rPr>
                <w:rFonts w:hint="default"/>
                <w:lang w:val="en-CA"/>
              </w:rPr>
            </w:pPr>
            <w:r>
              <w:rPr>
                <w:rFonts w:cstheme="minorHAnsi"/>
                <w:sz w:val="22"/>
                <w:szCs w:val="22"/>
                <w:lang w:val="en-US"/>
              </w:rPr>
              <w:t>UN-Habitat, U</w:t>
            </w:r>
            <w:r>
              <w:rPr>
                <w:rFonts w:hint="default" w:cstheme="minorHAnsi"/>
                <w:sz w:val="22"/>
                <w:szCs w:val="22"/>
                <w:lang w:val="en-CA"/>
              </w:rPr>
              <w:t xml:space="preserve">nited </w:t>
            </w:r>
            <w:r>
              <w:rPr>
                <w:rFonts w:cstheme="minorHAnsi"/>
                <w:sz w:val="22"/>
                <w:szCs w:val="22"/>
                <w:lang w:val="en-US"/>
              </w:rPr>
              <w:t>N</w:t>
            </w:r>
            <w:r>
              <w:rPr>
                <w:rFonts w:hint="default" w:cstheme="minorHAnsi"/>
                <w:sz w:val="22"/>
                <w:szCs w:val="22"/>
                <w:lang w:val="en-CA"/>
              </w:rPr>
              <w:t xml:space="preserve">ations </w:t>
            </w:r>
            <w:r>
              <w:rPr>
                <w:rFonts w:cstheme="minorHAnsi"/>
                <w:sz w:val="22"/>
                <w:szCs w:val="22"/>
                <w:lang w:val="en-US"/>
              </w:rPr>
              <w:t>S</w:t>
            </w:r>
            <w:r>
              <w:rPr>
                <w:rFonts w:hint="default" w:cstheme="minorHAnsi"/>
                <w:sz w:val="22"/>
                <w:szCs w:val="22"/>
                <w:lang w:val="en-CA"/>
              </w:rPr>
              <w:t xml:space="preserve">tatistical </w:t>
            </w:r>
            <w:r>
              <w:rPr>
                <w:rFonts w:cstheme="minorHAnsi"/>
                <w:sz w:val="22"/>
                <w:szCs w:val="22"/>
                <w:lang w:val="en-US"/>
              </w:rPr>
              <w:t>D</w:t>
            </w:r>
            <w:r>
              <w:rPr>
                <w:rFonts w:hint="default" w:cstheme="minorHAnsi"/>
                <w:sz w:val="22"/>
                <w:szCs w:val="22"/>
                <w:lang w:val="en-CA"/>
              </w:rPr>
              <w:t>ivision</w:t>
            </w:r>
          </w:p>
        </w:tc>
      </w:tr>
      <w:permEnd w:id="11"/>
    </w:tbl>
    <w:p/>
    <w:tbl>
      <w:tblPr>
        <w:tblStyle w:val="5"/>
        <w:tblW w:w="4750" w:type="pct"/>
        <w:tblCaption w:val="1. Data reporter"/>
        <w:tblInd w:w="0" w:type="dxa"/>
        <w:tblLayout w:type="fixed"/>
        <w:tblCellMar>
          <w:top w:w="0" w:type="dxa"/>
          <w:left w:w="108" w:type="dxa"/>
          <w:bottom w:w="0" w:type="dxa"/>
          <w:right w:w="108" w:type="dxa"/>
        </w:tblCellMar>
      </w:tblPr>
      <w:tblGrid>
        <w:gridCol w:w="3256"/>
        <w:gridCol w:w="5841"/>
      </w:tblGrid>
      <w:tr>
        <w:tblPrEx>
          <w:tblCellMar>
            <w:top w:w="0" w:type="dxa"/>
            <w:left w:w="108" w:type="dxa"/>
            <w:bottom w:w="0" w:type="dxa"/>
            <w:right w:w="108" w:type="dxa"/>
          </w:tblCellMar>
        </w:tblPrEx>
        <w:trPr>
          <w:trHeight w:val="432"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8" w:name="_Toc36655609"/>
            <w:bookmarkStart w:id="9" w:name="_Toc37932744"/>
            <w:bookmarkStart w:id="10" w:name="_Toc36812685"/>
            <w:bookmarkStart w:id="11" w:name="_Toc36813072"/>
            <w:bookmarkStart w:id="12" w:name="_Toc36812572"/>
            <w:r>
              <w:rPr>
                <w:sz w:val="32"/>
                <w:szCs w:val="32"/>
              </w:rPr>
              <w:t>1. Data reporter</w:t>
            </w:r>
            <w:bookmarkEnd w:id="8"/>
            <w:bookmarkEnd w:id="9"/>
            <w:bookmarkEnd w:id="10"/>
            <w:bookmarkEnd w:id="11"/>
            <w:bookmarkEnd w:id="12"/>
          </w:p>
        </w:tc>
      </w:tr>
      <w:tr>
        <w:tblPrEx>
          <w:tblCellMar>
            <w:top w:w="0" w:type="dxa"/>
            <w:left w:w="108" w:type="dxa"/>
            <w:bottom w:w="0" w:type="dxa"/>
            <w:right w:w="108" w:type="dxa"/>
          </w:tblCellMar>
        </w:tblPrEx>
        <w:trPr>
          <w:trHeight w:val="300" w:hRule="atLeast"/>
        </w:trPr>
        <w:tc>
          <w:tcPr>
            <w:tcW w:w="179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1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12" w:edGrp="everyone" w:colFirst="1" w:colLast="1"/>
            <w:r>
              <w:rPr>
                <w:rFonts w:ascii="Calibri" w:hAnsi="Calibri" w:eastAsia="Times New Roman" w:cs="Calibri"/>
              </w:rPr>
              <w:t>1. Data reporter</w:t>
            </w:r>
          </w:p>
        </w:tc>
        <w:tc>
          <w:tcPr>
            <w:tcW w:w="3210" w:type="pct"/>
            <w:tcBorders>
              <w:top w:val="single" w:color="auto" w:sz="4" w:space="0"/>
              <w:left w:val="nil"/>
              <w:bottom w:val="single" w:color="auto" w:sz="4" w:space="0"/>
              <w:right w:val="single" w:color="auto" w:sz="4" w:space="0"/>
            </w:tcBorders>
            <w:shd w:val="clear" w:color="auto" w:fill="auto"/>
          </w:tcPr>
          <w:p/>
        </w:tc>
      </w:tr>
      <w:permEnd w:id="12"/>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3" w:edGrp="everyone" w:colFirst="1" w:colLast="1"/>
            <w:r>
              <w:rPr>
                <w:rFonts w:ascii="Calibri" w:hAnsi="Calibri" w:eastAsia="Times New Roman" w:cs="Calibri"/>
              </w:rPr>
              <w:t>1.a. Organisation</w:t>
            </w:r>
          </w:p>
        </w:tc>
        <w:tc>
          <w:tcPr>
            <w:tcW w:w="3210" w:type="pct"/>
            <w:tcBorders>
              <w:top w:val="single" w:color="auto" w:sz="4" w:space="0"/>
              <w:left w:val="nil"/>
              <w:bottom w:val="single" w:color="auto" w:sz="4" w:space="0"/>
              <w:right w:val="single" w:color="auto" w:sz="4" w:space="0"/>
            </w:tcBorders>
            <w:shd w:val="clear" w:color="auto" w:fill="auto"/>
          </w:tcPr>
          <w:p/>
        </w:tc>
      </w:tr>
      <w:permEnd w:id="13"/>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4" w:edGrp="everyone" w:colFirst="1" w:colLast="1"/>
            <w:r>
              <w:rPr>
                <w:rFonts w:ascii="Calibri" w:hAnsi="Calibri" w:eastAsia="Times New Roman" w:cs="Calibri"/>
              </w:rPr>
              <w:t>1.b. Contact person(s)</w:t>
            </w:r>
          </w:p>
        </w:tc>
        <w:tc>
          <w:tcPr>
            <w:tcW w:w="3210" w:type="pct"/>
            <w:tcBorders>
              <w:top w:val="nil"/>
              <w:left w:val="nil"/>
              <w:bottom w:val="single" w:color="auto" w:sz="4" w:space="0"/>
              <w:right w:val="single" w:color="auto" w:sz="4" w:space="0"/>
            </w:tcBorders>
            <w:shd w:val="clear" w:color="auto" w:fill="auto"/>
          </w:tcPr>
          <w:p/>
        </w:tc>
      </w:tr>
      <w:permEnd w:id="14"/>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5" w:edGrp="everyone" w:colFirst="1" w:colLast="1"/>
            <w:r>
              <w:rPr>
                <w:rFonts w:ascii="Calibri" w:hAnsi="Calibri" w:eastAsia="Times New Roman" w:cs="Calibri"/>
              </w:rPr>
              <w:t>1.c. Contact organisation unit</w:t>
            </w:r>
          </w:p>
        </w:tc>
        <w:tc>
          <w:tcPr>
            <w:tcW w:w="3210" w:type="pct"/>
            <w:tcBorders>
              <w:top w:val="nil"/>
              <w:left w:val="nil"/>
              <w:bottom w:val="single" w:color="auto" w:sz="4" w:space="0"/>
              <w:right w:val="single" w:color="auto" w:sz="4" w:space="0"/>
            </w:tcBorders>
            <w:shd w:val="clear" w:color="auto" w:fill="auto"/>
          </w:tcPr>
          <w:p/>
        </w:tc>
      </w:tr>
      <w:permEnd w:id="15"/>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6" w:edGrp="everyone" w:colFirst="1" w:colLast="1"/>
            <w:r>
              <w:t>1</w:t>
            </w:r>
            <w:r>
              <w:rPr>
                <w:rFonts w:ascii="Calibri" w:hAnsi="Calibri" w:eastAsia="Times New Roman" w:cs="Calibri"/>
              </w:rPr>
              <w:t>.d.</w:t>
            </w:r>
            <w:r>
              <w:t xml:space="preserve"> Contact person function</w:t>
            </w:r>
          </w:p>
        </w:tc>
        <w:tc>
          <w:tcPr>
            <w:tcW w:w="3210" w:type="pct"/>
            <w:tcBorders>
              <w:top w:val="nil"/>
              <w:left w:val="nil"/>
              <w:bottom w:val="single" w:color="auto" w:sz="4" w:space="0"/>
              <w:right w:val="single" w:color="auto" w:sz="4" w:space="0"/>
            </w:tcBorders>
            <w:shd w:val="clear" w:color="auto" w:fill="auto"/>
          </w:tcPr>
          <w:p/>
        </w:tc>
      </w:tr>
      <w:permEnd w:id="16"/>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7" w:edGrp="everyone" w:colFirst="1" w:colLast="1"/>
            <w:r>
              <w:rPr>
                <w:rFonts w:ascii="Calibri" w:hAnsi="Calibri" w:eastAsia="Times New Roman" w:cs="Calibri"/>
              </w:rPr>
              <w:t>1.e. Contact phone</w:t>
            </w:r>
          </w:p>
        </w:tc>
        <w:tc>
          <w:tcPr>
            <w:tcW w:w="3210" w:type="pct"/>
            <w:tcBorders>
              <w:top w:val="nil"/>
              <w:left w:val="nil"/>
              <w:bottom w:val="single" w:color="auto" w:sz="4" w:space="0"/>
              <w:right w:val="single" w:color="auto" w:sz="4" w:space="0"/>
            </w:tcBorders>
            <w:shd w:val="clear" w:color="auto" w:fill="auto"/>
          </w:tcPr>
          <w:p/>
        </w:tc>
      </w:tr>
      <w:permEnd w:id="17"/>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8" w:edGrp="everyone" w:colFirst="1" w:colLast="1"/>
            <w:r>
              <w:rPr>
                <w:rFonts w:ascii="Calibri" w:hAnsi="Calibri" w:eastAsia="Times New Roman" w:cs="Calibri"/>
              </w:rPr>
              <w:t>1.f. Contact mail</w:t>
            </w:r>
          </w:p>
        </w:tc>
        <w:tc>
          <w:tcPr>
            <w:tcW w:w="3210" w:type="pct"/>
            <w:tcBorders>
              <w:top w:val="nil"/>
              <w:left w:val="nil"/>
              <w:bottom w:val="single" w:color="auto" w:sz="4" w:space="0"/>
              <w:right w:val="single" w:color="auto" w:sz="4" w:space="0"/>
            </w:tcBorders>
            <w:shd w:val="clear" w:color="auto" w:fill="auto"/>
          </w:tcPr>
          <w:p/>
        </w:tc>
      </w:tr>
      <w:permEnd w:id="18"/>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9" w:edGrp="everyone" w:colFirst="1" w:colLast="1"/>
            <w:r>
              <w:rPr>
                <w:rFonts w:ascii="Calibri" w:hAnsi="Calibri" w:eastAsia="Times New Roman" w:cs="Calibri"/>
              </w:rPr>
              <w:t>1.g. Contact email</w:t>
            </w:r>
          </w:p>
        </w:tc>
        <w:tc>
          <w:tcPr>
            <w:tcW w:w="3210" w:type="pct"/>
            <w:tcBorders>
              <w:top w:val="nil"/>
              <w:left w:val="nil"/>
              <w:bottom w:val="single" w:color="auto" w:sz="4" w:space="0"/>
              <w:right w:val="single" w:color="auto" w:sz="4" w:space="0"/>
            </w:tcBorders>
            <w:shd w:val="clear" w:color="auto" w:fill="auto"/>
          </w:tcPr>
          <w:p/>
        </w:tc>
      </w:tr>
      <w:permEnd w:id="19"/>
    </w:tbl>
    <w:p/>
    <w:tbl>
      <w:tblPr>
        <w:tblStyle w:val="5"/>
        <w:tblW w:w="4750" w:type="pct"/>
        <w:tblCaption w:val="2. Definition, concepts, and classifications"/>
        <w:tblInd w:w="0" w:type="dxa"/>
        <w:tblLayout w:type="fixed"/>
        <w:tblCellMar>
          <w:top w:w="0" w:type="dxa"/>
          <w:left w:w="108" w:type="dxa"/>
          <w:bottom w:w="0" w:type="dxa"/>
          <w:right w:w="108" w:type="dxa"/>
        </w:tblCellMar>
      </w:tblPr>
      <w:tblGrid>
        <w:gridCol w:w="3189"/>
        <w:gridCol w:w="5908"/>
      </w:tblGrid>
      <w:tr>
        <w:tblPrEx>
          <w:tblCellMar>
            <w:top w:w="0" w:type="dxa"/>
            <w:left w:w="108" w:type="dxa"/>
            <w:bottom w:w="0" w:type="dxa"/>
            <w:right w:w="108" w:type="dxa"/>
          </w:tblCellMar>
        </w:tblPrEx>
        <w:trPr>
          <w:trHeight w:val="396"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3" w:name="_Toc37932745"/>
            <w:bookmarkStart w:id="14" w:name="_Toc36812686"/>
            <w:bookmarkStart w:id="15" w:name="_Toc36655610"/>
            <w:bookmarkStart w:id="16" w:name="_Toc36813073"/>
            <w:bookmarkStart w:id="17" w:name="_Toc36812573"/>
            <w:r>
              <w:rPr>
                <w:sz w:val="32"/>
                <w:szCs w:val="32"/>
              </w:rPr>
              <w:t>2. Definition, concepts, and classifications</w:t>
            </w:r>
            <w:bookmarkEnd w:id="13"/>
            <w:bookmarkEnd w:id="14"/>
            <w:bookmarkEnd w:id="15"/>
            <w:bookmarkEnd w:id="16"/>
            <w:bookmarkEnd w:id="17"/>
          </w:p>
        </w:tc>
      </w:tr>
      <w:tr>
        <w:tblPrEx>
          <w:tblCellMar>
            <w:top w:w="0" w:type="dxa"/>
            <w:left w:w="108" w:type="dxa"/>
            <w:bottom w:w="0" w:type="dxa"/>
            <w:right w:w="108" w:type="dxa"/>
          </w:tblCellMar>
        </w:tblPrEx>
        <w:trPr>
          <w:trHeight w:val="300" w:hRule="atLeast"/>
        </w:trPr>
        <w:tc>
          <w:tcPr>
            <w:tcW w:w="1753"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7"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0" w:edGrp="everyone" w:colFirst="1" w:colLast="1"/>
            <w:r>
              <w:rPr>
                <w:rFonts w:ascii="Calibri" w:hAnsi="Calibri" w:eastAsia="Times New Roman" w:cs="Calibri"/>
              </w:rPr>
              <w:t>2. Definition, concepts, and classifications</w:t>
            </w:r>
          </w:p>
        </w:tc>
        <w:tc>
          <w:tcPr>
            <w:tcW w:w="3247" w:type="pct"/>
            <w:tcBorders>
              <w:top w:val="single" w:color="auto" w:sz="4" w:space="0"/>
              <w:left w:val="nil"/>
              <w:bottom w:val="single" w:color="auto" w:sz="4" w:space="0"/>
              <w:right w:val="single" w:color="auto" w:sz="4" w:space="0"/>
            </w:tcBorders>
            <w:shd w:val="clear" w:color="auto" w:fill="auto"/>
          </w:tcPr>
          <w:p/>
        </w:tc>
      </w:tr>
      <w:permEnd w:id="20"/>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1" w:edGrp="everyone" w:colFirst="1" w:colLast="1"/>
            <w:r>
              <w:rPr>
                <w:rFonts w:ascii="Calibri" w:hAnsi="Calibri" w:eastAsia="Times New Roman" w:cs="Calibri"/>
              </w:rPr>
              <w:t>2.a. Definition and concepts</w:t>
            </w:r>
          </w:p>
        </w:tc>
        <w:tc>
          <w:tcPr>
            <w:tcW w:w="3247" w:type="pct"/>
            <w:tcBorders>
              <w:top w:val="single" w:color="auto" w:sz="4" w:space="0"/>
              <w:left w:val="nil"/>
              <w:bottom w:val="single" w:color="auto" w:sz="4" w:space="0"/>
              <w:right w:val="single" w:color="auto" w:sz="4" w:space="0"/>
            </w:tcBorders>
            <w:shd w:val="clear" w:color="auto" w:fill="auto"/>
          </w:tcPr>
          <w:p>
            <w:pPr>
              <w:shd w:val="clear" w:color="auto" w:fill="FFFFFF"/>
              <w:spacing w:after="0"/>
              <w:jc w:val="both"/>
              <w:rPr>
                <w:rFonts w:eastAsia="Times New Roman" w:cstheme="minorHAnsi"/>
                <w:color w:val="4A4A4A"/>
                <w:sz w:val="22"/>
                <w:szCs w:val="22"/>
                <w:lang w:eastAsia="en-GB"/>
              </w:rPr>
            </w:pPr>
            <w:r>
              <w:rPr>
                <w:rFonts w:eastAsia="Times New Roman" w:cstheme="minorHAnsi"/>
                <w:b/>
                <w:bCs/>
                <w:color w:val="4A4A4A"/>
                <w:sz w:val="22"/>
                <w:szCs w:val="22"/>
                <w:lang w:eastAsia="en-GB"/>
              </w:rPr>
              <w:t>Definition:</w:t>
            </w:r>
          </w:p>
          <w:p>
            <w:pPr>
              <w:jc w:val="both"/>
              <w:rPr>
                <w:rFonts w:cstheme="minorHAnsi"/>
                <w:color w:val="4A4A4A"/>
                <w:sz w:val="22"/>
                <w:szCs w:val="22"/>
              </w:rPr>
            </w:pPr>
            <w:r>
              <w:rPr>
                <w:rFonts w:hint="default" w:cstheme="minorHAnsi"/>
                <w:color w:val="4A4A4A"/>
                <w:sz w:val="22"/>
                <w:szCs w:val="22"/>
                <w:lang w:val="en-CA"/>
              </w:rPr>
              <w:t xml:space="preserve">This indicator </w:t>
            </w:r>
            <w:r>
              <w:rPr>
                <w:rFonts w:cstheme="minorHAnsi"/>
                <w:color w:val="4A4A4A"/>
                <w:sz w:val="22"/>
                <w:szCs w:val="22"/>
              </w:rPr>
              <w:t>measures the progress of the performance of a city’s municipal solid waste management</w:t>
            </w:r>
            <w:r>
              <w:rPr>
                <w:rFonts w:hint="default" w:cstheme="minorHAnsi"/>
                <w:color w:val="4A4A4A"/>
                <w:sz w:val="22"/>
                <w:szCs w:val="22"/>
                <w:lang w:val="en-CA"/>
              </w:rPr>
              <w:t xml:space="preserve"> (MSWM)</w:t>
            </w:r>
            <w:r>
              <w:rPr>
                <w:rFonts w:cstheme="minorHAnsi"/>
                <w:color w:val="4A4A4A"/>
                <w:sz w:val="22"/>
                <w:szCs w:val="22"/>
              </w:rPr>
              <w:t xml:space="preserve">. </w:t>
            </w:r>
          </w:p>
          <w:p>
            <w:pPr>
              <w:jc w:val="both"/>
              <w:rPr>
                <w:rFonts w:eastAsia="Times New Roman" w:cstheme="minorHAnsi"/>
                <w:b/>
                <w:bCs/>
                <w:color w:val="4A4A4A"/>
                <w:sz w:val="22"/>
                <w:szCs w:val="22"/>
                <w:lang w:eastAsia="en-GB"/>
              </w:rPr>
            </w:pPr>
            <w:r>
              <w:rPr>
                <w:rFonts w:cstheme="minorHAnsi"/>
                <w:color w:val="4A4A4A"/>
                <w:sz w:val="22"/>
                <w:szCs w:val="22"/>
              </w:rPr>
              <w:t>In some cities it is common to dump waste ‘collected’ from households into the surrounding areas instead of transporting it to a disposal or recovery facility. In this case the household has waste collection services, but the collected waste is polluting the environment. Therefore, it is possible that a city has a high proportion of population with access to basic waste collection services, but the amount of MSW collected and transported to waste management facilities is low.</w:t>
            </w:r>
          </w:p>
          <w:p>
            <w:pPr>
              <w:shd w:val="clear" w:color="auto" w:fill="FFFFFF"/>
              <w:spacing w:after="0"/>
              <w:jc w:val="both"/>
              <w:rPr>
                <w:rFonts w:eastAsia="Times New Roman" w:cstheme="minorHAnsi"/>
                <w:color w:val="4A4A4A"/>
                <w:sz w:val="22"/>
                <w:szCs w:val="22"/>
                <w:lang w:eastAsia="en-GB"/>
              </w:rPr>
            </w:pPr>
            <w:r>
              <w:rPr>
                <w:rFonts w:eastAsia="Times New Roman" w:cstheme="minorHAnsi"/>
                <w:b/>
                <w:bCs/>
                <w:color w:val="4A4A4A"/>
                <w:sz w:val="22"/>
                <w:szCs w:val="22"/>
                <w:lang w:eastAsia="en-GB"/>
              </w:rPr>
              <w:t>Concepts:</w:t>
            </w:r>
          </w:p>
          <w:p>
            <w:pPr>
              <w:jc w:val="both"/>
              <w:rPr>
                <w:rFonts w:cstheme="minorHAnsi"/>
                <w:bCs/>
                <w:color w:val="4A4A4A"/>
                <w:sz w:val="22"/>
                <w:szCs w:val="22"/>
              </w:rPr>
            </w:pPr>
            <w:r>
              <w:rPr>
                <w:rFonts w:cstheme="minorHAnsi"/>
                <w:bCs/>
                <w:color w:val="4A4A4A"/>
                <w:sz w:val="22"/>
                <w:szCs w:val="22"/>
              </w:rPr>
              <w:t>Municipal Solid Waste</w:t>
            </w:r>
            <w:r>
              <w:rPr>
                <w:rFonts w:cstheme="minorHAnsi"/>
                <w:b/>
                <w:color w:val="4A4A4A"/>
                <w:sz w:val="22"/>
                <w:szCs w:val="22"/>
              </w:rPr>
              <w:t xml:space="preserve"> </w:t>
            </w:r>
            <w:r>
              <w:rPr>
                <w:rFonts w:cstheme="minorHAnsi"/>
                <w:bCs/>
                <w:color w:val="4A4A4A"/>
                <w:sz w:val="22"/>
                <w:szCs w:val="22"/>
              </w:rPr>
              <w:t>includes waste</w:t>
            </w:r>
            <w:r>
              <w:rPr>
                <w:rFonts w:cstheme="minorHAnsi"/>
                <w:b/>
                <w:color w:val="4A4A4A"/>
                <w:sz w:val="22"/>
                <w:szCs w:val="22"/>
              </w:rPr>
              <w:t xml:space="preserve"> </w:t>
            </w:r>
            <w:r>
              <w:rPr>
                <w:rFonts w:cstheme="minorHAnsi"/>
                <w:bCs/>
                <w:color w:val="4A4A4A"/>
                <w:sz w:val="22"/>
                <w:szCs w:val="22"/>
              </w:rPr>
              <w:t>generated from: households, commerce and trade, small businesses, office buildings and institutions (schools, hospitals, government buildings). The definition excludes waste from municipal sewage network and treatment, municipal construction and demolition waste.</w:t>
            </w:r>
          </w:p>
          <w:p>
            <w:pPr>
              <w:jc w:val="both"/>
              <w:rPr>
                <w:rFonts w:cstheme="minorHAnsi"/>
                <w:color w:val="4A4A4A"/>
                <w:sz w:val="22"/>
                <w:szCs w:val="22"/>
              </w:rPr>
            </w:pPr>
            <w:r>
              <w:rPr>
                <w:rFonts w:cstheme="minorHAnsi"/>
                <w:color w:val="4A4A4A"/>
                <w:sz w:val="22"/>
                <w:szCs w:val="22"/>
              </w:rPr>
              <w:t>Total MSW Generated is the sum of the amount of municipal waste collected plus the estimated amount of municipal waste from areas not served by a municipal waste collection service.</w:t>
            </w:r>
          </w:p>
          <w:p>
            <w:pPr>
              <w:jc w:val="both"/>
              <w:rPr>
                <w:rFonts w:cstheme="minorHAnsi"/>
                <w:color w:val="4A4A4A"/>
                <w:sz w:val="22"/>
                <w:szCs w:val="22"/>
              </w:rPr>
            </w:pPr>
            <w:r>
              <w:rPr>
                <w:rFonts w:cstheme="minorHAnsi"/>
                <w:bCs/>
                <w:color w:val="4A4A4A"/>
                <w:sz w:val="22"/>
                <w:szCs w:val="22"/>
              </w:rPr>
              <w:t>Total MSW Collected</w:t>
            </w:r>
            <w:r>
              <w:rPr>
                <w:rFonts w:cstheme="minorHAnsi"/>
                <w:color w:val="4A4A4A"/>
                <w:sz w:val="22"/>
                <w:szCs w:val="22"/>
              </w:rPr>
              <w:t xml:space="preserve"> refers to t</w:t>
            </w:r>
            <w:bookmarkStart w:id="18" w:name="_Hlk27765495"/>
            <w:r>
              <w:rPr>
                <w:rFonts w:cstheme="minorHAnsi"/>
                <w:color w:val="4A4A4A"/>
                <w:sz w:val="22"/>
                <w:szCs w:val="22"/>
              </w:rPr>
              <w:t>he amount of municipal waste collected by or on behalf of municipalities, as well as municipal waste collected by the private sector.</w:t>
            </w:r>
            <w:bookmarkEnd w:id="18"/>
          </w:p>
          <w:p>
            <w:pPr>
              <w:jc w:val="both"/>
              <w:rPr>
                <w:rFonts w:cstheme="minorHAnsi"/>
                <w:color w:val="4A4A4A"/>
                <w:sz w:val="22"/>
                <w:szCs w:val="22"/>
              </w:rPr>
            </w:pPr>
            <w:r>
              <w:rPr>
                <w:rFonts w:cstheme="minorHAnsi"/>
                <w:bCs/>
                <w:color w:val="4A4A4A"/>
                <w:sz w:val="22"/>
                <w:szCs w:val="22"/>
              </w:rPr>
              <w:t>Recycling</w:t>
            </w:r>
            <w:r>
              <w:rPr>
                <w:rFonts w:cstheme="minorHAnsi"/>
                <w:color w:val="4A4A4A"/>
                <w:sz w:val="22"/>
                <w:szCs w:val="22"/>
              </w:rPr>
              <w:t xml:space="preserve"> is defined under the </w:t>
            </w:r>
            <w:r>
              <w:rPr>
                <w:rFonts w:cstheme="minorHAnsi"/>
                <w:color w:val="4A4A4A"/>
                <w:sz w:val="22"/>
                <w:szCs w:val="22"/>
              </w:rPr>
              <w:fldChar w:fldCharType="begin"/>
            </w:r>
            <w:r>
              <w:rPr>
                <w:rFonts w:cstheme="minorHAnsi"/>
                <w:color w:val="4A4A4A"/>
                <w:sz w:val="22"/>
                <w:szCs w:val="22"/>
              </w:rPr>
              <w:instrText xml:space="preserve"> HYPERLINK "https://unstats.un.org/unsd/envstats/questionnaire" </w:instrText>
            </w:r>
            <w:r>
              <w:rPr>
                <w:rFonts w:cstheme="minorHAnsi"/>
                <w:color w:val="4A4A4A"/>
                <w:sz w:val="22"/>
                <w:szCs w:val="22"/>
              </w:rPr>
              <w:fldChar w:fldCharType="separate"/>
            </w:r>
            <w:r>
              <w:rPr>
                <w:rStyle w:val="18"/>
                <w:rFonts w:cstheme="minorHAnsi"/>
                <w:color w:val="4A4A4A"/>
                <w:sz w:val="22"/>
                <w:szCs w:val="22"/>
              </w:rPr>
              <w:t>UNSD/UNEP Questionnaire</w:t>
            </w:r>
            <w:r>
              <w:rPr>
                <w:rFonts w:cstheme="minorHAnsi"/>
                <w:color w:val="4A4A4A"/>
                <w:sz w:val="22"/>
                <w:szCs w:val="22"/>
              </w:rPr>
              <w:fldChar w:fldCharType="end"/>
            </w:r>
            <w:r>
              <w:rPr>
                <w:rFonts w:cstheme="minorHAnsi"/>
                <w:color w:val="4A4A4A"/>
                <w:sz w:val="22"/>
                <w:szCs w:val="22"/>
              </w:rPr>
              <w:t xml:space="preserve"> and further for the purpose of these indicators as </w:t>
            </w:r>
            <w:bookmarkStart w:id="19" w:name="_Hlk47105062"/>
            <w:r>
              <w:rPr>
                <w:rFonts w:cstheme="minorHAnsi"/>
                <w:color w:val="4A4A4A"/>
                <w:sz w:val="22"/>
                <w:szCs w:val="22"/>
              </w:rPr>
              <w:t xml:space="preserve">“Any reprocessing of waste material </w:t>
            </w:r>
            <w:r>
              <w:rPr>
                <w:color w:val="4A4A4A"/>
                <w:sz w:val="22"/>
                <w:szCs w:val="22"/>
              </w:rPr>
              <w:t>in a production process</w:t>
            </w:r>
            <w:r>
              <w:rPr>
                <w:rFonts w:cstheme="minorHAnsi"/>
                <w:color w:val="4A4A4A"/>
                <w:sz w:val="22"/>
                <w:szCs w:val="22"/>
              </w:rPr>
              <w:t xml:space="preserve"> that diverts it from the waste stream, except reuse as fuel.  </w:t>
            </w:r>
            <w:bookmarkEnd w:id="19"/>
          </w:p>
          <w:p>
            <w:pPr>
              <w:jc w:val="both"/>
              <w:rPr>
                <w:rFonts w:cstheme="minorHAnsi"/>
                <w:color w:val="4A4A4A"/>
                <w:sz w:val="22"/>
                <w:szCs w:val="22"/>
                <w:lang w:eastAsia="en-GB"/>
              </w:rPr>
            </w:pPr>
            <w:r>
              <w:rPr>
                <w:rFonts w:cstheme="minorHAnsi"/>
                <w:bCs/>
                <w:color w:val="4A4A4A"/>
                <w:sz w:val="22"/>
                <w:szCs w:val="22"/>
              </w:rPr>
              <w:t>Disposal Facilities</w:t>
            </w:r>
            <w:r>
              <w:rPr>
                <w:rFonts w:cstheme="minorHAnsi"/>
                <w:b/>
                <w:color w:val="4A4A4A"/>
                <w:sz w:val="22"/>
                <w:szCs w:val="22"/>
              </w:rPr>
              <w:t xml:space="preserve"> </w:t>
            </w:r>
            <w:r>
              <w:rPr>
                <w:rFonts w:cstheme="minorHAnsi"/>
                <w:color w:val="4A4A4A"/>
                <w:sz w:val="22"/>
                <w:szCs w:val="22"/>
                <w:lang w:eastAsia="en-GB"/>
              </w:rPr>
              <w:t xml:space="preserve">refer to sites which are regularly used by the public authorities and private collectors, regardless of their level of control and legality, to dispose of waste. Such sites may or may not have an official recognition, a permit or a license.  Disposal sites may be managed in either a controlled or uncontrolled manner. </w:t>
            </w:r>
          </w:p>
          <w:p>
            <w:pPr>
              <w:jc w:val="both"/>
              <w:rPr>
                <w:rFonts w:cstheme="minorHAnsi"/>
                <w:color w:val="4A4A4A"/>
                <w:sz w:val="22"/>
                <w:szCs w:val="22"/>
              </w:rPr>
            </w:pPr>
            <w:r>
              <w:rPr>
                <w:rFonts w:cstheme="minorHAnsi"/>
                <w:color w:val="4A4A4A"/>
                <w:sz w:val="22"/>
                <w:szCs w:val="22"/>
              </w:rPr>
              <w:t xml:space="preserve">Landfill is the deposit of waste into or onto land. It includes specially engineered landfill sites and temporary storage of over one year on permanent sites. </w:t>
            </w:r>
          </w:p>
          <w:p>
            <w:pPr>
              <w:jc w:val="both"/>
              <w:rPr>
                <w:rFonts w:cstheme="minorHAnsi"/>
                <w:color w:val="4A4A4A"/>
                <w:sz w:val="22"/>
                <w:szCs w:val="22"/>
                <w:lang w:eastAsia="en-GB"/>
              </w:rPr>
            </w:pPr>
            <w:bookmarkStart w:id="20" w:name="_Control_level_of"/>
            <w:bookmarkEnd w:id="20"/>
            <w:r>
              <w:rPr>
                <w:rFonts w:cstheme="minorHAnsi"/>
                <w:bCs/>
                <w:color w:val="4A4A4A"/>
                <w:sz w:val="22"/>
                <w:szCs w:val="22"/>
                <w:lang w:eastAsia="en-GB"/>
              </w:rPr>
              <w:t>MSW Managed in Controlled Facilities</w:t>
            </w:r>
            <w:r>
              <w:rPr>
                <w:rFonts w:cstheme="minorHAnsi"/>
                <w:color w:val="4A4A4A"/>
                <w:sz w:val="22"/>
                <w:szCs w:val="22"/>
                <w:lang w:eastAsia="en-GB"/>
              </w:rPr>
              <w:t xml:space="preserve"> refers to MSW collected and transported to recovery and disposal facilities with basic, improved or full control according to the </w:t>
            </w:r>
            <w:r>
              <w:rPr>
                <w:rFonts w:cstheme="minorHAnsi"/>
                <w:color w:val="4A4A4A"/>
                <w:sz w:val="22"/>
                <w:szCs w:val="22"/>
              </w:rPr>
              <w:fldChar w:fldCharType="begin"/>
            </w:r>
            <w:r>
              <w:rPr>
                <w:rFonts w:cstheme="minorHAnsi"/>
                <w:color w:val="4A4A4A"/>
                <w:sz w:val="22"/>
                <w:szCs w:val="22"/>
              </w:rPr>
              <w:instrText xml:space="preserve"> HYPERLINK "https://unhabitat.org/sites/default/files/2021/02/Waste%20wise%20cities%20tool%20-%20EN%203.pdf" </w:instrText>
            </w:r>
            <w:r>
              <w:rPr>
                <w:rFonts w:cstheme="minorHAnsi"/>
                <w:color w:val="4A4A4A"/>
                <w:sz w:val="22"/>
                <w:szCs w:val="22"/>
              </w:rPr>
              <w:fldChar w:fldCharType="separate"/>
            </w:r>
            <w:r>
              <w:rPr>
                <w:rStyle w:val="18"/>
                <w:rFonts w:cstheme="minorHAnsi"/>
                <w:color w:val="4A4A4A"/>
                <w:sz w:val="22"/>
                <w:szCs w:val="22"/>
              </w:rPr>
              <w:t>Ladder of waste management facilities’ control level</w:t>
            </w:r>
            <w:r>
              <w:rPr>
                <w:rFonts w:cstheme="minorHAnsi"/>
                <w:color w:val="4A4A4A"/>
                <w:sz w:val="22"/>
                <w:szCs w:val="22"/>
              </w:rPr>
              <w:fldChar w:fldCharType="end"/>
            </w:r>
            <w:r>
              <w:rPr>
                <w:rFonts w:cstheme="minorHAnsi"/>
                <w:color w:val="4A4A4A"/>
                <w:sz w:val="22"/>
                <w:szCs w:val="22"/>
              </w:rPr>
              <w:t xml:space="preserve"> </w:t>
            </w:r>
            <w:r>
              <w:rPr>
                <w:rFonts w:cstheme="minorHAnsi"/>
                <w:color w:val="4A4A4A"/>
                <w:sz w:val="22"/>
                <w:szCs w:val="22"/>
                <w:lang w:eastAsia="en-GB"/>
              </w:rPr>
              <w:t xml:space="preserve">. </w:t>
            </w:r>
          </w:p>
          <w:p>
            <w:pPr>
              <w:jc w:val="both"/>
              <w:rPr>
                <w:rFonts w:cstheme="minorHAnsi"/>
                <w:color w:val="4A4A4A"/>
                <w:sz w:val="22"/>
                <w:szCs w:val="22"/>
              </w:rPr>
            </w:pPr>
            <w:r>
              <w:rPr>
                <w:rFonts w:cstheme="minorHAnsi"/>
                <w:bCs/>
                <w:color w:val="4A4A4A"/>
                <w:sz w:val="22"/>
                <w:szCs w:val="22"/>
              </w:rPr>
              <w:t>The Formality of MSWM</w:t>
            </w:r>
            <w:r>
              <w:rPr>
                <w:rFonts w:cstheme="minorHAnsi"/>
                <w:color w:val="4A4A4A"/>
                <w:sz w:val="22"/>
                <w:szCs w:val="22"/>
                <w:lang w:eastAsia="en-GB"/>
              </w:rPr>
              <w:t xml:space="preserve"> activities is an important aspect to take into consideration when conducting the SDG indicator 11.6.1 assessment. MSWM activities are carried out by formal and informal economic units, both public and private, and by generators for the purpose of prevention, collection, transportation, treatment and disposal of waste.</w:t>
            </w:r>
          </w:p>
          <w:p>
            <w:pPr>
              <w:jc w:val="both"/>
              <w:rPr>
                <w:rFonts w:cstheme="minorHAnsi"/>
                <w:color w:val="4A4A4A"/>
                <w:sz w:val="22"/>
                <w:szCs w:val="22"/>
              </w:rPr>
            </w:pPr>
            <w:r>
              <w:rPr>
                <w:rFonts w:cstheme="minorHAnsi"/>
                <w:bCs/>
                <w:color w:val="4A4A4A"/>
                <w:sz w:val="22"/>
                <w:szCs w:val="22"/>
              </w:rPr>
              <w:t>Formal waste management</w:t>
            </w:r>
            <w:r>
              <w:rPr>
                <w:rFonts w:cstheme="minorHAnsi"/>
                <w:color w:val="4A4A4A"/>
                <w:sz w:val="22"/>
                <w:szCs w:val="22"/>
              </w:rPr>
              <w:t xml:space="preserve"> relates to waste management activities undertaken by units working within the context of the formal governmental or non-state actors regulating and operating waste management; that is, organisations or individuals registered as economic units with government authorities and assumed to generally abide by local laws and </w:t>
            </w:r>
            <w:r>
              <w:rPr>
                <w:rFonts w:cstheme="minorHAnsi"/>
                <w:color w:val="4A4A4A"/>
                <w:sz w:val="22"/>
                <w:szCs w:val="22"/>
                <w:lang w:eastAsia="en-GB"/>
              </w:rPr>
              <w:t xml:space="preserve">regulations related to wastes and their management. </w:t>
            </w:r>
          </w:p>
          <w:p>
            <w:pPr>
              <w:spacing w:after="0"/>
              <w:jc w:val="both"/>
            </w:pPr>
            <w:bookmarkStart w:id="21" w:name="_Toc34905245"/>
            <w:r>
              <w:rPr>
                <w:rFonts w:cstheme="minorHAnsi"/>
                <w:bCs/>
                <w:color w:val="4A4A4A"/>
                <w:sz w:val="22"/>
                <w:szCs w:val="22"/>
              </w:rPr>
              <w:t>Informal waste management</w:t>
            </w:r>
            <w:bookmarkEnd w:id="21"/>
            <w:r>
              <w:rPr>
                <w:rFonts w:cstheme="minorHAnsi"/>
                <w:bCs/>
                <w:color w:val="4A4A4A"/>
                <w:sz w:val="22"/>
                <w:szCs w:val="22"/>
              </w:rPr>
              <w:t>, recycling and recovery</w:t>
            </w:r>
            <w:r>
              <w:rPr>
                <w:rFonts w:cstheme="minorHAnsi"/>
                <w:b/>
                <w:bCs/>
                <w:color w:val="4A4A4A"/>
                <w:sz w:val="22"/>
                <w:szCs w:val="22"/>
              </w:rPr>
              <w:t xml:space="preserve"> </w:t>
            </w:r>
            <w:r>
              <w:rPr>
                <w:rFonts w:cstheme="minorHAnsi"/>
                <w:bCs/>
                <w:color w:val="4A4A4A"/>
                <w:sz w:val="22"/>
                <w:szCs w:val="22"/>
              </w:rPr>
              <w:t>refers</w:t>
            </w:r>
            <w:r>
              <w:rPr>
                <w:rFonts w:cstheme="minorHAnsi"/>
                <w:color w:val="4A4A4A"/>
                <w:sz w:val="22"/>
                <w:szCs w:val="22"/>
              </w:rPr>
              <w:t xml:space="preserve"> to waste management and recovery activities undertaken by individuals, economic units, or enterprises which are not sponsored, financed, recognised, supported, organised or acknowledged by the formal solid waste authorities, or which operate in violation of or in competition with formal authorities (Scheinberg et al., 2010). </w:t>
            </w:r>
            <w:r>
              <w:rPr>
                <w:rFonts w:cstheme="minorHAnsi"/>
                <w:iCs/>
                <w:color w:val="4A4A4A"/>
                <w:sz w:val="22"/>
                <w:szCs w:val="22"/>
              </w:rPr>
              <w:t>Informal units are assumed to abide by local waste-related laws and regulations when it is in their interests to do so.</w:t>
            </w:r>
          </w:p>
        </w:tc>
      </w:tr>
      <w:permEnd w:id="21"/>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2" w:edGrp="everyone" w:colFirst="1" w:colLast="1"/>
            <w:r>
              <w:rPr>
                <w:rFonts w:ascii="Calibri" w:hAnsi="Calibri" w:eastAsia="Times New Roman" w:cs="Calibri"/>
              </w:rPr>
              <w:t>2.b. Unit of measure</w:t>
            </w:r>
          </w:p>
        </w:tc>
        <w:tc>
          <w:tcPr>
            <w:tcW w:w="3247" w:type="pct"/>
            <w:tcBorders>
              <w:top w:val="nil"/>
              <w:left w:val="nil"/>
              <w:bottom w:val="single" w:color="auto" w:sz="4" w:space="0"/>
              <w:right w:val="single" w:color="auto" w:sz="4" w:space="0"/>
            </w:tcBorders>
            <w:shd w:val="clear" w:color="auto" w:fill="auto"/>
          </w:tcPr>
          <w:p>
            <w:pPr>
              <w:rPr>
                <w:rFonts w:hint="default"/>
                <w:lang w:val="en-CA"/>
              </w:rPr>
            </w:pPr>
            <w:r>
              <w:rPr>
                <w:rFonts w:hint="default"/>
                <w:lang w:val="en-US"/>
              </w:rPr>
              <w:t>Percent</w:t>
            </w:r>
            <w:r>
              <w:rPr>
                <w:rFonts w:hint="default"/>
                <w:lang w:val="en-CA"/>
              </w:rPr>
              <w:t>age (%)</w:t>
            </w:r>
          </w:p>
        </w:tc>
      </w:tr>
      <w:permEnd w:id="22"/>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3" w:edGrp="everyone" w:colFirst="1" w:colLast="1"/>
            <w:r>
              <w:rPr>
                <w:rFonts w:ascii="Calibri" w:hAnsi="Calibri" w:eastAsia="Times New Roman" w:cs="Calibri"/>
              </w:rPr>
              <w:t>2.c. Classifications</w:t>
            </w:r>
          </w:p>
        </w:tc>
        <w:tc>
          <w:tcPr>
            <w:tcW w:w="3247" w:type="pct"/>
            <w:tcBorders>
              <w:top w:val="nil"/>
              <w:left w:val="nil"/>
              <w:bottom w:val="single" w:color="auto" w:sz="4" w:space="0"/>
              <w:right w:val="single" w:color="auto" w:sz="4" w:space="0"/>
            </w:tcBorders>
            <w:shd w:val="clear" w:color="auto" w:fill="auto"/>
          </w:tcPr>
          <w:p/>
        </w:tc>
      </w:tr>
      <w:permEnd w:id="23"/>
    </w:tbl>
    <w:p/>
    <w:tbl>
      <w:tblPr>
        <w:tblStyle w:val="5"/>
        <w:tblW w:w="4750" w:type="pct"/>
        <w:tblCaption w:val="3. Data source type and data collection method"/>
        <w:tblInd w:w="0" w:type="dxa"/>
        <w:tblLayout w:type="fixed"/>
        <w:tblCellMar>
          <w:top w:w="0" w:type="dxa"/>
          <w:left w:w="108" w:type="dxa"/>
          <w:bottom w:w="0" w:type="dxa"/>
          <w:right w:w="108" w:type="dxa"/>
        </w:tblCellMar>
      </w:tblPr>
      <w:tblGrid>
        <w:gridCol w:w="3191"/>
        <w:gridCol w:w="590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22" w:name="_Toc36813074"/>
            <w:bookmarkStart w:id="23" w:name="_Toc37932746"/>
            <w:r>
              <w:rPr>
                <w:sz w:val="32"/>
                <w:szCs w:val="32"/>
              </w:rPr>
              <w:t>3. Data source type and data collection method</w:t>
            </w:r>
            <w:bookmarkEnd w:id="22"/>
            <w:bookmarkEnd w:id="23"/>
          </w:p>
        </w:tc>
      </w:tr>
      <w:tr>
        <w:tblPrEx>
          <w:tblCellMar>
            <w:top w:w="0" w:type="dxa"/>
            <w:left w:w="108" w:type="dxa"/>
            <w:bottom w:w="0" w:type="dxa"/>
            <w:right w:w="108" w:type="dxa"/>
          </w:tblCellMar>
        </w:tblPrEx>
        <w:trPr>
          <w:trHeight w:val="300" w:hRule="atLeast"/>
        </w:trPr>
        <w:tc>
          <w:tcPr>
            <w:tcW w:w="1754"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6"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4" w:edGrp="everyone" w:colFirst="1" w:colLast="1"/>
            <w:r>
              <w:rPr>
                <w:rFonts w:ascii="Calibri" w:hAnsi="Calibri" w:eastAsia="Times New Roman" w:cs="Calibri"/>
              </w:rPr>
              <w:t>3. Data source type and collection method</w:t>
            </w:r>
          </w:p>
        </w:tc>
        <w:tc>
          <w:tcPr>
            <w:tcW w:w="3246" w:type="pct"/>
            <w:tcBorders>
              <w:top w:val="single" w:color="auto" w:sz="4" w:space="0"/>
              <w:left w:val="nil"/>
              <w:bottom w:val="single" w:color="auto" w:sz="4" w:space="0"/>
              <w:right w:val="single" w:color="auto" w:sz="4" w:space="0"/>
            </w:tcBorders>
            <w:shd w:val="clear" w:color="auto" w:fill="auto"/>
          </w:tcPr>
          <w:p/>
        </w:tc>
      </w:tr>
      <w:permEnd w:id="24"/>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5" w:edGrp="everyone" w:colFirst="1" w:colLast="1"/>
            <w:r>
              <w:rPr>
                <w:rFonts w:ascii="Calibri" w:hAnsi="Calibri" w:eastAsia="Times New Roman" w:cs="Calibri"/>
              </w:rPr>
              <w:t>3.a. Data sources</w:t>
            </w:r>
          </w:p>
        </w:tc>
        <w:tc>
          <w:tcPr>
            <w:tcW w:w="3246" w:type="pct"/>
            <w:tcBorders>
              <w:top w:val="single" w:color="auto" w:sz="4" w:space="0"/>
              <w:left w:val="nil"/>
              <w:bottom w:val="single" w:color="auto" w:sz="4" w:space="0"/>
              <w:right w:val="single" w:color="auto" w:sz="4" w:space="0"/>
            </w:tcBorders>
            <w:shd w:val="clear" w:color="auto" w:fill="auto"/>
          </w:tcPr>
          <w:p>
            <w:pPr>
              <w:rPr>
                <w:rFonts w:eastAsia="Times New Roman" w:cstheme="minorHAnsi"/>
                <w:iCs/>
                <w:lang w:val="en-GB"/>
              </w:rPr>
            </w:pPr>
            <w:r>
              <w:rPr>
                <w:rFonts w:eastAsia="Times New Roman" w:cstheme="minorHAnsi"/>
                <w:iCs/>
                <w:lang w:val="en-GB"/>
              </w:rPr>
              <w:t>M</w:t>
            </w:r>
            <w:r>
              <w:rPr>
                <w:rFonts w:hint="default" w:eastAsia="Times New Roman" w:cstheme="minorHAnsi"/>
                <w:iCs/>
                <w:lang w:val="en-CA"/>
              </w:rPr>
              <w:t xml:space="preserve">unicipal Solid Waste (MSW) </w:t>
            </w:r>
            <w:r>
              <w:rPr>
                <w:rFonts w:eastAsia="Times New Roman" w:cstheme="minorHAnsi"/>
                <w:iCs/>
                <w:lang w:val="en-GB"/>
              </w:rPr>
              <w:t>, 2019</w:t>
            </w:r>
          </w:p>
          <w:p>
            <w:pPr>
              <w:rPr>
                <w:rFonts w:hint="default" w:eastAsia="Times New Roman" w:cstheme="minorHAnsi"/>
                <w:iCs/>
                <w:lang w:val="en-CA"/>
              </w:rPr>
            </w:pPr>
            <w:r>
              <w:rPr>
                <w:rFonts w:hint="default" w:eastAsia="Times New Roman" w:cstheme="minorHAnsi"/>
                <w:iCs/>
                <w:lang w:val="en-CA"/>
              </w:rPr>
              <w:t>Ghana’s Sustainable Development Goals (SDGs) Report, 2020</w:t>
            </w:r>
          </w:p>
        </w:tc>
      </w:tr>
      <w:permEnd w:id="25"/>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6" w:edGrp="everyone" w:colFirst="1" w:colLast="1"/>
            <w:r>
              <w:rPr>
                <w:rFonts w:ascii="Calibri" w:hAnsi="Calibri" w:eastAsia="Times New Roman" w:cs="Calibri"/>
              </w:rPr>
              <w:t>3.b. Data collection method</w:t>
            </w:r>
          </w:p>
        </w:tc>
        <w:tc>
          <w:tcPr>
            <w:tcW w:w="3246" w:type="pct"/>
            <w:tcBorders>
              <w:top w:val="nil"/>
              <w:left w:val="nil"/>
              <w:bottom w:val="single" w:color="auto" w:sz="4" w:space="0"/>
              <w:right w:val="single" w:color="auto" w:sz="4" w:space="0"/>
            </w:tcBorders>
            <w:shd w:val="clear" w:color="auto" w:fill="auto"/>
          </w:tcPr>
          <w:p/>
        </w:tc>
      </w:tr>
      <w:permEnd w:id="26"/>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7" w:edGrp="everyone" w:colFirst="1" w:colLast="1"/>
            <w:r>
              <w:t>3.c. Data collection calendar</w:t>
            </w:r>
          </w:p>
        </w:tc>
        <w:tc>
          <w:tcPr>
            <w:tcW w:w="3246" w:type="pct"/>
            <w:tcBorders>
              <w:top w:val="nil"/>
              <w:left w:val="nil"/>
              <w:bottom w:val="single" w:color="auto" w:sz="4" w:space="0"/>
              <w:right w:val="single" w:color="auto" w:sz="4" w:space="0"/>
            </w:tcBorders>
            <w:shd w:val="clear" w:color="auto" w:fill="auto"/>
          </w:tcPr>
          <w:p/>
        </w:tc>
      </w:tr>
      <w:permEnd w:id="27"/>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8" w:edGrp="everyone" w:colFirst="1" w:colLast="1"/>
            <w:r>
              <w:rPr>
                <w:rFonts w:ascii="Calibri" w:hAnsi="Calibri" w:eastAsia="Times New Roman" w:cs="Calibri"/>
              </w:rPr>
              <w:t>3.d. Data release calendar</w:t>
            </w:r>
          </w:p>
        </w:tc>
        <w:tc>
          <w:tcPr>
            <w:tcW w:w="3246" w:type="pct"/>
            <w:tcBorders>
              <w:top w:val="nil"/>
              <w:left w:val="nil"/>
              <w:bottom w:val="single" w:color="auto" w:sz="4" w:space="0"/>
              <w:right w:val="single" w:color="auto" w:sz="4" w:space="0"/>
            </w:tcBorders>
            <w:shd w:val="clear" w:color="auto" w:fill="auto"/>
          </w:tcPr>
          <w:p/>
        </w:tc>
      </w:tr>
      <w:permEnd w:id="28"/>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9" w:edGrp="everyone" w:colFirst="1" w:colLast="1"/>
            <w:r>
              <w:rPr>
                <w:rFonts w:ascii="Calibri" w:hAnsi="Calibri" w:eastAsia="Times New Roman" w:cs="Calibri"/>
              </w:rPr>
              <w:t>3.e. Data providers</w:t>
            </w:r>
          </w:p>
        </w:tc>
        <w:tc>
          <w:tcPr>
            <w:tcW w:w="3246" w:type="pct"/>
            <w:tcBorders>
              <w:top w:val="nil"/>
              <w:left w:val="nil"/>
              <w:bottom w:val="single" w:color="auto" w:sz="4" w:space="0"/>
              <w:right w:val="single" w:color="auto" w:sz="4" w:space="0"/>
            </w:tcBorders>
            <w:shd w:val="clear" w:color="auto" w:fill="auto"/>
          </w:tcPr>
          <w:p>
            <w:pPr>
              <w:rPr>
                <w:rFonts w:hint="default"/>
                <w:lang w:val="en-CA"/>
              </w:rPr>
            </w:pPr>
          </w:p>
        </w:tc>
      </w:tr>
      <w:permEnd w:id="29"/>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0" w:edGrp="everyone" w:colFirst="1" w:colLast="1"/>
            <w:r>
              <w:rPr>
                <w:rFonts w:ascii="Calibri" w:hAnsi="Calibri" w:eastAsia="Times New Roman" w:cs="Calibri"/>
              </w:rPr>
              <w:t>3.f. Data compilers</w:t>
            </w:r>
          </w:p>
        </w:tc>
        <w:tc>
          <w:tcPr>
            <w:tcW w:w="3246" w:type="pct"/>
            <w:tcBorders>
              <w:top w:val="nil"/>
              <w:left w:val="nil"/>
              <w:bottom w:val="single" w:color="auto" w:sz="4" w:space="0"/>
              <w:right w:val="single" w:color="auto" w:sz="4" w:space="0"/>
            </w:tcBorders>
            <w:shd w:val="clear" w:color="auto" w:fill="auto"/>
          </w:tcPr>
          <w:p>
            <w:pPr>
              <w:rPr>
                <w:rFonts w:hint="default"/>
                <w:lang w:val="en-CA"/>
              </w:rPr>
            </w:pPr>
            <w:r>
              <w:rPr>
                <w:rFonts w:hint="default"/>
                <w:lang w:val="en-CA"/>
              </w:rPr>
              <w:t>National Development Planning Committee (NDPC)</w:t>
            </w:r>
          </w:p>
        </w:tc>
      </w:tr>
      <w:permEnd w:id="30"/>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1" w:edGrp="everyone" w:colFirst="1" w:colLast="1"/>
            <w:r>
              <w:rPr>
                <w:rFonts w:ascii="Calibri" w:hAnsi="Calibri" w:eastAsia="Times New Roman" w:cs="Calibri"/>
              </w:rPr>
              <w:t>3.g. Institutional mandate</w:t>
            </w:r>
          </w:p>
        </w:tc>
        <w:tc>
          <w:tcPr>
            <w:tcW w:w="3246" w:type="pct"/>
            <w:tcBorders>
              <w:top w:val="nil"/>
              <w:left w:val="nil"/>
              <w:bottom w:val="single" w:color="auto" w:sz="4" w:space="0"/>
              <w:right w:val="single" w:color="auto" w:sz="4" w:space="0"/>
            </w:tcBorders>
            <w:shd w:val="clear" w:color="auto" w:fill="auto"/>
          </w:tcPr>
          <w:p/>
        </w:tc>
      </w:tr>
      <w:permEnd w:id="31"/>
    </w:tbl>
    <w:p/>
    <w:tbl>
      <w:tblPr>
        <w:tblStyle w:val="5"/>
        <w:tblW w:w="4792" w:type="pct"/>
        <w:tblCaption w:val="4. Other methodological considerations"/>
        <w:tblInd w:w="0" w:type="dxa"/>
        <w:tblLayout w:type="fixed"/>
        <w:tblCellMar>
          <w:top w:w="0" w:type="dxa"/>
          <w:left w:w="108" w:type="dxa"/>
          <w:bottom w:w="0" w:type="dxa"/>
          <w:right w:w="108" w:type="dxa"/>
        </w:tblCellMar>
      </w:tblPr>
      <w:tblGrid>
        <w:gridCol w:w="3192"/>
        <w:gridCol w:w="598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4" w:name="_Toc37932747"/>
            <w:bookmarkStart w:id="25" w:name="_Toc36812688"/>
            <w:bookmarkStart w:id="26" w:name="_Toc36655612"/>
            <w:bookmarkStart w:id="27" w:name="_Toc36813075"/>
            <w:bookmarkStart w:id="28" w:name="_Toc36812575"/>
            <w:r>
              <w:rPr>
                <w:sz w:val="32"/>
                <w:szCs w:val="32"/>
              </w:rPr>
              <w:t>4. Other methodological considerations</w:t>
            </w:r>
            <w:bookmarkEnd w:id="24"/>
            <w:bookmarkEnd w:id="25"/>
            <w:bookmarkEnd w:id="26"/>
            <w:bookmarkEnd w:id="27"/>
            <w:bookmarkEnd w:id="28"/>
          </w:p>
        </w:tc>
      </w:tr>
      <w:tr>
        <w:tblPrEx>
          <w:tblCellMar>
            <w:top w:w="0" w:type="dxa"/>
            <w:left w:w="108" w:type="dxa"/>
            <w:bottom w:w="0" w:type="dxa"/>
            <w:right w:w="108" w:type="dxa"/>
          </w:tblCellMar>
        </w:tblPrEx>
        <w:trPr>
          <w:trHeight w:val="300" w:hRule="atLeast"/>
        </w:trPr>
        <w:tc>
          <w:tcPr>
            <w:tcW w:w="173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61"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b/>
                <w:bCs/>
              </w:rPr>
            </w:pPr>
            <w:permStart w:id="32" w:edGrp="everyone" w:colFirst="1" w:colLast="1"/>
            <w:r>
              <w:rPr>
                <w:rFonts w:ascii="Calibri" w:hAnsi="Calibri" w:eastAsia="Times New Roman" w:cs="Calibri"/>
              </w:rPr>
              <w:t>4. Other methodological considerations</w:t>
            </w:r>
          </w:p>
        </w:tc>
        <w:tc>
          <w:tcPr>
            <w:tcW w:w="3261" w:type="pct"/>
            <w:tcBorders>
              <w:top w:val="single" w:color="auto" w:sz="4" w:space="0"/>
              <w:left w:val="nil"/>
              <w:bottom w:val="single" w:color="auto" w:sz="4" w:space="0"/>
              <w:right w:val="single" w:color="auto" w:sz="4" w:space="0"/>
            </w:tcBorders>
            <w:shd w:val="clear" w:color="auto" w:fill="auto"/>
          </w:tcPr>
          <w:p/>
        </w:tc>
      </w:tr>
      <w:permEnd w:id="32"/>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3" w:edGrp="everyone" w:colFirst="1" w:colLast="1"/>
            <w:r>
              <w:rPr>
                <w:rFonts w:ascii="Calibri" w:hAnsi="Calibri" w:eastAsia="Times New Roman" w:cs="Calibri"/>
              </w:rPr>
              <w:t>4.a. Rationale</w:t>
            </w:r>
          </w:p>
        </w:tc>
        <w:tc>
          <w:tcPr>
            <w:tcW w:w="3261" w:type="pct"/>
            <w:tcBorders>
              <w:top w:val="single" w:color="auto" w:sz="4" w:space="0"/>
              <w:left w:val="nil"/>
              <w:bottom w:val="single" w:color="auto" w:sz="4" w:space="0"/>
              <w:right w:val="single" w:color="auto" w:sz="4" w:space="0"/>
            </w:tcBorders>
            <w:shd w:val="clear" w:color="auto" w:fill="auto"/>
          </w:tcPr>
          <w:p>
            <w:pPr>
              <w:shd w:val="clear" w:color="auto" w:fill="FFFFFF"/>
              <w:spacing w:after="0"/>
              <w:jc w:val="both"/>
              <w:rPr>
                <w:rFonts w:cstheme="minorHAnsi"/>
                <w:color w:val="4A4A4A"/>
                <w:sz w:val="22"/>
                <w:szCs w:val="22"/>
              </w:rPr>
            </w:pPr>
            <w:r>
              <w:rPr>
                <w:rFonts w:cstheme="minorHAnsi"/>
                <w:color w:val="4A4A4A"/>
                <w:sz w:val="22"/>
                <w:szCs w:val="22"/>
              </w:rPr>
              <w:t>Urban households and businesses produce substantial amounts of solid waste that must be collected regularly, recycled or treated and disposed properly in order to maintain healthy and sanitary living conditions. Many cities are increasingly facing solid waste management challenges due to rapid urbanization, lack of technical and financial capacity or low policy priority. In addition, the higher the income level of a city, the greater the amount of the solid waste produced. Therefore, the economic growth to be experienced in the developing and emerging countries will pose greater challenges in solid waste management to local governments in the next decades.</w:t>
            </w:r>
          </w:p>
          <w:p>
            <w:pPr>
              <w:jc w:val="both"/>
              <w:rPr>
                <w:rFonts w:hint="default"/>
                <w:lang w:val="en-CA"/>
              </w:rPr>
            </w:pPr>
            <w:r>
              <w:rPr>
                <w:rFonts w:cstheme="minorHAnsi"/>
                <w:color w:val="4A4A4A"/>
                <w:sz w:val="22"/>
                <w:szCs w:val="22"/>
              </w:rPr>
              <w:t xml:space="preserve">The global scale of urbanization and economic growth are creating a potential “time-bomb” regarding the waste we generate in the world. If not addressed now, the significant negative impact on human health and the environment will be felt by nations at all levels of development.There is a need for SDG indicator 11.6.1 monitoring as it provides critical information to establish better waste and resource management strategies. The formal and informal sectors need to work together, for the benefit of both. Promoting this indicator also can help formalization of the informal sector in the process of increasing the portion of ‘solid waste with adequate discharge’. </w:t>
            </w:r>
            <w:r>
              <w:rPr>
                <w:rFonts w:hint="default" w:cstheme="minorHAnsi"/>
                <w:color w:val="4A4A4A"/>
                <w:sz w:val="22"/>
                <w:szCs w:val="22"/>
                <w:lang w:val="en-CA"/>
              </w:rPr>
              <w:t>S</w:t>
            </w:r>
            <w:r>
              <w:rPr>
                <w:rFonts w:cstheme="minorHAnsi"/>
                <w:color w:val="4A4A4A"/>
                <w:sz w:val="22"/>
                <w:szCs w:val="22"/>
              </w:rPr>
              <w:t>DG indicator 11.6.1 quantifies parameters that will help</w:t>
            </w:r>
            <w:r>
              <w:rPr>
                <w:rFonts w:hint="default" w:cstheme="minorHAnsi"/>
                <w:color w:val="4A4A4A"/>
                <w:sz w:val="22"/>
                <w:szCs w:val="22"/>
                <w:lang w:val="en-CA"/>
              </w:rPr>
              <w:t xml:space="preserve"> </w:t>
            </w:r>
            <w:r>
              <w:rPr>
                <w:rFonts w:cstheme="minorHAnsi"/>
                <w:color w:val="4A4A4A"/>
                <w:sz w:val="22"/>
                <w:szCs w:val="22"/>
              </w:rPr>
              <w:t>better manage resources, mitigate and prevent environmental pollution, create business</w:t>
            </w:r>
            <w:r>
              <w:rPr>
                <w:rFonts w:hint="default" w:cstheme="minorHAnsi"/>
                <w:color w:val="4A4A4A"/>
                <w:sz w:val="22"/>
                <w:szCs w:val="22"/>
                <w:lang w:val="en-CA"/>
              </w:rPr>
              <w:t>es</w:t>
            </w:r>
            <w:r>
              <w:rPr>
                <w:rFonts w:cstheme="minorHAnsi"/>
                <w:color w:val="4A4A4A"/>
                <w:sz w:val="22"/>
                <w:szCs w:val="22"/>
              </w:rPr>
              <w:t>, employment and livelihood opportunities and shift towards a circular economy</w:t>
            </w:r>
            <w:r>
              <w:rPr>
                <w:rFonts w:hint="default" w:cstheme="minorHAnsi"/>
                <w:color w:val="4A4A4A"/>
                <w:sz w:val="22"/>
                <w:szCs w:val="22"/>
                <w:lang w:val="en-CA"/>
              </w:rPr>
              <w:t>.</w:t>
            </w:r>
          </w:p>
        </w:tc>
      </w:tr>
      <w:permEnd w:id="33"/>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4" w:edGrp="everyone" w:colFirst="1" w:colLast="1"/>
            <w:r>
              <w:rPr>
                <w:rFonts w:ascii="Calibri" w:hAnsi="Calibri" w:eastAsia="Times New Roman" w:cs="Calibri"/>
              </w:rPr>
              <w:t>4.b. Comment and limitations</w:t>
            </w:r>
          </w:p>
        </w:tc>
        <w:tc>
          <w:tcPr>
            <w:tcW w:w="3261" w:type="pct"/>
            <w:tcBorders>
              <w:top w:val="nil"/>
              <w:left w:val="nil"/>
              <w:bottom w:val="single" w:color="auto" w:sz="4" w:space="0"/>
              <w:right w:val="single" w:color="auto" w:sz="4" w:space="0"/>
            </w:tcBorders>
            <w:shd w:val="clear" w:color="auto" w:fill="auto"/>
          </w:tcPr>
          <w:p/>
        </w:tc>
      </w:tr>
      <w:permEnd w:id="34"/>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5" w:edGrp="everyone" w:colFirst="1" w:colLast="1"/>
            <w:r>
              <w:rPr>
                <w:rFonts w:ascii="Calibri" w:hAnsi="Calibri" w:eastAsia="Times New Roman" w:cs="Calibri"/>
              </w:rPr>
              <w:t>4.c. Method of computation</w:t>
            </w:r>
          </w:p>
        </w:tc>
        <w:tc>
          <w:tcPr>
            <w:tcW w:w="3261" w:type="pct"/>
            <w:tcBorders>
              <w:top w:val="nil"/>
              <w:left w:val="nil"/>
              <w:bottom w:val="single" w:color="auto" w:sz="4" w:space="0"/>
              <w:right w:val="single" w:color="auto" w:sz="4" w:space="0"/>
            </w:tcBorders>
            <w:shd w:val="clear" w:color="auto" w:fill="auto"/>
          </w:tcPr>
          <w:p>
            <w:pPr>
              <w:rPr>
                <w:rFonts w:hint="default"/>
                <w:lang w:val="en-CA"/>
              </w:rPr>
            </w:pPr>
            <w:r>
              <w:rPr>
                <w:rFonts w:hint="default"/>
                <w:lang w:val="en-CA"/>
              </w:rPr>
              <w:t>[Total MSW collected and discharged in adequate facilities (t/day)/ Total MSW generated (t/day)] *100</w:t>
            </w:r>
          </w:p>
        </w:tc>
      </w:tr>
      <w:permEnd w:id="35"/>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6" w:edGrp="everyone" w:colFirst="1" w:colLast="1"/>
            <w:r>
              <w:rPr>
                <w:rFonts w:ascii="Calibri" w:hAnsi="Calibri" w:eastAsia="Times New Roman" w:cs="Calibri"/>
              </w:rPr>
              <w:t>4.d. Validation</w:t>
            </w:r>
          </w:p>
        </w:tc>
        <w:tc>
          <w:tcPr>
            <w:tcW w:w="3261" w:type="pct"/>
            <w:tcBorders>
              <w:top w:val="nil"/>
              <w:left w:val="nil"/>
              <w:bottom w:val="single" w:color="auto" w:sz="4" w:space="0"/>
              <w:right w:val="single" w:color="auto" w:sz="4" w:space="0"/>
            </w:tcBorders>
            <w:shd w:val="clear" w:color="auto" w:fill="auto"/>
          </w:tcPr>
          <w:p/>
        </w:tc>
      </w:tr>
      <w:permEnd w:id="36"/>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7" w:edGrp="everyone" w:colFirst="1" w:colLast="1"/>
            <w:r>
              <w:rPr>
                <w:rFonts w:ascii="Calibri" w:hAnsi="Calibri" w:eastAsia="Times New Roman" w:cs="Calibri"/>
              </w:rPr>
              <w:t>4.e. Adjustments</w:t>
            </w:r>
          </w:p>
        </w:tc>
        <w:tc>
          <w:tcPr>
            <w:tcW w:w="3261" w:type="pct"/>
            <w:tcBorders>
              <w:top w:val="nil"/>
              <w:left w:val="nil"/>
              <w:bottom w:val="single" w:color="auto" w:sz="4" w:space="0"/>
              <w:right w:val="single" w:color="auto" w:sz="4" w:space="0"/>
            </w:tcBorders>
            <w:shd w:val="clear" w:color="auto" w:fill="auto"/>
          </w:tcPr>
          <w:p/>
        </w:tc>
      </w:tr>
      <w:permEnd w:id="37"/>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8" w:edGrp="everyone" w:colFirst="1" w:colLast="1"/>
            <w:r>
              <w:rPr>
                <w:rFonts w:ascii="Calibri" w:hAnsi="Calibri" w:eastAsia="Times New Roman" w:cs="Calibri"/>
              </w:rPr>
              <w:t>4.f. Treatment of missing values (i) at country level and (ii) at regional level</w:t>
            </w:r>
          </w:p>
        </w:tc>
        <w:tc>
          <w:tcPr>
            <w:tcW w:w="3261" w:type="pct"/>
            <w:tcBorders>
              <w:top w:val="nil"/>
              <w:left w:val="nil"/>
              <w:bottom w:val="single" w:color="auto" w:sz="4" w:space="0"/>
              <w:right w:val="single" w:color="auto" w:sz="4" w:space="0"/>
            </w:tcBorders>
            <w:shd w:val="clear" w:color="auto" w:fill="auto"/>
          </w:tcPr>
          <w:p/>
        </w:tc>
      </w:tr>
      <w:permEnd w:id="38"/>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9" w:edGrp="everyone" w:colFirst="1" w:colLast="1"/>
            <w:r>
              <w:rPr>
                <w:rFonts w:ascii="Calibri" w:hAnsi="Calibri" w:eastAsia="Times New Roman" w:cs="Calibri"/>
              </w:rPr>
              <w:t>4.g. Regional aggregations</w:t>
            </w:r>
          </w:p>
        </w:tc>
        <w:tc>
          <w:tcPr>
            <w:tcW w:w="3261" w:type="pct"/>
            <w:tcBorders>
              <w:top w:val="nil"/>
              <w:left w:val="nil"/>
              <w:bottom w:val="single" w:color="auto" w:sz="4" w:space="0"/>
              <w:right w:val="single" w:color="auto" w:sz="4" w:space="0"/>
            </w:tcBorders>
            <w:shd w:val="clear" w:color="auto" w:fill="auto"/>
          </w:tcPr>
          <w:p/>
        </w:tc>
      </w:tr>
      <w:permEnd w:id="39"/>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0" w:edGrp="everyone" w:colFirst="1" w:colLast="1"/>
            <w:r>
              <w:rPr>
                <w:rFonts w:ascii="Calibri" w:hAnsi="Calibri" w:eastAsia="Times New Roman" w:cs="Calibri"/>
              </w:rPr>
              <w:t>4.h. Methods and guidance available to countries for the compilation of the data at the national level</w:t>
            </w:r>
          </w:p>
        </w:tc>
        <w:tc>
          <w:tcPr>
            <w:tcW w:w="3261" w:type="pct"/>
            <w:tcBorders>
              <w:top w:val="nil"/>
              <w:left w:val="nil"/>
              <w:bottom w:val="single" w:color="auto" w:sz="4" w:space="0"/>
              <w:right w:val="single" w:color="auto" w:sz="4" w:space="0"/>
            </w:tcBorders>
            <w:shd w:val="clear" w:color="auto" w:fill="auto"/>
          </w:tcPr>
          <w:p/>
        </w:tc>
      </w:tr>
      <w:permEnd w:id="40"/>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1" w:edGrp="everyone" w:colFirst="1" w:colLast="1"/>
            <w:r>
              <w:rPr>
                <w:rFonts w:ascii="Calibri" w:hAnsi="Calibri" w:eastAsia="Times New Roman" w:cs="Calibri"/>
              </w:rPr>
              <w:t>4.i. Quality management</w:t>
            </w:r>
          </w:p>
        </w:tc>
        <w:tc>
          <w:tcPr>
            <w:tcW w:w="3261" w:type="pct"/>
            <w:tcBorders>
              <w:top w:val="nil"/>
              <w:left w:val="nil"/>
              <w:bottom w:val="single" w:color="auto" w:sz="4" w:space="0"/>
              <w:right w:val="single" w:color="auto" w:sz="4" w:space="0"/>
            </w:tcBorders>
            <w:shd w:val="clear" w:color="auto" w:fill="auto"/>
          </w:tcPr>
          <w:p/>
        </w:tc>
      </w:tr>
      <w:permEnd w:id="41"/>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2" w:edGrp="everyone" w:colFirst="1" w:colLast="1"/>
            <w:r>
              <w:rPr>
                <w:rFonts w:ascii="Calibri" w:hAnsi="Calibri" w:eastAsia="Times New Roman" w:cs="Calibri"/>
              </w:rPr>
              <w:t>4.j. Quality assurance</w:t>
            </w:r>
          </w:p>
        </w:tc>
        <w:tc>
          <w:tcPr>
            <w:tcW w:w="3261" w:type="pct"/>
            <w:tcBorders>
              <w:top w:val="nil"/>
              <w:left w:val="nil"/>
              <w:bottom w:val="single" w:color="auto" w:sz="4" w:space="0"/>
              <w:right w:val="single" w:color="auto" w:sz="4" w:space="0"/>
            </w:tcBorders>
            <w:shd w:val="clear" w:color="auto" w:fill="auto"/>
          </w:tcPr>
          <w:p/>
        </w:tc>
      </w:tr>
      <w:permEnd w:id="42"/>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3" w:edGrp="everyone" w:colFirst="1" w:colLast="1"/>
            <w:r>
              <w:rPr>
                <w:rFonts w:ascii="Calibri" w:hAnsi="Calibri" w:eastAsia="Times New Roman" w:cs="Calibri"/>
              </w:rPr>
              <w:t>4.k. Quality assessment</w:t>
            </w:r>
          </w:p>
        </w:tc>
        <w:tc>
          <w:tcPr>
            <w:tcW w:w="3261" w:type="pct"/>
            <w:tcBorders>
              <w:top w:val="nil"/>
              <w:left w:val="nil"/>
              <w:bottom w:val="single" w:color="auto" w:sz="4" w:space="0"/>
              <w:right w:val="single" w:color="auto" w:sz="4" w:space="0"/>
            </w:tcBorders>
            <w:shd w:val="clear" w:color="auto" w:fill="auto"/>
          </w:tcPr>
          <w:p/>
        </w:tc>
      </w:tr>
      <w:permEnd w:id="43"/>
    </w:tbl>
    <w:p/>
    <w:tbl>
      <w:tblPr>
        <w:tblStyle w:val="5"/>
        <w:tblW w:w="4833" w:type="pct"/>
        <w:tblCaption w:val="5. Data availability and disaggregation"/>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9" w:name="_Toc37932748"/>
            <w:bookmarkStart w:id="30" w:name="_Toc36655613"/>
            <w:bookmarkStart w:id="31" w:name="_Toc36812576"/>
            <w:bookmarkStart w:id="32" w:name="_Toc36812689"/>
            <w:bookmarkStart w:id="33" w:name="_Toc36813076"/>
            <w:r>
              <w:rPr>
                <w:sz w:val="32"/>
                <w:szCs w:val="32"/>
              </w:rPr>
              <w:t>5. Data availability and disaggregation</w:t>
            </w:r>
            <w:bookmarkEnd w:id="29"/>
            <w:bookmarkEnd w:id="30"/>
            <w:bookmarkEnd w:id="31"/>
            <w:bookmarkEnd w:id="32"/>
            <w:bookmarkEnd w:id="33"/>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4" w:edGrp="everyone" w:colFirst="1" w:colLast="1"/>
            <w:r>
              <w:rPr>
                <w:rFonts w:ascii="Calibri" w:hAnsi="Calibri" w:eastAsia="Times New Roman" w:cs="Calibri"/>
              </w:rPr>
              <w:t>5. Data availability and disaggregation</w:t>
            </w:r>
          </w:p>
        </w:tc>
        <w:tc>
          <w:tcPr>
            <w:tcW w:w="3331" w:type="pct"/>
            <w:tcBorders>
              <w:top w:val="single" w:color="auto" w:sz="4" w:space="0"/>
              <w:left w:val="nil"/>
              <w:bottom w:val="single" w:color="auto" w:sz="4" w:space="0"/>
              <w:right w:val="single" w:color="auto" w:sz="4" w:space="0"/>
            </w:tcBorders>
            <w:shd w:val="clear" w:color="auto" w:fill="auto"/>
          </w:tcPr>
          <w:p>
            <w:r>
              <w:rPr>
                <w:rFonts w:hint="default"/>
                <w:lang w:val="en-CA"/>
              </w:rPr>
              <w:t>There is no available disaggregation for this indicator.</w:t>
            </w:r>
            <w:bookmarkStart w:id="42" w:name="_GoBack"/>
            <w:bookmarkEnd w:id="42"/>
          </w:p>
        </w:tc>
      </w:tr>
      <w:permEnd w:id="44"/>
    </w:tbl>
    <w:p/>
    <w:tbl>
      <w:tblPr>
        <w:tblStyle w:val="5"/>
        <w:tblW w:w="4833" w:type="pct"/>
        <w:tblCaption w:val="6. Comparability/deviation from international standards"/>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6. Comparability/deviation from international standards</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5" w:edGrp="everyone" w:colFirst="1" w:colLast="1"/>
            <w:r>
              <w:rPr>
                <w:rFonts w:ascii="Calibri" w:hAnsi="Calibri" w:eastAsia="Times New Roman" w:cs="Calibri"/>
              </w:rPr>
              <w:t>6. Comparability/deviation from international standards</w:t>
            </w:r>
          </w:p>
        </w:tc>
        <w:tc>
          <w:tcPr>
            <w:tcW w:w="3331" w:type="pct"/>
            <w:tcBorders>
              <w:top w:val="single" w:color="auto" w:sz="4" w:space="0"/>
              <w:left w:val="nil"/>
              <w:bottom w:val="single" w:color="auto" w:sz="4" w:space="0"/>
              <w:right w:val="single" w:color="auto" w:sz="4" w:space="0"/>
            </w:tcBorders>
            <w:shd w:val="clear" w:color="auto" w:fill="auto"/>
          </w:tcPr>
          <w:p>
            <w:pPr>
              <w:rPr>
                <w:rFonts w:hint="default"/>
                <w:lang w:val="en-CA"/>
              </w:rPr>
            </w:pPr>
          </w:p>
        </w:tc>
      </w:tr>
      <w:permEnd w:id="45"/>
    </w:tbl>
    <w:p/>
    <w:tbl>
      <w:tblPr>
        <w:tblStyle w:val="5"/>
        <w:tblW w:w="4833" w:type="pct"/>
        <w:tblCaption w:val="7. References and Documentation"/>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7. References and Documentation</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6" w:edGrp="everyone" w:colFirst="1" w:colLast="1"/>
            <w:r>
              <w:rPr>
                <w:rFonts w:ascii="Calibri" w:hAnsi="Calibri" w:eastAsia="Times New Roman" w:cs="Calibri"/>
                <w:color w:val="000000"/>
              </w:rPr>
              <w:t>7. References and Documentation</w:t>
            </w:r>
          </w:p>
        </w:tc>
        <w:tc>
          <w:tcPr>
            <w:tcW w:w="3331" w:type="pct"/>
            <w:tcBorders>
              <w:top w:val="single" w:color="auto" w:sz="4" w:space="0"/>
              <w:left w:val="nil"/>
              <w:bottom w:val="single" w:color="auto" w:sz="4" w:space="0"/>
              <w:right w:val="single" w:color="auto" w:sz="4" w:space="0"/>
            </w:tcBorders>
            <w:shd w:val="clear" w:color="auto" w:fill="auto"/>
          </w:tcPr>
          <w:p>
            <w:pPr>
              <w:rPr>
                <w:rFonts w:hint="default"/>
              </w:rPr>
            </w:pPr>
            <w:r>
              <w:rPr>
                <w:rFonts w:hint="default"/>
              </w:rPr>
              <w:fldChar w:fldCharType="begin"/>
            </w:r>
            <w:r>
              <w:rPr>
                <w:rFonts w:hint="default"/>
              </w:rPr>
              <w:instrText xml:space="preserve"> HYPERLINK "https://unstats.un.org/sdgs/metadata/files/Metadata-11-06-01.pdf" </w:instrText>
            </w:r>
            <w:r>
              <w:rPr>
                <w:rFonts w:hint="default"/>
              </w:rPr>
              <w:fldChar w:fldCharType="separate"/>
            </w:r>
            <w:r>
              <w:rPr>
                <w:rStyle w:val="18"/>
                <w:rFonts w:hint="default"/>
              </w:rPr>
              <w:t>https://unstats.un.org/sdgs/metadata/files/Metadata-11-06-01.pdf</w:t>
            </w:r>
            <w:r>
              <w:rPr>
                <w:rFonts w:hint="default"/>
              </w:rPr>
              <w:fldChar w:fldCharType="end"/>
            </w:r>
          </w:p>
        </w:tc>
      </w:tr>
      <w:permEnd w:id="46"/>
    </w:tbl>
    <w:p>
      <w:pPr>
        <w:pStyle w:val="2"/>
        <w:rPr>
          <w:rFonts w:eastAsia="Times New Roman" w:cs="Times New Roman"/>
          <w:color w:val="1C75BC"/>
          <w:sz w:val="36"/>
          <w:szCs w:val="36"/>
          <w:lang w:val="en-GB" w:eastAsia="en-GB"/>
        </w:rPr>
      </w:pPr>
      <w:bookmarkStart w:id="34" w:name="_Toc37932751"/>
      <w:bookmarkStart w:id="35" w:name="Tips_and_Tricks"/>
      <w:bookmarkStart w:id="36" w:name="_Toc36655616"/>
      <w:bookmarkStart w:id="37" w:name="Indicator_information"/>
    </w:p>
    <w:p>
      <w:pPr>
        <w:pStyle w:val="2"/>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4"/>
    </w:p>
    <w:bookmarkEnd w:id="35"/>
    <w:bookmarkEnd w:id="36"/>
    <w:p>
      <w:pPr>
        <w:pStyle w:val="31"/>
        <w:rPr>
          <w:sz w:val="28"/>
          <w:szCs w:val="28"/>
        </w:rPr>
      </w:pPr>
      <w:bookmarkStart w:id="38" w:name="_Toc37932752"/>
      <w:r>
        <w:rPr>
          <w:sz w:val="28"/>
          <w:szCs w:val="28"/>
        </w:rPr>
        <w:t>A. Definitions of Metadata Concepts</w:t>
      </w:r>
      <w:bookmarkEnd w:id="38"/>
    </w:p>
    <w:p>
      <w:r>
        <w:rPr>
          <w:b/>
          <w:bCs/>
          <w:i/>
          <w:iCs/>
        </w:rPr>
        <w:t>0.a. Goal</w:t>
      </w:r>
      <w:r>
        <w:t xml:space="preserve">: </w:t>
      </w:r>
      <w:r>
        <w:rPr>
          <w:rFonts w:ascii="Calibri" w:hAnsi="Calibri" w:eastAsia="Times New Roman" w:cs="Calibri"/>
          <w:color w:val="000000"/>
        </w:rPr>
        <w:t>SDG Goal number and name.</w:t>
      </w:r>
    </w:p>
    <w:p>
      <w:r>
        <w:rPr>
          <w:b/>
          <w:bCs/>
          <w:i/>
          <w:iCs/>
        </w:rPr>
        <w:t xml:space="preserve">0.b. Target: </w:t>
      </w:r>
      <w:r>
        <w:rPr>
          <w:rFonts w:ascii="Calibri" w:hAnsi="Calibri" w:eastAsia="Times New Roman" w:cs="Calibri"/>
          <w:color w:val="000000"/>
        </w:rPr>
        <w:t>SDG Target number and name.</w:t>
      </w:r>
    </w:p>
    <w:p>
      <w:r>
        <w:rPr>
          <w:b/>
          <w:bCs/>
          <w:i/>
          <w:iCs/>
        </w:rPr>
        <w:t>0.c. Indicator</w:t>
      </w:r>
      <w:r>
        <w:t xml:space="preserve">: </w:t>
      </w:r>
      <w:r>
        <w:rPr>
          <w:rFonts w:ascii="Calibri" w:hAnsi="Calibri" w:eastAsia="Times New Roman" w:cs="Calibri"/>
          <w:color w:val="000000"/>
        </w:rPr>
        <w:t>SDG Indicator number and name.</w:t>
      </w:r>
    </w:p>
    <w:p>
      <w:pPr>
        <w:rPr>
          <w:b/>
          <w:bCs/>
          <w:i/>
          <w:iCs/>
        </w:rPr>
      </w:pPr>
      <w:r>
        <w:rPr>
          <w:b/>
          <w:bCs/>
          <w:i/>
          <w:iCs/>
        </w:rPr>
        <w:t>0.d. Series</w:t>
      </w:r>
      <w:r>
        <w:t>: Description of SDG data series.</w:t>
      </w:r>
      <w:r>
        <w:rPr>
          <w:b/>
          <w:bCs/>
          <w:i/>
          <w:iCs/>
        </w:rPr>
        <w:tab/>
      </w:r>
    </w:p>
    <w:p>
      <w:r>
        <w:rPr>
          <w:b/>
          <w:bCs/>
          <w:i/>
          <w:iCs/>
        </w:rPr>
        <w:t>0.e. Metadata update</w:t>
      </w:r>
      <w:r>
        <w:t>: The date when this metadata report was last updated.</w:t>
      </w:r>
    </w:p>
    <w:p>
      <w:r>
        <w:rPr>
          <w:b/>
          <w:bCs/>
          <w:i/>
          <w:iCs/>
        </w:rPr>
        <w:t>0.f. Related indicators</w:t>
      </w:r>
      <w:r>
        <w:t>: Linkages with any other Goals and Targets.</w:t>
      </w:r>
    </w:p>
    <w:p>
      <w:r>
        <w:rPr>
          <w:b/>
          <w:bCs/>
          <w:i/>
          <w:iCs/>
        </w:rPr>
        <w:t>0.g. International organisations(s) responsible for global monitoring</w:t>
      </w:r>
      <w:r>
        <w:t>: Global reporting: International organizations (departments/offices) responsible for monitoring this indicator at the global level.  Country reporting: This concept has no national counterpart.</w:t>
      </w:r>
      <w:r>
        <w:rPr>
          <w:b/>
          <w:bCs/>
          <w:i/>
          <w:iCs/>
        </w:rPr>
        <w:tab/>
      </w:r>
    </w:p>
    <w:p>
      <w:r>
        <w:rPr>
          <w:b/>
          <w:bCs/>
          <w:i/>
          <w:iCs/>
        </w:rPr>
        <w:t>1.a. Organisation</w:t>
      </w:r>
      <w:r>
        <w:t>: Organisation unit information of the contact points for the data or metadata.</w:t>
      </w:r>
    </w:p>
    <w:p>
      <w:pPr>
        <w:rPr>
          <w:b/>
          <w:bCs/>
          <w:i/>
          <w:iCs/>
        </w:rPr>
      </w:pPr>
      <w:r>
        <w:rPr>
          <w:b/>
          <w:bCs/>
          <w:i/>
          <w:iCs/>
        </w:rPr>
        <w:t>1.d. Contact person function</w:t>
      </w:r>
      <w:r>
        <w:t>: Functional title(s) of the contact points for the data or metadata.</w:t>
      </w:r>
      <w:r>
        <w:rPr>
          <w:b/>
          <w:bCs/>
          <w:i/>
          <w:iCs/>
        </w:rPr>
        <w:tab/>
      </w:r>
    </w:p>
    <w:p>
      <w:r>
        <w:rPr>
          <w:b/>
          <w:bCs/>
          <w:i/>
          <w:iCs/>
        </w:rPr>
        <w:t>1.e. Contact phone</w:t>
      </w:r>
      <w:r>
        <w:t>: Phone number(s) of the contact points for the data or metadata.</w:t>
      </w:r>
    </w:p>
    <w:p>
      <w:pPr>
        <w:pStyle w:val="11"/>
        <w:spacing w:after="240"/>
        <w:rPr>
          <w:sz w:val="22"/>
          <w:szCs w:val="22"/>
        </w:rPr>
      </w:pPr>
      <w:r>
        <w:rPr>
          <w:b/>
          <w:bCs/>
          <w:i/>
          <w:iCs/>
        </w:rPr>
        <w:t>1.f. Contact mail</w:t>
      </w:r>
      <w:r>
        <w:t xml:space="preserve">: </w:t>
      </w:r>
      <w:r>
        <w:rPr>
          <w:sz w:val="22"/>
          <w:szCs w:val="22"/>
        </w:rPr>
        <w:t>Mailing address(es) of the contact points for the data or metadata.</w:t>
      </w:r>
    </w:p>
    <w:p>
      <w:pPr>
        <w:spacing w:after="240"/>
      </w:pPr>
      <w:r>
        <w:rPr>
          <w:b/>
          <w:bCs/>
          <w:i/>
          <w:iCs/>
        </w:rPr>
        <w:t>1.g. Contact emails</w:t>
      </w:r>
      <w:r>
        <w:t>: E-mail address(es) of the contact points for the data or metadata.</w:t>
      </w:r>
    </w:p>
    <w:p>
      <w:r>
        <w:rPr>
          <w:b/>
          <w:bCs/>
          <w:i/>
          <w:iCs/>
        </w:rPr>
        <w:t>2.a. Definition and concepts</w:t>
      </w:r>
      <w:r>
        <w:t>: 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r>
        <w:rPr>
          <w:b/>
          <w:bCs/>
          <w:i/>
          <w:iCs/>
        </w:rPr>
        <w:t>2.b. Unit of measure:</w:t>
      </w:r>
      <w:r>
        <w:t xml:space="preserve"> Description of the unit of measurement (proportion, dollars, number of people, etc.)</w:t>
      </w:r>
    </w:p>
    <w:p>
      <w:pPr>
        <w:rPr>
          <w:rFonts w:ascii="Calibri" w:hAnsi="Calibri" w:eastAsia="Times New Roman" w:cs="Times New Roman"/>
          <w:color w:val="000000"/>
        </w:rPr>
      </w:pPr>
      <w:r>
        <w:rPr>
          <w:b/>
          <w:bCs/>
          <w:i/>
          <w:iCs/>
        </w:rPr>
        <w:t>2.c. Classifications</w:t>
      </w:r>
      <w:r>
        <w:t xml:space="preserve">: </w:t>
      </w:r>
      <w:r>
        <w:rPr>
          <w:rFonts w:ascii="Calibri" w:hAnsi="Calibri" w:eastAsia="Times New Roman" w:cs="Times New Roman"/>
          <w:color w:val="000000"/>
        </w:rPr>
        <w:t xml:space="preserve">Describe references to both national and international standards and classification being used. </w:t>
      </w:r>
      <w:r>
        <w:rPr>
          <w:rFonts w:ascii="Calibri" w:hAnsi="Calibri" w:eastAsia="Times New Roman" w:cs="Times New Roman"/>
        </w:rPr>
        <w:t>[Information to be provided where applicable.]</w:t>
      </w:r>
    </w:p>
    <w:p>
      <w:pPr>
        <w:rPr>
          <w:b/>
          <w:bCs/>
          <w:i/>
          <w:iCs/>
        </w:rPr>
      </w:pPr>
      <w:r>
        <w:rPr>
          <w:b/>
          <w:bCs/>
          <w:i/>
          <w:iCs/>
        </w:rPr>
        <w:t>3.a. Data sources</w:t>
      </w:r>
      <w:r>
        <w:t>: 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Pr>
          <w:b/>
          <w:bCs/>
          <w:i/>
          <w:iCs/>
        </w:rPr>
        <w:tab/>
      </w:r>
    </w:p>
    <w:p>
      <w:pPr>
        <w:rPr>
          <w:b/>
          <w:bCs/>
          <w:i/>
          <w:iCs/>
        </w:rPr>
      </w:pPr>
      <w:r>
        <w:rPr>
          <w:b/>
          <w:bCs/>
          <w:i/>
          <w:iCs/>
        </w:rPr>
        <w:t>3.b. Data collection method</w:t>
      </w:r>
      <w:r>
        <w:t xml:space="preserve">: 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Pr>
          <w:b/>
          <w:bCs/>
          <w:i/>
          <w:iCs/>
        </w:rPr>
        <w:tab/>
      </w:r>
    </w:p>
    <w:p>
      <w:pPr>
        <w:pStyle w:val="11"/>
        <w:spacing w:after="240"/>
        <w:rPr>
          <w:sz w:val="22"/>
          <w:szCs w:val="22"/>
        </w:rPr>
      </w:pPr>
      <w:r>
        <w:rPr>
          <w:b/>
          <w:bCs/>
          <w:i/>
          <w:iCs/>
          <w:sz w:val="22"/>
          <w:szCs w:val="22"/>
        </w:rPr>
        <w:t>3.c. Data collection calendar</w:t>
      </w:r>
      <w:r>
        <w:t xml:space="preserve">:  </w:t>
      </w:r>
      <w:r>
        <w:rPr>
          <w:sz w:val="22"/>
          <w:szCs w:val="22"/>
        </w:rPr>
        <w:t>Dates when source collection is next planned.</w:t>
      </w:r>
    </w:p>
    <w:p>
      <w:pPr>
        <w:pStyle w:val="11"/>
        <w:spacing w:after="240"/>
        <w:rPr>
          <w:sz w:val="22"/>
          <w:szCs w:val="22"/>
        </w:rPr>
      </w:pPr>
      <w:r>
        <w:rPr>
          <w:b/>
          <w:bCs/>
          <w:i/>
          <w:iCs/>
          <w:sz w:val="22"/>
          <w:szCs w:val="22"/>
        </w:rPr>
        <w:t>3.d. Data release calendar</w:t>
      </w:r>
      <w:r>
        <w:rPr>
          <w:sz w:val="22"/>
          <w:szCs w:val="22"/>
        </w:rPr>
        <w:t>:</w:t>
      </w:r>
      <w:r>
        <w:t xml:space="preserve"> </w:t>
      </w:r>
      <w:r>
        <w:rPr>
          <w:sz w:val="22"/>
          <w:szCs w:val="22"/>
        </w:rPr>
        <w:t>Expected dates of release of new data for this indicator, including the year (or, ideally, the quarter/month when the next data point associated with the indicator will become available).</w:t>
      </w:r>
    </w:p>
    <w:p>
      <w:pPr>
        <w:spacing w:after="240"/>
        <w:rPr>
          <w:b/>
          <w:bCs/>
          <w:i/>
          <w:iCs/>
        </w:rPr>
      </w:pPr>
      <w:r>
        <w:rPr>
          <w:b/>
          <w:bCs/>
          <w:i/>
          <w:iCs/>
        </w:rPr>
        <w:t>3.e. Data providers</w:t>
      </w:r>
      <w:r>
        <w:t>: Identification of national and/or international data provider(s), specifying the organization(s) responsible for producing the data.</w:t>
      </w:r>
      <w:r>
        <w:rPr>
          <w:b/>
          <w:bCs/>
          <w:i/>
          <w:iCs/>
        </w:rPr>
        <w:tab/>
      </w:r>
    </w:p>
    <w:p>
      <w:r>
        <w:rPr>
          <w:b/>
          <w:bCs/>
          <w:i/>
          <w:iCs/>
        </w:rPr>
        <w:t>3.f. Data compilers</w:t>
      </w:r>
      <w:r>
        <w:t>: Organization(s) responsible for compilation of this indicator either at national or global level.</w:t>
      </w:r>
    </w:p>
    <w:p>
      <w:pPr>
        <w:rPr>
          <w:b/>
          <w:bCs/>
          <w:i/>
          <w:iCs/>
        </w:rPr>
      </w:pPr>
      <w:r>
        <w:rPr>
          <w:b/>
          <w:bCs/>
          <w:i/>
          <w:iCs/>
        </w:rPr>
        <w:t>3.g. Institutional mandate</w:t>
      </w:r>
      <w:r>
        <w:t>: Description of the set of rules or other formal set of instructions assigning responsibility as well as the authority to an organisation for the collection, processing, and dissemination of statistics for this indicator.</w:t>
      </w:r>
      <w:r>
        <w:rPr>
          <w:b/>
          <w:bCs/>
          <w:i/>
          <w:iCs/>
        </w:rPr>
        <w:tab/>
      </w:r>
    </w:p>
    <w:p>
      <w:pPr>
        <w:pStyle w:val="11"/>
        <w:rPr>
          <w:sz w:val="22"/>
          <w:szCs w:val="22"/>
        </w:rPr>
      </w:pPr>
      <w:r>
        <w:rPr>
          <w:b/>
          <w:bCs/>
          <w:i/>
          <w:iCs/>
          <w:sz w:val="22"/>
          <w:szCs w:val="22"/>
        </w:rPr>
        <w:t>4.a. Rationale</w:t>
      </w:r>
      <w:r>
        <w:rPr>
          <w:sz w:val="22"/>
          <w:szCs w:val="22"/>
        </w:rPr>
        <w:t>:</w:t>
      </w:r>
      <w:r>
        <w:t xml:space="preserve"> </w:t>
      </w:r>
      <w:r>
        <w:rPr>
          <w:sz w:val="22"/>
          <w:szCs w:val="22"/>
        </w:rPr>
        <w:t>Description of the purpose and rationale behind the indicator, as well as examples and guidance on its correct interpretation and meaning.</w:t>
      </w:r>
    </w:p>
    <w:p>
      <w:pPr>
        <w:pStyle w:val="11"/>
        <w:rPr>
          <w:sz w:val="22"/>
          <w:szCs w:val="22"/>
        </w:rPr>
      </w:pPr>
    </w:p>
    <w:p>
      <w:r>
        <w:rPr>
          <w:b/>
          <w:bCs/>
          <w:i/>
          <w:iCs/>
        </w:rPr>
        <w:t>4.b. Comment and limitations</w:t>
      </w:r>
      <w:r>
        <w:t>:</w:t>
      </w:r>
      <w:r>
        <w:rPr>
          <w:b/>
          <w:bCs/>
          <w:i/>
          <w:iCs/>
        </w:rPr>
        <w:t xml:space="preserve"> </w:t>
      </w:r>
      <w:r>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pPr>
        <w:pStyle w:val="11"/>
        <w:rPr>
          <w:sz w:val="22"/>
          <w:szCs w:val="22"/>
        </w:rPr>
      </w:pPr>
      <w:r>
        <w:rPr>
          <w:b/>
          <w:bCs/>
          <w:i/>
          <w:iCs/>
          <w:sz w:val="22"/>
          <w:szCs w:val="22"/>
        </w:rPr>
        <w:t>4.c. Method of computation</w:t>
      </w:r>
      <w:r>
        <w:rPr>
          <w:sz w:val="22"/>
          <w:szCs w:val="22"/>
        </w:rPr>
        <w:t>:</w:t>
      </w:r>
      <w:r>
        <w:rPr>
          <w:b/>
          <w:bCs/>
          <w:i/>
          <w:iCs/>
        </w:rPr>
        <w:t xml:space="preserve"> </w:t>
      </w:r>
      <w:r>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pPr>
        <w:pStyle w:val="11"/>
        <w:rPr>
          <w:sz w:val="22"/>
          <w:szCs w:val="22"/>
        </w:rPr>
      </w:pPr>
    </w:p>
    <w:p>
      <w:r>
        <w:rPr>
          <w:b/>
          <w:bCs/>
          <w:i/>
          <w:iCs/>
        </w:rPr>
        <w:t xml:space="preserve">4.d. Validation: </w:t>
      </w:r>
      <w:r>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r>
        <w:rPr>
          <w:b/>
          <w:bCs/>
          <w:i/>
          <w:iCs/>
        </w:rPr>
        <w:t>4.e. Adjustments</w:t>
      </w:r>
      <w:r>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r>
        <w:rPr>
          <w:b/>
          <w:bCs/>
          <w:i/>
          <w:iCs/>
        </w:rPr>
        <w:t>4.f. Treatment of missing values (i) at country level and (ii) at regional level</w:t>
      </w:r>
      <w:r>
        <w:t>: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r>
        <w:rPr>
          <w:b/>
          <w:bCs/>
          <w:i/>
          <w:iCs/>
        </w:rPr>
        <w:t>4.g. Regional aggregations</w:t>
      </w:r>
      <w:r>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r>
        <w:rPr>
          <w:b/>
          <w:bCs/>
          <w:i/>
          <w:iCs/>
        </w:rPr>
        <w:t>4.h. Methods and guidance available to countries for the compilation of the data at the national level:</w:t>
      </w:r>
      <w:r>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r>
        <w:rPr>
          <w:b/>
          <w:bCs/>
          <w:i/>
          <w:iCs/>
        </w:rPr>
        <w:t>4.i. Quality management</w:t>
      </w:r>
      <w:r>
        <w:t>: Description of systems and frameworks in place within an organisation to manage the quality of statistical products and processes.</w:t>
      </w:r>
    </w:p>
    <w:p>
      <w:r>
        <w:rPr>
          <w:b/>
          <w:bCs/>
          <w:i/>
          <w:iCs/>
        </w:rPr>
        <w:t xml:space="preserve">4.j Quality assurance: </w:t>
      </w:r>
      <w:r>
        <w:t>Description of practices and guidelines focusing on quality in general and dealing with quality of statistical programmes at your agency, including measures for ensuring the efficient use of resources.</w:t>
      </w:r>
    </w:p>
    <w:p>
      <w:pPr>
        <w:pStyle w:val="11"/>
        <w:rPr>
          <w:sz w:val="22"/>
          <w:szCs w:val="22"/>
        </w:rPr>
      </w:pPr>
      <w:r>
        <w:rPr>
          <w:b/>
          <w:bCs/>
          <w:i/>
          <w:iCs/>
          <w:sz w:val="22"/>
          <w:szCs w:val="22"/>
        </w:rPr>
        <w:t>4.k Quality assessment</w:t>
      </w:r>
      <w:r>
        <w:rPr>
          <w:sz w:val="22"/>
          <w:szCs w:val="22"/>
        </w:rPr>
        <w:t>:</w:t>
      </w:r>
      <w:r>
        <w:t xml:space="preserve"> </w:t>
      </w:r>
      <w:r>
        <w:rPr>
          <w:sz w:val="22"/>
          <w:szCs w:val="22"/>
        </w:rPr>
        <w:t>Description of overall evaluation of fulfilling quality requirements, based on standard quality criteria.</w:t>
      </w:r>
    </w:p>
    <w:p>
      <w:pPr>
        <w:pStyle w:val="11"/>
        <w:rPr>
          <w:sz w:val="22"/>
          <w:szCs w:val="22"/>
        </w:rPr>
      </w:pPr>
    </w:p>
    <w:p>
      <w:pPr>
        <w:pStyle w:val="11"/>
        <w:rPr>
          <w:sz w:val="22"/>
          <w:szCs w:val="22"/>
        </w:rPr>
      </w:pPr>
    </w:p>
    <w:p>
      <w:pPr>
        <w:pStyle w:val="11"/>
        <w:rPr>
          <w:sz w:val="22"/>
          <w:szCs w:val="22"/>
        </w:rPr>
      </w:pPr>
      <w:r>
        <w:rPr>
          <w:b/>
          <w:bCs/>
          <w:i/>
          <w:iCs/>
          <w:sz w:val="22"/>
          <w:szCs w:val="22"/>
        </w:rPr>
        <w:t>5. Data availability and disaggregation:</w:t>
      </w:r>
      <w:r>
        <w:rPr>
          <w:b/>
          <w:bCs/>
          <w:i/>
          <w:iCs/>
        </w:rPr>
        <w:t xml:space="preserve"> </w:t>
      </w:r>
      <w:r>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pPr>
        <w:pStyle w:val="11"/>
        <w:rPr>
          <w:sz w:val="22"/>
          <w:szCs w:val="22"/>
        </w:rPr>
      </w:pPr>
    </w:p>
    <w:p>
      <w:r>
        <w:rPr>
          <w:b/>
          <w:bCs/>
          <w:i/>
          <w:iCs/>
        </w:rPr>
        <w:t>6. Comparability / Deviation from international standards:</w:t>
      </w:r>
      <w:r>
        <w:t xml:space="preserve"> Explanation on the differences between country produced and internationally estimated data on this indicator, highlighting and summarising the main sources of differences.</w:t>
      </w:r>
    </w:p>
    <w:p>
      <w:r>
        <w:rPr>
          <w:b/>
          <w:bCs/>
          <w:i/>
          <w:iCs/>
        </w:rPr>
        <w:t>7. References and Documentation</w:t>
      </w:r>
      <w:r>
        <w:t>: Descriptions and links to all relevant reference materials related to this indicator.</w:t>
      </w:r>
    </w:p>
    <w:p>
      <w:pPr>
        <w:pStyle w:val="31"/>
        <w:rPr>
          <w:sz w:val="28"/>
          <w:szCs w:val="28"/>
        </w:rPr>
      </w:pPr>
      <w:bookmarkStart w:id="39" w:name="_Toc37932753"/>
      <w:bookmarkStart w:id="40" w:name="Mapping"/>
      <w:r>
        <w:rPr>
          <w:sz w:val="28"/>
          <w:szCs w:val="28"/>
        </w:rPr>
        <w:t>B. Mapping of SDMX Detailed Concepts to IAEG-SDG File Format</w:t>
      </w:r>
      <w:bookmarkEnd w:id="39"/>
    </w:p>
    <w:bookmarkEnd w:id="40"/>
    <w:p>
      <w:pPr>
        <w:pStyle w:val="34"/>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pPr>
        <w:pStyle w:val="34"/>
      </w:pPr>
    </w:p>
    <w:tbl>
      <w:tblPr>
        <w:tblStyle w:val="5"/>
        <w:tblW w:w="854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3232"/>
        <w:gridCol w:w="53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blHeader/>
        </w:trPr>
        <w:tc>
          <w:tcPr>
            <w:tcW w:w="3232"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0.a. Goal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Goal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0.b. Target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Target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0.c. Indicator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0.d. Series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0.e. Metadata update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Last updated: [DATE]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0.f. Related indicators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Institutional information</w:t>
            </w:r>
            <w:r>
              <w:rPr>
                <w:rFonts w:ascii="Calibri" w:hAnsi="Calibri" w:eastAsia="Times New Roman" w:cs="Calibri"/>
              </w:rPr>
              <w:br w:type="textWrapping"/>
            </w:r>
            <w:r>
              <w:rPr>
                <w:rFonts w:ascii="Calibri" w:hAnsi="Calibri" w:eastAsia="Times New Roman" w:cs="Calibri"/>
              </w:rPr>
              <w:t>Organization(s)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1.a. Organisation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1.b. Contact person(s)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1.c. Contact organisation unit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1.d. Contact person function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1.e. Contact phone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1.f. Contact mail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1.g. Contact emails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2.a. Definition and concepts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Concepts and definitions</w:t>
            </w:r>
            <w:r>
              <w:rPr>
                <w:rFonts w:ascii="Calibri" w:hAnsi="Calibri" w:eastAsia="Times New Roman" w:cs="Calibri"/>
              </w:rPr>
              <w:br w:type="textWrapping"/>
            </w:r>
            <w:r>
              <w:rPr>
                <w:rFonts w:ascii="Calibri" w:hAnsi="Calibri" w:eastAsia="Times New Roman" w:cs="Calibri"/>
              </w:rPr>
              <w:t>Definition</w:t>
            </w:r>
            <w:r>
              <w:rPr>
                <w:rFonts w:ascii="Calibri" w:hAnsi="Calibri" w:eastAsia="Times New Roman" w:cs="Calibri"/>
              </w:rPr>
              <w:br w:type="textWrapping"/>
            </w:r>
            <w:r>
              <w:rPr>
                <w:rFonts w:ascii="Calibri" w:hAnsi="Calibri" w:eastAsia="Times New Roman" w:cs="Calibri"/>
              </w:rPr>
              <w:t>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2.b. Unit of measure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2.c. Classifications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3.a. Data sources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sources</w:t>
            </w:r>
            <w:r>
              <w:rPr>
                <w:rFonts w:ascii="Calibri" w:hAnsi="Calibri" w:eastAsia="Times New Roman" w:cs="Calibri"/>
              </w:rPr>
              <w:br w:type="textWrapping"/>
            </w:r>
            <w:r>
              <w:rPr>
                <w:rFonts w:ascii="Calibri" w:hAnsi="Calibri" w:eastAsia="Times New Roman" w:cs="Calibri"/>
              </w:rPr>
              <w:t>Description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3.b. Data collection method</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Collection process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3.c. Data collection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Calendar</w:t>
            </w:r>
            <w:r>
              <w:rPr>
                <w:rFonts w:ascii="Calibri" w:hAnsi="Calibri" w:eastAsia="Times New Roman" w:cs="Calibri"/>
              </w:rPr>
              <w:br w:type="textWrapping"/>
            </w:r>
            <w:r>
              <w:rPr>
                <w:rFonts w:ascii="Calibri" w:hAnsi="Calibri" w:eastAsia="Times New Roman" w:cs="Calibri"/>
              </w:rPr>
              <w:t>Data collection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3.d. Data release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release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3.e. Data providers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3.f. Data compilers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3.g. Institutional mandate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4.a. Rationale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4.b. Comment and limitations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Comments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4.c. Method of computation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Methodology</w:t>
            </w:r>
            <w:r>
              <w:rPr>
                <w:rFonts w:ascii="Calibri" w:hAnsi="Calibri" w:eastAsia="Times New Roman" w:cs="Calibri"/>
              </w:rPr>
              <w:br w:type="textWrapping"/>
            </w:r>
            <w:r>
              <w:rPr>
                <w:rFonts w:ascii="Calibri" w:hAnsi="Calibri" w:eastAsia="Times New Roman" w:cs="Calibri"/>
              </w:rPr>
              <w:t>Computation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4.d. Validation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4.e. Adjustments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Treatment of missing values</w:t>
            </w:r>
            <w:r>
              <w:rPr>
                <w:rFonts w:ascii="Calibri" w:hAnsi="Calibri" w:eastAsia="Times New Roman" w:cs="Calibri"/>
              </w:rPr>
              <w:br w:type="textWrapping"/>
            </w:r>
            <w:r>
              <w:rPr>
                <w:rFonts w:ascii="Calibri" w:hAnsi="Calibri" w:eastAsia="Times New Roman" w:cs="Calibri"/>
              </w:rPr>
              <w:t xml:space="preserve">* At country level: </w:t>
            </w:r>
            <w:r>
              <w:rPr>
                <w:rFonts w:ascii="Calibri" w:hAnsi="Calibri" w:eastAsia="Times New Roman" w:cs="Calibri"/>
              </w:rPr>
              <w:br w:type="textWrapping"/>
            </w:r>
            <w:r>
              <w:rPr>
                <w:rFonts w:ascii="Calibri" w:hAnsi="Calibri" w:eastAsia="Times New Roman" w:cs="Calibri"/>
              </w:rPr>
              <w:t xml:space="preserve">* At regional or global levels: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4.g. Regional aggregations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Regional aggregates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4.i Quality management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4.j Quality assurance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4.k Quality assessment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5. Data availability and disaggregation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availability</w:t>
            </w:r>
            <w:r>
              <w:rPr>
                <w:rFonts w:ascii="Calibri" w:hAnsi="Calibri" w:eastAsia="Times New Roman" w:cs="Calibri"/>
              </w:rPr>
              <w:br w:type="textWrapping"/>
            </w:r>
            <w:r>
              <w:rPr>
                <w:rFonts w:ascii="Calibri" w:hAnsi="Calibri" w:eastAsia="Times New Roman" w:cs="Calibri"/>
              </w:rPr>
              <w:t>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6. Comparability / Deviation from international standards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Sources of discrepancies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7. References and Documentation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References</w:t>
            </w:r>
            <w:r>
              <w:rPr>
                <w:rFonts w:ascii="Calibri" w:hAnsi="Calibri" w:eastAsia="Times New Roman" w:cs="Calibri"/>
              </w:rPr>
              <w:br w:type="textWrapping"/>
            </w:r>
            <w:r>
              <w:rPr>
                <w:rFonts w:ascii="Calibri" w:hAnsi="Calibri" w:eastAsia="Times New Roman" w:cs="Calibri"/>
              </w:rPr>
              <w:t>URL</w:t>
            </w:r>
            <w:r>
              <w:rPr>
                <w:rFonts w:ascii="Calibri" w:hAnsi="Calibri" w:eastAsia="Times New Roman" w:cs="Calibri"/>
              </w:rPr>
              <w:br w:type="textWrapping"/>
            </w:r>
            <w:r>
              <w:rPr>
                <w:rFonts w:ascii="Calibri" w:hAnsi="Calibri" w:eastAsia="Times New Roman" w:cs="Calibri"/>
              </w:rPr>
              <w:t>References</w:t>
            </w:r>
          </w:p>
        </w:tc>
      </w:tr>
    </w:tbl>
    <w:p>
      <w:pPr>
        <w:pStyle w:val="34"/>
      </w:pPr>
    </w:p>
    <w:p>
      <w:pPr>
        <w:pStyle w:val="31"/>
        <w:rPr>
          <w:sz w:val="28"/>
          <w:szCs w:val="28"/>
        </w:rPr>
      </w:pPr>
      <w:bookmarkStart w:id="41" w:name="_Toc37932754"/>
      <w:r>
        <w:rPr>
          <w:sz w:val="28"/>
          <w:szCs w:val="28"/>
        </w:rPr>
        <w:t>C. Mapping of IAEG-SDG File Format to SDMX Detailed Concepts</w:t>
      </w:r>
      <w:bookmarkEnd w:id="41"/>
    </w:p>
    <w:p>
      <w:pPr>
        <w:pStyle w:val="34"/>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pPr>
        <w:pStyle w:val="34"/>
      </w:pPr>
    </w:p>
    <w:tbl>
      <w:tblPr>
        <w:tblStyle w:val="5"/>
        <w:tblpPr w:leftFromText="180" w:rightFromText="180" w:vertAnchor="text" w:tblpY="1"/>
        <w:tblOverlap w:val="never"/>
        <w:tblW w:w="8550"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4140"/>
        <w:gridCol w:w="44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c>
          <w:tcPr>
            <w:tcW w:w="4410" w:type="dxa"/>
            <w:shd w:val="clear" w:color="auto" w:fill="BDD6EE" w:themeFill="accent1" w:themeFillTint="66"/>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Last updated: [DATE]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0.e. Metadata update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Goal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0.a. Goal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Target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0.b. Target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Indicator</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0.c. 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0.d. Series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Institutional information</w:t>
            </w:r>
            <w:r>
              <w:rPr>
                <w:rFonts w:ascii="Calibri" w:hAnsi="Calibri" w:eastAsia="Times New Roman" w:cs="Calibri"/>
                <w:color w:val="000000"/>
              </w:rPr>
              <w:br w:type="textWrapping"/>
            </w:r>
            <w:r>
              <w:rPr>
                <w:rFonts w:ascii="Calibri" w:hAnsi="Calibri" w:eastAsia="Times New Roman" w:cs="Calibri"/>
                <w:color w:val="000000"/>
              </w:rPr>
              <w:t>Organization(s)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0.g. International organisations(s) responsible for global monitoring</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1.a. Organisation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1.b. Contact person(s)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1.c. Contact organisation unit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1.d. Contact person function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1.e. Contact phone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1.f. Contact mail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1.g. Contact emails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Concepts and definitions</w:t>
            </w:r>
            <w:r>
              <w:rPr>
                <w:rFonts w:ascii="Calibri" w:hAnsi="Calibri" w:eastAsia="Times New Roman" w:cs="Calibri"/>
                <w:color w:val="000000"/>
              </w:rPr>
              <w:br w:type="textWrapping"/>
            </w:r>
            <w:r>
              <w:rPr>
                <w:rFonts w:ascii="Calibri" w:hAnsi="Calibri" w:eastAsia="Times New Roman" w:cs="Calibri"/>
                <w:color w:val="000000"/>
              </w:rPr>
              <w:t>Definition</w:t>
            </w:r>
            <w:r>
              <w:rPr>
                <w:rFonts w:ascii="Calibri" w:hAnsi="Calibri" w:eastAsia="Times New Roman" w:cs="Calibri"/>
                <w:color w:val="000000"/>
              </w:rPr>
              <w:br w:type="textWrapping"/>
            </w:r>
            <w:r>
              <w:rPr>
                <w:rFonts w:ascii="Calibri" w:hAnsi="Calibri" w:eastAsia="Times New Roman" w:cs="Calibri"/>
                <w:color w:val="000000"/>
              </w:rPr>
              <w:t>Concepts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2.a. Definition and 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2.b. Unit of measure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2.c. Classifications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Rationale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4.a. 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Comments and limitations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4.b. Comment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Methodology</w:t>
            </w:r>
            <w:r>
              <w:rPr>
                <w:rFonts w:ascii="Calibri" w:hAnsi="Calibri" w:eastAsia="Times New Roman" w:cs="Calibri"/>
                <w:color w:val="000000"/>
              </w:rPr>
              <w:br w:type="textWrapping"/>
            </w:r>
            <w:r>
              <w:rPr>
                <w:rFonts w:ascii="Calibri" w:hAnsi="Calibri" w:eastAsia="Times New Roman" w:cs="Calibri"/>
                <w:color w:val="000000"/>
              </w:rPr>
              <w:t>Computation method</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4.c. Method of computation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4.d. Validation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4.e. Adjustments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Treatment of missing values</w:t>
            </w:r>
            <w:r>
              <w:rPr>
                <w:rFonts w:ascii="Calibri" w:hAnsi="Calibri" w:eastAsia="Times New Roman" w:cs="Calibri"/>
                <w:color w:val="000000"/>
              </w:rPr>
              <w:br w:type="textWrapping"/>
            </w:r>
            <w:r>
              <w:rPr>
                <w:rFonts w:ascii="Calibri" w:hAnsi="Calibri" w:eastAsia="Times New Roman" w:cs="Calibri"/>
                <w:color w:val="000000"/>
              </w:rPr>
              <w:t xml:space="preserve">* At country level: </w:t>
            </w:r>
            <w:r>
              <w:rPr>
                <w:rFonts w:ascii="Calibri" w:hAnsi="Calibri" w:eastAsia="Times New Roman" w:cs="Calibri"/>
                <w:color w:val="000000"/>
              </w:rPr>
              <w:br w:type="textWrapping"/>
            </w:r>
            <w:r>
              <w:rPr>
                <w:rFonts w:ascii="Calibri" w:hAnsi="Calibri" w:eastAsia="Times New Roman" w:cs="Calibri"/>
                <w:color w:val="000000"/>
              </w:rPr>
              <w:t xml:space="preserve">* At regional or global levels: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4.f. Treatment of missing values (i) at country level and (ii) at regional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Regional aggregates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4.g. Regional aggregations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Sources of discrepancies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6. Comparability / Deviation from international standards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Methods and guidance available to countries for the compilation of the data at the national level</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4.h. 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4.i. Quality management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Quality assurance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4.j. 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4.k. Quality assessment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sources</w:t>
            </w:r>
            <w:r>
              <w:rPr>
                <w:rFonts w:ascii="Calibri" w:hAnsi="Calibri" w:eastAsia="Times New Roman" w:cs="Calibri"/>
                <w:color w:val="000000"/>
              </w:rPr>
              <w:br w:type="textWrapping"/>
            </w:r>
            <w:r>
              <w:rPr>
                <w:rFonts w:ascii="Calibri" w:hAnsi="Calibri" w:eastAsia="Times New Roman" w:cs="Calibri"/>
                <w:color w:val="000000"/>
              </w:rPr>
              <w:t>Description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3.a. Data sources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Collection process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3.b. Data collection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availability</w:t>
            </w:r>
            <w:r>
              <w:rPr>
                <w:rFonts w:ascii="Calibri" w:hAnsi="Calibri" w:eastAsia="Times New Roman" w:cs="Calibri"/>
                <w:color w:val="000000"/>
              </w:rPr>
              <w:br w:type="textWrapping"/>
            </w:r>
            <w:r>
              <w:rPr>
                <w:rFonts w:ascii="Calibri" w:hAnsi="Calibri" w:eastAsia="Times New Roman" w:cs="Calibri"/>
                <w:color w:val="000000"/>
              </w:rPr>
              <w:t>Disaggregation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5. Data availability and 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Calendar</w:t>
            </w:r>
            <w:r>
              <w:rPr>
                <w:rFonts w:ascii="Calibri" w:hAnsi="Calibri" w:eastAsia="Times New Roman" w:cs="Calibri"/>
                <w:color w:val="000000"/>
              </w:rPr>
              <w:br w:type="textWrapping"/>
            </w:r>
            <w:r>
              <w:rPr>
                <w:rFonts w:ascii="Calibri" w:hAnsi="Calibri" w:eastAsia="Times New Roman" w:cs="Calibri"/>
                <w:color w:val="000000"/>
              </w:rPr>
              <w:t>Data collection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3.c. Data collection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release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3.d. Data release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providers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3.e. 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compilers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3.f. 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3.g. Institutional mandate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References</w:t>
            </w:r>
            <w:r>
              <w:rPr>
                <w:rFonts w:ascii="Calibri" w:hAnsi="Calibri" w:eastAsia="Times New Roman" w:cs="Calibri"/>
                <w:color w:val="000000"/>
              </w:rPr>
              <w:br w:type="textWrapping"/>
            </w:r>
            <w:r>
              <w:rPr>
                <w:rFonts w:ascii="Calibri" w:hAnsi="Calibri" w:eastAsia="Times New Roman" w:cs="Calibri"/>
                <w:color w:val="000000"/>
              </w:rPr>
              <w:t>URL</w:t>
            </w:r>
            <w:r>
              <w:rPr>
                <w:rFonts w:ascii="Calibri" w:hAnsi="Calibri" w:eastAsia="Times New Roman" w:cs="Calibri"/>
                <w:color w:val="000000"/>
              </w:rPr>
              <w:br w:type="textWrapping"/>
            </w:r>
            <w:r>
              <w:rPr>
                <w:rFonts w:ascii="Calibri" w:hAnsi="Calibri" w:eastAsia="Times New Roman" w:cs="Calibri"/>
                <w:color w:val="000000"/>
              </w:rPr>
              <w:t>References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7. References and Documentation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c>
          <w:tcPr>
            <w:tcW w:w="4410" w:type="dxa"/>
            <w:shd w:val="clear" w:color="auto" w:fill="E7E6E6" w:themeFill="background2"/>
          </w:tcPr>
          <w:p>
            <w:pPr>
              <w:spacing w:after="0" w:line="240" w:lineRule="auto"/>
              <w:rPr>
                <w:rFonts w:ascii="Calibri" w:hAnsi="Calibri" w:eastAsia="Times New Roman" w:cs="Calibri"/>
              </w:rPr>
            </w:pPr>
            <w:r>
              <w:rPr>
                <w:rFonts w:ascii="Calibri" w:hAnsi="Calibri" w:eastAsia="Times New Roman" w:cs="Calibri"/>
              </w:rPr>
              <w:t>0.f. Related indicators</w:t>
            </w:r>
          </w:p>
        </w:tc>
      </w:tr>
      <w:bookmarkEnd w:id="37"/>
    </w:tbl>
    <w:p>
      <w:pPr>
        <w:pStyle w:val="34"/>
      </w:pPr>
    </w:p>
    <w:sectPr>
      <w:footerReference r:id="rId6" w:type="first"/>
      <w:footerReference r:id="rId5" w:type="default"/>
      <w:endnotePr>
        <w:numFmt w:val="decimal"/>
      </w:endnotePr>
      <w:pgSz w:w="12240" w:h="15840"/>
      <w:pgMar w:top="1440" w:right="1440" w:bottom="1440" w:left="1440" w:header="720" w:footer="720" w:gutter="0"/>
      <w:pgNumType w:start="1"/>
      <w:cols w:space="720" w:num="1"/>
      <w:titlePg/>
      <w:docGrid w:linePitch="360" w:charSpace="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Calibri Light">
    <w:panose1 w:val="020F0302020204030204"/>
    <w:charset w:val="00"/>
    <w:family w:val="swiss"/>
    <w:pitch w:val="default"/>
    <w:sig w:usb0="E4002EFF" w:usb1="C000247B" w:usb2="00000009" w:usb3="00000000" w:csb0="200001FF" w:csb1="00000000"/>
  </w:font>
  <w:font w:name="等线 Light">
    <w:altName w:val="Segoe Print"/>
    <w:panose1 w:val="00000000000000000000"/>
    <w:charset w:val="00"/>
    <w:family w:val="auto"/>
    <w:pitch w:val="default"/>
    <w:sig w:usb0="00000000" w:usb1="00000000" w:usb2="00000000" w:usb3="00000000" w:csb0="00000000" w:csb1="00000000"/>
  </w:font>
  <w:font w:name="Segoe Print">
    <w:panose1 w:val="02000600000000000000"/>
    <w:charset w:val="00"/>
    <w:family w:val="auto"/>
    <w:pitch w:val="default"/>
    <w:sig w:usb0="0000028F" w:usb1="00000000" w:usb2="00000000" w:usb3="00000000" w:csb0="2000009F" w:csb1="47010000"/>
  </w:font>
  <w:font w:name="Segoe UI">
    <w:panose1 w:val="020B0502040204020203"/>
    <w:charset w:val="00"/>
    <w:family w:val="swiss"/>
    <w:pitch w:val="default"/>
    <w:sig w:usb0="E4002EFF" w:usb1="C000E47F" w:usb2="00000009" w:usb3="00000000" w:csb0="200001FF" w:csb1="00000000"/>
  </w:font>
  <w:font w:name="等线">
    <w:altName w:val="Microsoft YaHei"/>
    <w:panose1 w:val="00000000000000000000"/>
    <w:charset w:val="00"/>
    <w:family w:val="auto"/>
    <w:pitch w:val="default"/>
    <w:sig w:usb0="00000000" w:usb1="00000000" w:usb2="00000000" w:usb3="00000000" w:csb0="00000000" w:csb1="00000000"/>
  </w:font>
  <w:font w:name="Microsoft YaHei">
    <w:panose1 w:val="020B0503020204020204"/>
    <w:charset w:val="86"/>
    <w:family w:val="auto"/>
    <w:pitch w:val="default"/>
    <w:sig w:usb0="80000287" w:usb1="2ACF3C50" w:usb2="00000016" w:usb3="00000000" w:csb0="0004001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819160148"/>
      <w:docPartObj>
        <w:docPartGallery w:val="autotext"/>
      </w:docPartObj>
    </w:sdtPr>
    <w:sdtContent>
      <w:p>
        <w:pPr>
          <w:pStyle w:val="13"/>
          <w:jc w:val="right"/>
        </w:pPr>
        <w:r>
          <w:fldChar w:fldCharType="begin"/>
        </w:r>
        <w:r>
          <w:instrText xml:space="preserve"> PAGE   \* MERGEFORMAT </w:instrText>
        </w:r>
        <w:r>
          <w:fldChar w:fldCharType="separate"/>
        </w:r>
        <w:r>
          <w:t>2</w:t>
        </w:r>
        <w:r>
          <w:fldChar w:fldCharType="end"/>
        </w:r>
      </w:p>
    </w:sdtContent>
  </w:sdt>
  <w:p>
    <w:pPr>
      <w:pStyle w:val="13"/>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2097550264"/>
      <w:docPartObj>
        <w:docPartGallery w:val="autotext"/>
      </w:docPartObj>
    </w:sdtPr>
    <w:sdtContent>
      <w:p>
        <w:pPr>
          <w:pStyle w:val="13"/>
          <w:jc w:val="right"/>
        </w:pPr>
        <w:r>
          <w:fldChar w:fldCharType="begin"/>
        </w:r>
        <w:r>
          <w:instrText xml:space="preserve"> PAGE   \* MERGEFORMAT </w:instrText>
        </w:r>
        <w:r>
          <w:fldChar w:fldCharType="separate"/>
        </w:r>
        <w:r>
          <w:t>1</w:t>
        </w:r>
        <w:r>
          <w:fldChar w:fldCharType="end"/>
        </w:r>
      </w:p>
    </w:sdtContent>
  </w:sdt>
  <w:p>
    <w:pPr>
      <w:pStyle w:val="13"/>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2">
    <w:p>
      <w:pPr>
        <w:spacing w:before="0" w:after="0" w:line="259" w:lineRule="auto"/>
      </w:pPr>
      <w:r>
        <w:separator/>
      </w:r>
    </w:p>
  </w:footnote>
  <w:footnote w:type="continuationSeparator" w:id="3">
    <w:p>
      <w:pPr>
        <w:spacing w:before="0" w:after="0" w:line="259" w:lineRule="auto"/>
      </w:pPr>
      <w:r>
        <w:continuationSeparator/>
      </w:r>
    </w:p>
  </w:footnote>
  <w:footnote w:id="0">
    <w:p>
      <w:pPr>
        <w:pStyle w:val="16"/>
        <w:rPr>
          <w:lang w:val="en-US"/>
        </w:rPr>
      </w:pPr>
      <w:r>
        <w:rPr>
          <w:rStyle w:val="14"/>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view w:val="web"/>
  <w:zoom w:percent="100"/>
  <w:bordersDoNotSurroundHeader w:val="0"/>
  <w:bordersDoNotSurroundFooter w:val="0"/>
  <w:documentProtection w:edit="readOnly" w:enforcement="1"/>
  <w:defaultTabStop w:val="720"/>
  <w:displayHorizontalDrawingGridEvery w:val="1"/>
  <w:displayVerticalDrawingGridEvery w:val="1"/>
  <w:noPunctuationKerning w:val="1"/>
  <w:characterSpacingControl w:val="doNotCompress"/>
  <w:footnotePr>
    <w:footnote w:id="2"/>
    <w:footnote w:id="3"/>
  </w:footnotePr>
  <w:endnotePr>
    <w:numFmt w:val="decimal"/>
    <w:endnote w:id="0"/>
    <w:endnote w:id="1"/>
  </w:endnotePr>
  <w:compat>
    <w:doNotExpandShiftReturn/>
    <w:doNotWrapTextWithPunct/>
    <w:doNotUseEastAsianBreakRules/>
    <w:doNotUseIndentAsNumberingTabStop/>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3437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1F3A"/>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0B83"/>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01E38"/>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34A3"/>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27006"/>
    <w:rsid w:val="00F54570"/>
    <w:rsid w:val="00F75853"/>
    <w:rsid w:val="00F7784D"/>
    <w:rsid w:val="00F8144F"/>
    <w:rsid w:val="00F8462A"/>
    <w:rsid w:val="00F862A7"/>
    <w:rsid w:val="00F93763"/>
    <w:rsid w:val="00F939A2"/>
    <w:rsid w:val="00F96E8D"/>
    <w:rsid w:val="00FA20D9"/>
    <w:rsid w:val="00FB03D0"/>
    <w:rsid w:val="00FD54D7"/>
    <w:rsid w:val="00FF642D"/>
    <w:rsid w:val="184F318F"/>
    <w:rsid w:val="2EB47803"/>
    <w:rsid w:val="445F2F16"/>
    <w:rsid w:val="4BE300CC"/>
    <w:rsid w:val="5A112B9F"/>
    <w:rsid w:val="6A9A0AD1"/>
    <w:rsid w:val="70E603D2"/>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imes New Roman" w:hAnsi="Times New Roman" w:eastAsia="SimSun" w:cs="Times New Roman"/>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9" w:semiHidden="0" w:name="heading 1"/>
    <w:lsdException w:qFormat="1" w:uiPriority="9" w:semiHidden="0" w:name="heading 2"/>
    <w:lsdException w:qFormat="1" w:uiPriority="9" w:name="heading 3"/>
    <w:lsdException w:qFormat="1" w:uiPriority="9" w:name="heading 4"/>
    <w:lsdException w:qFormat="1" w:uiPriority="9" w:name="heading 5"/>
    <w:lsdException w:qFormat="1" w:uiPriority="9" w:name="heading 6"/>
    <w:lsdException w:qFormat="1" w:uiPriority="9" w:name="heading 7"/>
    <w:lsdException w:qFormat="1" w:uiPriority="9" w:name="heading 8"/>
    <w:lsdException w:qFormat="1" w:uiPriority="9" w:name="heading 9"/>
    <w:lsdException w:uiPriority="99" w:name="index 1"/>
    <w:lsdException w:uiPriority="99" w:name="index 2"/>
    <w:lsdException w:uiPriority="99" w:name="index 3"/>
    <w:lsdException w:uiPriority="99" w:name="index 4"/>
    <w:lsdException w:uiPriority="99" w:name="index 5"/>
    <w:lsdException w:uiPriority="99" w:name="index 6"/>
    <w:lsdException w:uiPriority="99" w:name="index 7"/>
    <w:lsdException w:uiPriority="99" w:name="index 8"/>
    <w:lsdException w:uiPriority="99" w:name="index 9"/>
    <w:lsdException w:qFormat="1" w:uiPriority="39" w:semiHidden="0" w:name="toc 1"/>
    <w:lsdException w:qFormat="1" w:uiPriority="39" w:semiHidden="0" w:name="toc 2"/>
    <w:lsdException w:qFormat="1" w:uiPriority="39" w:semiHidden="0" w:name="toc 3"/>
    <w:lsdException w:uiPriority="39" w:name="toc 4"/>
    <w:lsdException w:uiPriority="39" w:name="toc 5"/>
    <w:lsdException w:uiPriority="39" w:name="toc 6"/>
    <w:lsdException w:uiPriority="39" w:name="toc 7"/>
    <w:lsdException w:uiPriority="39" w:name="toc 8"/>
    <w:lsdException w:uiPriority="39" w:name="toc 9"/>
    <w:lsdException w:uiPriority="99" w:name="Normal Indent"/>
    <w:lsdException w:qFormat="1" w:uiPriority="99" w:name="footnote text"/>
    <w:lsdException w:qFormat="1" w:uiPriority="99" w:name="annotation text"/>
    <w:lsdException w:qFormat="1" w:uiPriority="99" w:semiHidden="0" w:name="header"/>
    <w:lsdException w:qFormat="1" w:uiPriority="99" w:semiHidden="0" w:name="footer"/>
    <w:lsdException w:uiPriority="99" w:name="index heading"/>
    <w:lsdException w:qFormat="1" w:uiPriority="35" w:name="caption"/>
    <w:lsdException w:uiPriority="99" w:name="table of figures"/>
    <w:lsdException w:uiPriority="99" w:name="envelope address"/>
    <w:lsdException w:uiPriority="99" w:name="envelope return"/>
    <w:lsdException w:qFormat="1" w:uiPriority="99" w:semiHidden="0" w:name="footnote reference"/>
    <w:lsdException w:qFormat="1" w:uiPriority="99" w:name="annotation reference"/>
    <w:lsdException w:uiPriority="99" w:name="line number"/>
    <w:lsdException w:uiPriority="99" w:name="page number"/>
    <w:lsdException w:qFormat="1" w:uiPriority="99" w:name="endnote reference"/>
    <w:lsdException w:qFormat="1" w:uiPriority="99" w:semiHidden="0" w:name="endnote text"/>
    <w:lsdException w:uiPriority="99" w:name="table of authorities"/>
    <w:lsdException w:uiPriority="99" w:name="macro"/>
    <w:lsdException w:uiPriority="99" w:name="toa heading"/>
    <w:lsdException w:uiPriority="99" w:name="List"/>
    <w:lsdException w:uiPriority="99" w:name="List Bullet"/>
    <w:lsdException w:uiPriority="99" w:name="List Number"/>
    <w:lsdException w:uiPriority="99" w:name="List 2"/>
    <w:lsdException w:uiPriority="99" w:name="List 3"/>
    <w:lsdException w:uiPriority="99" w:name="List 4"/>
    <w:lsdException w:uiPriority="99" w:name="List 5"/>
    <w:lsdException w:uiPriority="99" w:name="List Bullet 2"/>
    <w:lsdException w:uiPriority="99" w:name="List Bullet 3"/>
    <w:lsdException w:uiPriority="99" w:name="List Bullet 4"/>
    <w:lsdException w:uiPriority="99" w:name="List Bullet 5"/>
    <w:lsdException w:uiPriority="99" w:name="List Number 2"/>
    <w:lsdException w:uiPriority="99" w:name="List Number 3"/>
    <w:lsdException w:uiPriority="99" w:name="List Number 4"/>
    <w:lsdException w:uiPriority="99" w:name="List Number 5"/>
    <w:lsdException w:qFormat="1" w:unhideWhenUsed="0" w:uiPriority="10" w:semiHidden="0" w:name="Title"/>
    <w:lsdException w:uiPriority="99" w:name="Closing"/>
    <w:lsdException w:uiPriority="99" w:name="Signature"/>
    <w:lsdException w:qFormat="1" w:uiPriority="1" w:name="Default Paragraph Font"/>
    <w:lsdException w:uiPriority="99" w:name="Body Text"/>
    <w:lsdException w:uiPriority="99" w:name="Body Text Indent"/>
    <w:lsdException w:uiPriority="99" w:name="List Continue"/>
    <w:lsdException w:uiPriority="99" w:name="List Continue 2"/>
    <w:lsdException w:uiPriority="99" w:name="List Continue 3"/>
    <w:lsdException w:uiPriority="99" w:name="List Continue 4"/>
    <w:lsdException w:uiPriority="99" w:name="List Continue 5"/>
    <w:lsdException w:uiPriority="99" w:name="Message Header"/>
    <w:lsdException w:qFormat="1" w:unhideWhenUsed="0" w:uiPriority="11" w:semiHidden="0" w:name="Subtitle"/>
    <w:lsdException w:uiPriority="99" w:name="Salutation"/>
    <w:lsdException w:uiPriority="99" w:name="Date"/>
    <w:lsdException w:uiPriority="99" w:name="Body Text First Indent"/>
    <w:lsdException w:uiPriority="99" w:name="Body Text First Indent 2"/>
    <w:lsdException w:uiPriority="99" w:name="Note Heading"/>
    <w:lsdException w:uiPriority="99" w:name="Body Text 2"/>
    <w:lsdException w:uiPriority="99" w:name="Body Text 3"/>
    <w:lsdException w:uiPriority="99" w:name="Body Text Indent 2"/>
    <w:lsdException w:uiPriority="99" w:name="Body Text Indent 3"/>
    <w:lsdException w:uiPriority="99" w:name="Block Text"/>
    <w:lsdException w:qFormat="1" w:uiPriority="99" w:semiHidden="0" w:name="Hyperlink"/>
    <w:lsdException w:qFormat="1" w:uiPriority="99" w:name="FollowedHyperlink"/>
    <w:lsdException w:qFormat="1" w:unhideWhenUsed="0" w:uiPriority="22" w:semiHidden="0" w:name="Strong"/>
    <w:lsdException w:qFormat="1" w:unhideWhenUsed="0" w:uiPriority="20" w:semiHidden="0" w:name="Emphasis"/>
    <w:lsdException w:uiPriority="99" w:name="Document Map"/>
    <w:lsdException w:uiPriority="99" w:name="Plain Text"/>
    <w:lsdException w:uiPriority="99" w:name="E-mail Signature"/>
    <w:lsdException w:uiPriority="99" w:name="Normal (Web)"/>
    <w:lsdException w:uiPriority="99" w:name="HTML Acronym"/>
    <w:lsdException w:uiPriority="99" w:name="HTML Address"/>
    <w:lsdException w:uiPriority="99" w:name="HTML Cite"/>
    <w:lsdException w:uiPriority="99" w:name="HTML Code"/>
    <w:lsdException w:uiPriority="99" w:name="HTML Definition"/>
    <w:lsdException w:uiPriority="99" w:name="HTML Keyboard"/>
    <w:lsdException w:uiPriority="99" w:name="HTML Preformatted"/>
    <w:lsdException w:uiPriority="99" w:name="HTML Sample"/>
    <w:lsdException w:uiPriority="99" w:name="HTML Typewriter"/>
    <w:lsdException w:uiPriority="99" w:name="HTML Variable"/>
    <w:lsdException w:qFormat="1" w:uiPriority="99" w:name="Normal Table"/>
    <w:lsdException w:qFormat="1" w:uiPriority="99" w:name="annotation subject"/>
    <w:lsdException w:uiPriority="99" w:name="Table Simple 1"/>
    <w:lsdException w:uiPriority="99" w:name="Table Simple 2"/>
    <w:lsdException w:uiPriority="99" w:name="Table Simple 3"/>
    <w:lsdException w:uiPriority="99" w:name="Table Classic 1"/>
    <w:lsdException w:uiPriority="99" w:name="Table Classic 2"/>
    <w:lsdException w:uiPriority="99" w:name="Table Classic 3"/>
    <w:lsdException w:uiPriority="99" w:name="Table Classic 4"/>
    <w:lsdException w:uiPriority="99" w:name="Table Colorful 1"/>
    <w:lsdException w:uiPriority="99" w:name="Table Colorful 2"/>
    <w:lsdException w:uiPriority="99" w:name="Table Colorful 3"/>
    <w:lsdException w:uiPriority="99" w:name="Table Columns 1"/>
    <w:lsdException w:uiPriority="99" w:name="Table Columns 2"/>
    <w:lsdException w:uiPriority="99" w:name="Table Columns 3"/>
    <w:lsdException w:uiPriority="99" w:name="Table Columns 4"/>
    <w:lsdException w:uiPriority="99" w:name="Table Columns 5"/>
    <w:lsdException w:uiPriority="99" w:name="Table Grid 1"/>
    <w:lsdException w:uiPriority="99" w:name="Table Grid 2"/>
    <w:lsdException w:uiPriority="99" w:name="Table Grid 3"/>
    <w:lsdException w:uiPriority="99" w:name="Table Grid 4"/>
    <w:lsdException w:uiPriority="99" w:name="Table Grid 5"/>
    <w:lsdException w:uiPriority="99" w:name="Table Grid 6"/>
    <w:lsdException w:uiPriority="99" w:name="Table Grid 7"/>
    <w:lsdException w:uiPriority="99" w:name="Table Grid 8"/>
    <w:lsdException w:uiPriority="99" w:name="Table List 1"/>
    <w:lsdException w:uiPriority="99" w:name="Table List 2"/>
    <w:lsdException w:uiPriority="99" w:name="Table List 3"/>
    <w:lsdException w:uiPriority="99" w:name="Table List 4"/>
    <w:lsdException w:uiPriority="99" w:name="Table List 5"/>
    <w:lsdException w:uiPriority="99" w:name="Table List 6"/>
    <w:lsdException w:uiPriority="99" w:name="Table List 7"/>
    <w:lsdException w:uiPriority="99" w:name="Table List 8"/>
    <w:lsdException w:uiPriority="99" w:name="Table 3D effects 1"/>
    <w:lsdException w:uiPriority="99" w:name="Table 3D effects 2"/>
    <w:lsdException w:uiPriority="99" w:name="Table 3D effects 3"/>
    <w:lsdException w:uiPriority="99" w:name="Table Contemporary"/>
    <w:lsdException w:uiPriority="99" w:name="Table Elegant"/>
    <w:lsdException w:uiPriority="99" w:name="Table Professional"/>
    <w:lsdException w:uiPriority="99" w:name="Table Subtle 1"/>
    <w:lsdException w:uiPriority="99" w:name="Table Subtle 2"/>
    <w:lsdException w:uiPriority="99" w:name="Table Web 1"/>
    <w:lsdException w:uiPriority="99" w:name="Table Web 2"/>
    <w:lsdException w:uiPriority="99" w:name="Table Web 3"/>
    <w:lsdException w:qFormat="1" w:uiPriority="99" w:name="Balloon Text"/>
    <w:lsdException w:qFormat="1" w:unhideWhenUsed="0" w:uiPriority="59" w:semiHidden="0" w:name="Table Grid"/>
    <w:lsdException w:uiPriority="99" w:name="Table Theme"/>
    <w:lsdException w:qFormat="1" w:unhideWhenUsed="0" w:uiPriority="99" w:name="Placeholder Text"/>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qFormat="1" w:unhideWhenUsed="0" w:uiPriority="34" w:semiHidden="0" w:name="List Paragraph"/>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spacing w:after="160" w:line="259" w:lineRule="auto"/>
    </w:pPr>
    <w:rPr>
      <w:rFonts w:asciiTheme="minorHAnsi" w:hAnsiTheme="minorHAnsi" w:eastAsiaTheme="minorHAnsi" w:cstheme="minorBidi"/>
      <w:sz w:val="22"/>
      <w:szCs w:val="22"/>
      <w:lang w:val="en-US" w:eastAsia="en-US" w:bidi="ar-SA"/>
    </w:rPr>
  </w:style>
  <w:style w:type="paragraph" w:styleId="2">
    <w:name w:val="heading 1"/>
    <w:basedOn w:val="1"/>
    <w:next w:val="1"/>
    <w:link w:val="25"/>
    <w:qFormat/>
    <w:uiPriority w:val="9"/>
    <w:pPr>
      <w:keepNext/>
      <w:keepLines/>
      <w:spacing w:before="240" w:after="0"/>
      <w:outlineLvl w:val="0"/>
    </w:pPr>
    <w:rPr>
      <w:rFonts w:asciiTheme="majorHAnsi" w:hAnsiTheme="majorHAnsi" w:eastAsiaTheme="majorEastAsia" w:cstheme="majorBidi"/>
      <w:color w:val="2E75B6" w:themeColor="accent1" w:themeShade="BF"/>
      <w:sz w:val="32"/>
      <w:szCs w:val="32"/>
    </w:rPr>
  </w:style>
  <w:style w:type="paragraph" w:styleId="3">
    <w:name w:val="heading 2"/>
    <w:basedOn w:val="1"/>
    <w:next w:val="1"/>
    <w:link w:val="50"/>
    <w:unhideWhenUsed/>
    <w:qFormat/>
    <w:uiPriority w:val="9"/>
    <w:pPr>
      <w:keepNext/>
      <w:keepLines/>
      <w:spacing w:before="40" w:after="0"/>
      <w:outlineLvl w:val="1"/>
    </w:pPr>
    <w:rPr>
      <w:rFonts w:asciiTheme="majorHAnsi" w:hAnsiTheme="majorHAnsi" w:eastAsiaTheme="majorEastAsia" w:cstheme="majorBidi"/>
      <w:color w:val="2E75B6" w:themeColor="accent1" w:themeShade="BF"/>
      <w:sz w:val="26"/>
      <w:szCs w:val="26"/>
    </w:rPr>
  </w:style>
  <w:style w:type="character" w:default="1" w:styleId="4">
    <w:name w:val="Default Paragraph Font"/>
    <w:semiHidden/>
    <w:unhideWhenUsed/>
    <w:qFormat/>
    <w:uiPriority w:val="1"/>
  </w:style>
  <w:style w:type="table" w:default="1" w:styleId="5">
    <w:name w:val="Normal Table"/>
    <w:semiHidden/>
    <w:unhideWhenUsed/>
    <w:qFormat/>
    <w:uiPriority w:val="99"/>
    <w:tblPr>
      <w:tblCellMar>
        <w:top w:w="0" w:type="dxa"/>
        <w:left w:w="108" w:type="dxa"/>
        <w:bottom w:w="0" w:type="dxa"/>
        <w:right w:w="108" w:type="dxa"/>
      </w:tblCellMar>
    </w:tblPr>
  </w:style>
  <w:style w:type="paragraph" w:styleId="6">
    <w:name w:val="Balloon Text"/>
    <w:basedOn w:val="1"/>
    <w:link w:val="43"/>
    <w:semiHidden/>
    <w:unhideWhenUsed/>
    <w:qFormat/>
    <w:uiPriority w:val="99"/>
    <w:pPr>
      <w:spacing w:after="0" w:line="240" w:lineRule="auto"/>
    </w:pPr>
    <w:rPr>
      <w:rFonts w:ascii="Segoe UI" w:hAnsi="Segoe UI" w:cs="Segoe UI"/>
      <w:sz w:val="18"/>
      <w:szCs w:val="18"/>
    </w:rPr>
  </w:style>
  <w:style w:type="character" w:styleId="7">
    <w:name w:val="annotation reference"/>
    <w:basedOn w:val="4"/>
    <w:semiHidden/>
    <w:unhideWhenUsed/>
    <w:qFormat/>
    <w:uiPriority w:val="99"/>
    <w:rPr>
      <w:sz w:val="16"/>
      <w:szCs w:val="16"/>
    </w:rPr>
  </w:style>
  <w:style w:type="paragraph" w:styleId="8">
    <w:name w:val="annotation text"/>
    <w:basedOn w:val="1"/>
    <w:link w:val="46"/>
    <w:semiHidden/>
    <w:unhideWhenUsed/>
    <w:qFormat/>
    <w:uiPriority w:val="99"/>
    <w:pPr>
      <w:spacing w:line="240" w:lineRule="auto"/>
    </w:pPr>
    <w:rPr>
      <w:sz w:val="20"/>
      <w:szCs w:val="20"/>
    </w:rPr>
  </w:style>
  <w:style w:type="paragraph" w:styleId="9">
    <w:name w:val="annotation subject"/>
    <w:basedOn w:val="8"/>
    <w:next w:val="8"/>
    <w:link w:val="47"/>
    <w:semiHidden/>
    <w:unhideWhenUsed/>
    <w:qFormat/>
    <w:uiPriority w:val="99"/>
    <w:rPr>
      <w:b/>
      <w:bCs/>
    </w:rPr>
  </w:style>
  <w:style w:type="character" w:styleId="10">
    <w:name w:val="endnote reference"/>
    <w:basedOn w:val="4"/>
    <w:semiHidden/>
    <w:unhideWhenUsed/>
    <w:qFormat/>
    <w:uiPriority w:val="99"/>
    <w:rPr>
      <w:vertAlign w:val="superscript"/>
    </w:rPr>
  </w:style>
  <w:style w:type="paragraph" w:styleId="11">
    <w:name w:val="endnote text"/>
    <w:basedOn w:val="1"/>
    <w:link w:val="49"/>
    <w:unhideWhenUsed/>
    <w:qFormat/>
    <w:uiPriority w:val="99"/>
    <w:pPr>
      <w:spacing w:after="0" w:line="240" w:lineRule="auto"/>
    </w:pPr>
    <w:rPr>
      <w:sz w:val="20"/>
      <w:szCs w:val="20"/>
    </w:rPr>
  </w:style>
  <w:style w:type="character" w:styleId="12">
    <w:name w:val="FollowedHyperlink"/>
    <w:basedOn w:val="4"/>
    <w:semiHidden/>
    <w:unhideWhenUsed/>
    <w:qFormat/>
    <w:uiPriority w:val="99"/>
    <w:rPr>
      <w:color w:val="954F72" w:themeColor="followedHyperlink"/>
      <w:u w:val="single"/>
      <w14:textFill>
        <w14:solidFill>
          <w14:schemeClr w14:val="folHlink"/>
        </w14:solidFill>
      </w14:textFill>
    </w:rPr>
  </w:style>
  <w:style w:type="paragraph" w:styleId="13">
    <w:name w:val="footer"/>
    <w:basedOn w:val="1"/>
    <w:link w:val="44"/>
    <w:unhideWhenUsed/>
    <w:qFormat/>
    <w:uiPriority w:val="99"/>
    <w:pPr>
      <w:tabs>
        <w:tab w:val="center" w:pos="4680"/>
        <w:tab w:val="right" w:pos="9360"/>
      </w:tabs>
      <w:spacing w:after="0" w:line="240" w:lineRule="auto"/>
    </w:pPr>
  </w:style>
  <w:style w:type="character" w:styleId="14">
    <w:name w:val="footnote reference"/>
    <w:basedOn w:val="4"/>
    <w:link w:val="15"/>
    <w:unhideWhenUsed/>
    <w:qFormat/>
    <w:uiPriority w:val="99"/>
    <w:rPr>
      <w:vertAlign w:val="superscript"/>
    </w:rPr>
  </w:style>
  <w:style w:type="paragraph" w:customStyle="1" w:styleId="15">
    <w:name w:val="BVI fnr Char1 Char Char Char Char Char"/>
    <w:basedOn w:val="1"/>
    <w:link w:val="14"/>
    <w:qFormat/>
    <w:uiPriority w:val="99"/>
    <w:pPr>
      <w:spacing w:line="240" w:lineRule="exact"/>
      <w:jc w:val="both"/>
    </w:pPr>
    <w:rPr>
      <w:vertAlign w:val="superscript"/>
    </w:rPr>
  </w:style>
  <w:style w:type="paragraph" w:styleId="16">
    <w:name w:val="footnote text"/>
    <w:basedOn w:val="1"/>
    <w:link w:val="41"/>
    <w:semiHidden/>
    <w:unhideWhenUsed/>
    <w:qFormat/>
    <w:uiPriority w:val="99"/>
    <w:pPr>
      <w:spacing w:after="0" w:line="240" w:lineRule="auto"/>
    </w:pPr>
    <w:rPr>
      <w:rFonts w:eastAsiaTheme="minorEastAsia"/>
      <w:sz w:val="20"/>
      <w:szCs w:val="20"/>
      <w:lang w:val="en-GB" w:eastAsia="zh-CN"/>
    </w:rPr>
  </w:style>
  <w:style w:type="paragraph" w:styleId="17">
    <w:name w:val="header"/>
    <w:basedOn w:val="1"/>
    <w:link w:val="33"/>
    <w:unhideWhenUsed/>
    <w:qFormat/>
    <w:uiPriority w:val="99"/>
    <w:pPr>
      <w:tabs>
        <w:tab w:val="center" w:pos="4513"/>
        <w:tab w:val="right" w:pos="9026"/>
      </w:tabs>
      <w:spacing w:after="0" w:line="240" w:lineRule="auto"/>
    </w:pPr>
    <w:rPr>
      <w:rFonts w:eastAsiaTheme="minorEastAsia"/>
      <w:lang w:val="en-GB" w:eastAsia="zh-CN"/>
    </w:rPr>
  </w:style>
  <w:style w:type="character" w:styleId="18">
    <w:name w:val="Hyperlink"/>
    <w:basedOn w:val="4"/>
    <w:unhideWhenUsed/>
    <w:qFormat/>
    <w:uiPriority w:val="99"/>
    <w:rPr>
      <w:color w:val="0563C1" w:themeColor="hyperlink"/>
      <w:u w:val="single"/>
      <w14:textFill>
        <w14:solidFill>
          <w14:schemeClr w14:val="hlink"/>
        </w14:solidFill>
      </w14:textFill>
    </w:rPr>
  </w:style>
  <w:style w:type="paragraph" w:styleId="19">
    <w:name w:val="Subtitle"/>
    <w:basedOn w:val="1"/>
    <w:next w:val="1"/>
    <w:link w:val="28"/>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table" w:styleId="20">
    <w:name w:val="Table Grid"/>
    <w:basedOn w:val="5"/>
    <w:qFormat/>
    <w:uiPriority w:val="59"/>
    <w:pPr>
      <w:spacing w:after="0" w:line="240" w:lineRule="auto"/>
    </w:pPr>
    <w:rPr>
      <w:rFonts w:eastAsiaTheme="minorEastAsia"/>
      <w:lang w:eastAsia="ja-JP"/>
    </w:r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paragraph" w:styleId="21">
    <w:name w:val="Title"/>
    <w:basedOn w:val="1"/>
    <w:next w:val="1"/>
    <w:link w:val="27"/>
    <w:qFormat/>
    <w:uiPriority w:val="10"/>
    <w:pPr>
      <w:spacing w:after="0" w:line="240" w:lineRule="auto"/>
      <w:contextualSpacing/>
    </w:pPr>
    <w:rPr>
      <w:rFonts w:asciiTheme="majorHAnsi" w:hAnsiTheme="majorHAnsi" w:eastAsiaTheme="majorEastAsia" w:cstheme="majorBidi"/>
      <w:spacing w:val="-10"/>
      <w:kern w:val="28"/>
      <w:sz w:val="56"/>
      <w:szCs w:val="56"/>
    </w:rPr>
  </w:style>
  <w:style w:type="paragraph" w:styleId="22">
    <w:name w:val="toc 1"/>
    <w:basedOn w:val="1"/>
    <w:next w:val="1"/>
    <w:unhideWhenUsed/>
    <w:qFormat/>
    <w:uiPriority w:val="39"/>
    <w:pPr>
      <w:spacing w:after="100"/>
    </w:pPr>
  </w:style>
  <w:style w:type="paragraph" w:styleId="23">
    <w:name w:val="toc 2"/>
    <w:basedOn w:val="1"/>
    <w:next w:val="1"/>
    <w:unhideWhenUsed/>
    <w:qFormat/>
    <w:uiPriority w:val="39"/>
    <w:pPr>
      <w:spacing w:after="100"/>
      <w:ind w:left="220"/>
    </w:pPr>
  </w:style>
  <w:style w:type="paragraph" w:styleId="24">
    <w:name w:val="toc 3"/>
    <w:basedOn w:val="1"/>
    <w:next w:val="1"/>
    <w:unhideWhenUsed/>
    <w:qFormat/>
    <w:uiPriority w:val="39"/>
    <w:pPr>
      <w:spacing w:after="100"/>
      <w:ind w:left="440"/>
    </w:pPr>
  </w:style>
  <w:style w:type="character" w:customStyle="1" w:styleId="25">
    <w:name w:val="Heading 1 Char"/>
    <w:basedOn w:val="4"/>
    <w:link w:val="2"/>
    <w:qFormat/>
    <w:uiPriority w:val="9"/>
    <w:rPr>
      <w:rFonts w:asciiTheme="majorHAnsi" w:hAnsiTheme="majorHAnsi" w:eastAsiaTheme="majorEastAsia" w:cstheme="majorBidi"/>
      <w:color w:val="2E75B6" w:themeColor="accent1" w:themeShade="BF"/>
      <w:sz w:val="32"/>
      <w:szCs w:val="32"/>
    </w:rPr>
  </w:style>
  <w:style w:type="paragraph" w:customStyle="1" w:styleId="26">
    <w:name w:val="TOC Heading"/>
    <w:basedOn w:val="2"/>
    <w:next w:val="1"/>
    <w:unhideWhenUsed/>
    <w:qFormat/>
    <w:uiPriority w:val="39"/>
    <w:pPr>
      <w:outlineLvl w:val="9"/>
    </w:pPr>
  </w:style>
  <w:style w:type="character" w:customStyle="1" w:styleId="27">
    <w:name w:val="Title Char"/>
    <w:basedOn w:val="4"/>
    <w:link w:val="21"/>
    <w:qFormat/>
    <w:uiPriority w:val="10"/>
    <w:rPr>
      <w:rFonts w:asciiTheme="majorHAnsi" w:hAnsiTheme="majorHAnsi" w:eastAsiaTheme="majorEastAsia" w:cstheme="majorBidi"/>
      <w:spacing w:val="-10"/>
      <w:kern w:val="28"/>
      <w:sz w:val="56"/>
      <w:szCs w:val="56"/>
    </w:rPr>
  </w:style>
  <w:style w:type="character" w:customStyle="1" w:styleId="28">
    <w:name w:val="Subtitle Char"/>
    <w:basedOn w:val="4"/>
    <w:link w:val="19"/>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paragraph" w:customStyle="1" w:styleId="29">
    <w:name w:val="M.G+T.Header"/>
    <w:basedOn w:val="1"/>
    <w:link w:val="30"/>
    <w:qFormat/>
    <w:uiPriority w:val="0"/>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30">
    <w:name w:val="M.G+T.Header Char"/>
    <w:basedOn w:val="4"/>
    <w:link w:val="29"/>
    <w:qFormat/>
    <w:uiPriority w:val="0"/>
    <w:rPr>
      <w:rFonts w:eastAsia="Times New Roman" w:cs="Times New Roman"/>
      <w:color w:val="333333"/>
      <w:sz w:val="21"/>
      <w:szCs w:val="21"/>
      <w:shd w:val="clear" w:color="auto" w:fill="F5F5F5"/>
      <w:lang w:val="en-GB" w:eastAsia="en-GB"/>
    </w:rPr>
  </w:style>
  <w:style w:type="paragraph" w:customStyle="1" w:styleId="31">
    <w:name w:val="M.Ind.Header"/>
    <w:basedOn w:val="1"/>
    <w:link w:val="32"/>
    <w:qFormat/>
    <w:uiPriority w:val="0"/>
    <w:pPr>
      <w:shd w:val="clear" w:color="auto" w:fill="F5F5F5"/>
      <w:spacing w:after="0" w:line="276" w:lineRule="auto"/>
      <w:outlineLvl w:val="1"/>
    </w:pPr>
    <w:rPr>
      <w:rFonts w:eastAsia="Times New Roman" w:cs="Times New Roman"/>
      <w:color w:val="1C75BC"/>
      <w:lang w:val="en-GB" w:eastAsia="en-GB"/>
    </w:rPr>
  </w:style>
  <w:style w:type="character" w:customStyle="1" w:styleId="32">
    <w:name w:val="M.Ind.Header Char"/>
    <w:basedOn w:val="4"/>
    <w:link w:val="31"/>
    <w:qFormat/>
    <w:uiPriority w:val="0"/>
    <w:rPr>
      <w:rFonts w:eastAsia="Times New Roman" w:cs="Times New Roman"/>
      <w:color w:val="1C75BC"/>
      <w:shd w:val="clear" w:color="auto" w:fill="F5F5F5"/>
      <w:lang w:val="en-GB" w:eastAsia="en-GB"/>
    </w:rPr>
  </w:style>
  <w:style w:type="character" w:customStyle="1" w:styleId="33">
    <w:name w:val="Header Char"/>
    <w:basedOn w:val="4"/>
    <w:link w:val="17"/>
    <w:qFormat/>
    <w:uiPriority w:val="99"/>
    <w:rPr>
      <w:rFonts w:eastAsiaTheme="minorEastAsia"/>
      <w:lang w:val="en-GB" w:eastAsia="zh-CN"/>
    </w:rPr>
  </w:style>
  <w:style w:type="paragraph" w:customStyle="1" w:styleId="34">
    <w:name w:val="M.Text"/>
    <w:basedOn w:val="1"/>
    <w:link w:val="35"/>
    <w:qFormat/>
    <w:uiPriority w:val="0"/>
    <w:pPr>
      <w:shd w:val="clear" w:color="auto" w:fill="FFFFFF"/>
      <w:spacing w:after="0" w:line="276" w:lineRule="auto"/>
    </w:pPr>
    <w:rPr>
      <w:rFonts w:eastAsia="Times New Roman" w:cs="Times New Roman"/>
      <w:color w:val="4A4A4A"/>
      <w:sz w:val="21"/>
      <w:szCs w:val="21"/>
      <w:lang w:val="en-GB" w:eastAsia="en-GB"/>
    </w:rPr>
  </w:style>
  <w:style w:type="character" w:customStyle="1" w:styleId="35">
    <w:name w:val="M.Text Char"/>
    <w:basedOn w:val="4"/>
    <w:link w:val="34"/>
    <w:qFormat/>
    <w:uiPriority w:val="0"/>
    <w:rPr>
      <w:rFonts w:eastAsia="Times New Roman" w:cs="Times New Roman"/>
      <w:color w:val="4A4A4A"/>
      <w:sz w:val="21"/>
      <w:szCs w:val="21"/>
      <w:shd w:val="clear" w:color="auto" w:fill="FFFFFF"/>
      <w:lang w:val="en-GB" w:eastAsia="en-GB"/>
    </w:rPr>
  </w:style>
  <w:style w:type="table" w:customStyle="1" w:styleId="36">
    <w:name w:val="Grid Table 1 Light1"/>
    <w:basedOn w:val="5"/>
    <w:qFormat/>
    <w:uiPriority w:val="46"/>
    <w:pPr>
      <w:spacing w:after="0" w:line="240" w:lineRule="auto"/>
    </w:pPr>
    <w:rPr>
      <w:rFonts w:eastAsiaTheme="minorEastAsia"/>
      <w:lang w:val="en-GB" w:eastAsia="zh-CN"/>
    </w:rPr>
    <w:tblPr>
      <w:tblBorders>
        <w:top w:val="single" w:color="999999" w:themeColor="text1" w:themeTint="66" w:sz="4" w:space="0"/>
        <w:left w:val="single" w:color="999999" w:themeColor="text1" w:themeTint="66" w:sz="4" w:space="0"/>
        <w:bottom w:val="single" w:color="999999" w:themeColor="text1" w:themeTint="66" w:sz="4" w:space="0"/>
        <w:right w:val="single" w:color="999999" w:themeColor="text1" w:themeTint="66" w:sz="4" w:space="0"/>
        <w:insideH w:val="single" w:color="999999" w:themeColor="text1" w:themeTint="66" w:sz="4" w:space="0"/>
        <w:insideV w:val="single" w:color="999999" w:themeColor="text1" w:themeTint="66" w:sz="4" w:space="0"/>
      </w:tblBorders>
    </w:tblPr>
    <w:tblStylePr w:type="firstRow">
      <w:rPr>
        <w:b/>
        <w:bCs/>
      </w:rPr>
      <w:tcPr>
        <w:tcBorders>
          <w:bottom w:val="single" w:color="666666" w:themeColor="text1" w:themeTint="99" w:sz="12" w:space="0"/>
        </w:tcBorders>
      </w:tcPr>
    </w:tblStylePr>
    <w:tblStylePr w:type="lastRow">
      <w:rPr>
        <w:b/>
        <w:bCs/>
      </w:rPr>
      <w:tcPr>
        <w:tcBorders>
          <w:top w:val="double" w:color="666666" w:themeColor="text1" w:themeTint="99" w:sz="2" w:space="0"/>
        </w:tcBorders>
      </w:tcPr>
    </w:tblStylePr>
    <w:tblStylePr w:type="firstCol">
      <w:rPr>
        <w:b/>
        <w:bCs/>
      </w:rPr>
    </w:tblStylePr>
    <w:tblStylePr w:type="lastCol">
      <w:rPr>
        <w:b/>
        <w:bCs/>
      </w:rPr>
    </w:tblStylePr>
  </w:style>
  <w:style w:type="paragraph" w:customStyle="1" w:styleId="37">
    <w:name w:val="M.Header"/>
    <w:basedOn w:val="1"/>
    <w:link w:val="38"/>
    <w:qFormat/>
    <w:uiPriority w:val="0"/>
    <w:pPr>
      <w:pBdr>
        <w:bottom w:val="single" w:color="DDDDDD" w:sz="12" w:space="4"/>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38">
    <w:name w:val="M.Header Char"/>
    <w:basedOn w:val="4"/>
    <w:link w:val="37"/>
    <w:qFormat/>
    <w:uiPriority w:val="0"/>
    <w:rPr>
      <w:rFonts w:eastAsia="Times New Roman" w:cs="Times New Roman"/>
      <w:color w:val="1C75BC"/>
      <w:sz w:val="36"/>
      <w:szCs w:val="36"/>
      <w:shd w:val="clear" w:color="auto" w:fill="FFFFFF"/>
      <w:lang w:val="en-GB" w:eastAsia="en-GB"/>
    </w:rPr>
  </w:style>
  <w:style w:type="paragraph" w:customStyle="1" w:styleId="39">
    <w:name w:val="M.Sub.Header"/>
    <w:basedOn w:val="1"/>
    <w:link w:val="40"/>
    <w:qFormat/>
    <w:uiPriority w:val="0"/>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40">
    <w:name w:val="M.Sub.Header Char"/>
    <w:basedOn w:val="4"/>
    <w:link w:val="39"/>
    <w:qFormat/>
    <w:uiPriority w:val="0"/>
    <w:rPr>
      <w:rFonts w:eastAsia="Times New Roman" w:cs="Times New Roman"/>
      <w:b/>
      <w:bCs/>
      <w:color w:val="4A4A4A"/>
      <w:sz w:val="21"/>
      <w:szCs w:val="21"/>
      <w:shd w:val="clear" w:color="auto" w:fill="FFFFFF"/>
      <w:lang w:val="en-GB" w:eastAsia="en-GB"/>
    </w:rPr>
  </w:style>
  <w:style w:type="character" w:customStyle="1" w:styleId="41">
    <w:name w:val="Footnote Text Char"/>
    <w:basedOn w:val="4"/>
    <w:link w:val="16"/>
    <w:semiHidden/>
    <w:qFormat/>
    <w:uiPriority w:val="99"/>
    <w:rPr>
      <w:rFonts w:eastAsiaTheme="minorEastAsia"/>
      <w:sz w:val="20"/>
      <w:szCs w:val="20"/>
      <w:lang w:val="en-GB" w:eastAsia="zh-CN"/>
    </w:rPr>
  </w:style>
  <w:style w:type="paragraph" w:styleId="42">
    <w:name w:val="List Paragraph"/>
    <w:basedOn w:val="1"/>
    <w:qFormat/>
    <w:uiPriority w:val="34"/>
    <w:pPr>
      <w:spacing w:after="200" w:line="276" w:lineRule="auto"/>
      <w:ind w:left="720"/>
      <w:contextualSpacing/>
    </w:pPr>
    <w:rPr>
      <w:rFonts w:eastAsiaTheme="minorEastAsia"/>
      <w:lang w:val="en-GB" w:eastAsia="zh-CN"/>
    </w:rPr>
  </w:style>
  <w:style w:type="character" w:customStyle="1" w:styleId="43">
    <w:name w:val="Balloon Text Char"/>
    <w:basedOn w:val="4"/>
    <w:link w:val="6"/>
    <w:semiHidden/>
    <w:qFormat/>
    <w:uiPriority w:val="99"/>
    <w:rPr>
      <w:rFonts w:ascii="Segoe UI" w:hAnsi="Segoe UI" w:cs="Segoe UI"/>
      <w:sz w:val="18"/>
      <w:szCs w:val="18"/>
    </w:rPr>
  </w:style>
  <w:style w:type="character" w:customStyle="1" w:styleId="44">
    <w:name w:val="Footer Char"/>
    <w:basedOn w:val="4"/>
    <w:link w:val="13"/>
    <w:qFormat/>
    <w:uiPriority w:val="99"/>
  </w:style>
  <w:style w:type="character" w:customStyle="1" w:styleId="45">
    <w:name w:val="Unresolved Mention1"/>
    <w:basedOn w:val="4"/>
    <w:semiHidden/>
    <w:unhideWhenUsed/>
    <w:qFormat/>
    <w:uiPriority w:val="99"/>
    <w:rPr>
      <w:color w:val="605E5C"/>
      <w:shd w:val="clear" w:color="auto" w:fill="E1DFDD"/>
    </w:rPr>
  </w:style>
  <w:style w:type="character" w:customStyle="1" w:styleId="46">
    <w:name w:val="Comment Text Char"/>
    <w:basedOn w:val="4"/>
    <w:link w:val="8"/>
    <w:semiHidden/>
    <w:qFormat/>
    <w:uiPriority w:val="99"/>
    <w:rPr>
      <w:sz w:val="20"/>
      <w:szCs w:val="20"/>
    </w:rPr>
  </w:style>
  <w:style w:type="character" w:customStyle="1" w:styleId="47">
    <w:name w:val="Comment Subject Char"/>
    <w:basedOn w:val="46"/>
    <w:link w:val="9"/>
    <w:semiHidden/>
    <w:qFormat/>
    <w:uiPriority w:val="99"/>
    <w:rPr>
      <w:b/>
      <w:bCs/>
      <w:sz w:val="20"/>
      <w:szCs w:val="20"/>
    </w:rPr>
  </w:style>
  <w:style w:type="character" w:styleId="48">
    <w:name w:val="Placeholder Text"/>
    <w:basedOn w:val="4"/>
    <w:semiHidden/>
    <w:qFormat/>
    <w:uiPriority w:val="99"/>
    <w:rPr>
      <w:color w:val="808080"/>
    </w:rPr>
  </w:style>
  <w:style w:type="character" w:customStyle="1" w:styleId="49">
    <w:name w:val="Endnote Text Char"/>
    <w:basedOn w:val="4"/>
    <w:link w:val="11"/>
    <w:qFormat/>
    <w:uiPriority w:val="99"/>
    <w:rPr>
      <w:sz w:val="20"/>
      <w:szCs w:val="20"/>
    </w:rPr>
  </w:style>
  <w:style w:type="character" w:customStyle="1" w:styleId="50">
    <w:name w:val="Heading 2 Char"/>
    <w:basedOn w:val="4"/>
    <w:link w:val="3"/>
    <w:qFormat/>
    <w:uiPriority w:val="9"/>
    <w:rPr>
      <w:rFonts w:asciiTheme="majorHAnsi" w:hAnsiTheme="majorHAnsi" w:eastAsiaTheme="majorEastAsia" w:cstheme="majorBidi"/>
      <w:color w:val="2E75B6" w:themeColor="accent1" w:themeShade="BF"/>
      <w:sz w:val="26"/>
      <w:szCs w:val="26"/>
    </w:rPr>
  </w:style>
  <w:style w:type="paragraph" w:customStyle="1" w:styleId="51">
    <w:name w:val="Default"/>
    <w:qFormat/>
    <w:uiPriority w:val="0"/>
    <w:pPr>
      <w:autoSpaceDE w:val="0"/>
      <w:autoSpaceDN w:val="0"/>
      <w:adjustRightInd w:val="0"/>
      <w:spacing w:after="0" w:line="240" w:lineRule="auto"/>
    </w:pPr>
    <w:rPr>
      <w:rFonts w:ascii="Calibri" w:hAnsi="Calibri" w:cs="Calibri" w:eastAsiaTheme="minorEastAsia"/>
      <w:color w:val="000000"/>
      <w:sz w:val="24"/>
      <w:szCs w:val="24"/>
      <w:lang w:val="en-US" w:eastAsia="zh-CN" w:bidi="ar-SA"/>
    </w:rPr>
  </w:style>
  <w:style w:type="character" w:customStyle="1" w:styleId="52">
    <w:name w:val="Unresolved Mention"/>
    <w:basedOn w:val="4"/>
    <w:semiHidden/>
    <w:unhideWhenUsed/>
    <w:qFormat/>
    <w:uiPriority w:val="99"/>
    <w:rPr>
      <w:color w:val="605E5C"/>
      <w:shd w:val="clear" w:color="auto" w:fill="E1DFDD"/>
    </w:rPr>
  </w:style>
  <w:style w:type="character" w:customStyle="1" w:styleId="53">
    <w:name w:val="hidden-sm"/>
    <w:basedOn w:val="4"/>
    <w:qFormat/>
    <w:uiPriority w:val="0"/>
  </w:style>
  <w:style w:type="table" w:customStyle="1" w:styleId="54">
    <w:name w:val="Table Grid1"/>
    <w:basedOn w:val="5"/>
    <w:qFormat/>
    <w:uiPriority w:val="59"/>
    <w:pPr>
      <w:spacing w:after="0" w:line="240" w:lineRule="auto"/>
    </w:pPr>
    <w:rPr>
      <w:rFonts w:eastAsiaTheme="minorEastAsia"/>
      <w:lang w:eastAsia="ja-JP"/>
    </w:r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vbaSuppData>
</file>

<file path=word/_rels/document.xml.rels><?xml version="1.0" encoding="UTF-8" standalone="yes"?>
<Relationships xmlns="http://schemas.openxmlformats.org/package/2006/relationships"><Relationship Id="rId9" Type="http://schemas.openxmlformats.org/officeDocument/2006/relationships/image" Target="media/image1.wmf"/><Relationship Id="rId8" Type="http://schemas.openxmlformats.org/officeDocument/2006/relationships/control" Target="activeX/activeX1.xml"/><Relationship Id="rId7" Type="http://schemas.openxmlformats.org/officeDocument/2006/relationships/theme" Target="theme/theme1.xml"/><Relationship Id="rId6" Type="http://schemas.openxmlformats.org/officeDocument/2006/relationships/footer" Target="footer2.xml"/><Relationship Id="rId5" Type="http://schemas.openxmlformats.org/officeDocument/2006/relationships/footer" Target="footer1.xml"/><Relationship Id="rId4" Type="http://schemas.openxmlformats.org/officeDocument/2006/relationships/endnotes" Target="endnotes.xml"/><Relationship Id="rId3" Type="http://schemas.openxmlformats.org/officeDocument/2006/relationships/footnotes" Target="footnotes.xml"/><Relationship Id="rId22" Type="http://schemas.openxmlformats.org/officeDocument/2006/relationships/glossaryDocument" Target="glossary/document.xml"/><Relationship Id="rId21" Type="http://schemas.openxmlformats.org/officeDocument/2006/relationships/fontTable" Target="fontTable.xml"/><Relationship Id="rId20" Type="http://schemas.microsoft.com/office/2006/relationships/vbaProject" Target="vbaProject.bin"/><Relationship Id="rId2" Type="http://schemas.openxmlformats.org/officeDocument/2006/relationships/settings" Target="settings.xml"/><Relationship Id="rId19" Type="http://schemas.openxmlformats.org/officeDocument/2006/relationships/customXml" Target="../customXml/item4.xml"/><Relationship Id="rId18" Type="http://schemas.openxmlformats.org/officeDocument/2006/relationships/customXml" Target="../customXml/item3.xml"/><Relationship Id="rId17" Type="http://schemas.openxmlformats.org/officeDocument/2006/relationships/customXml" Target="../customXml/item2.xml"/><Relationship Id="rId16" Type="http://schemas.openxmlformats.org/officeDocument/2006/relationships/customXml" Target="../customXml/item1.xml"/><Relationship Id="rId15" Type="http://schemas.openxmlformats.org/officeDocument/2006/relationships/image" Target="media/image4.wmf"/><Relationship Id="rId14" Type="http://schemas.openxmlformats.org/officeDocument/2006/relationships/control" Target="activeX/activeX4.xml"/><Relationship Id="rId13" Type="http://schemas.openxmlformats.org/officeDocument/2006/relationships/image" Target="media/image3.wmf"/><Relationship Id="rId12" Type="http://schemas.openxmlformats.org/officeDocument/2006/relationships/control" Target="activeX/activeX3.xml"/><Relationship Id="rId11" Type="http://schemas.openxmlformats.org/officeDocument/2006/relationships/image" Target="media/image2.wmf"/><Relationship Id="rId10" Type="http://schemas.openxmlformats.org/officeDocument/2006/relationships/control" Target="activeX/activeX2.xml"/><Relationship Id="rId1" Type="http://schemas.openxmlformats.org/officeDocument/2006/relationships/styles" Target="styl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4.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2.bin"/></Relationships>
</file>

<file path=word/activeX/activeX1.xml><?xml version="1.0" encoding="utf-8"?>
<ax:ocx xmlns:ax="http://schemas.microsoft.com/office/2006/activeX" xmlns:r="http://schemas.openxmlformats.org/officeDocument/2006/relationships" ax:classid="{D7053240-CE69-11CD-A777-00DD01143C57}" r:id="rId1" ax:persistence="persistStorage"/>
</file>

<file path=word/activeX/activeX2.xml><?xml version="1.0" encoding="utf-8"?>
<ax:ocx xmlns:ax="http://schemas.microsoft.com/office/2006/activeX" xmlns:r="http://schemas.openxmlformats.org/officeDocument/2006/relationships" ax:classid="{D7053240-CE69-11CD-A777-00DD01143C57}" r:id="rId1" ax:persistence="persistStorage"/>
</file>

<file path=word/activeX/activeX3.xml><?xml version="1.0" encoding="utf-8"?>
<ax:ocx xmlns:ax="http://schemas.microsoft.com/office/2006/activeX" xmlns:r="http://schemas.openxmlformats.org/officeDocument/2006/relationships" ax:classid="{D7053240-CE69-11CD-A777-00DD01143C57}" r:id="rId1" ax:persistence="persistStorage"/>
</file>

<file path=word/activeX/activeX4.xml><?xml version="1.0" encoding="utf-8"?>
<ax:ocx xmlns:ax="http://schemas.microsoft.com/office/2006/activeX" xmlns:r="http://schemas.openxmlformats.org/officeDocument/2006/relationships" ax:classid="{D7053240-CE69-11CD-A777-00DD01143C57}" r:id="rId1" ax:persistence="persistStorage"/>
</file>

<file path=word/glossary/_rels/document.xml.rels><?xml version="1.0" encoding="UTF-8" standalone="yes"?>
<Relationships xmlns="http://schemas.openxmlformats.org/package/2006/relationships"><Relationship Id="rId5" Type="http://schemas.openxmlformats.org/officeDocument/2006/relationships/fontTable" Target="fontTable.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 Type="http://schemas.openxmlformats.org/officeDocument/2006/relationships/styles" Target="style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docParts>
    <w:docPart>
      <w:docPartPr>
        <w:name w:val="AC4C4D2681C1478B808B26B73E0AC72E"/>
        <w:style w:val=""/>
        <w:category>
          <w:name w:val="General"/>
          <w:gallery w:val="placeholder"/>
        </w:category>
        <w:types>
          <w:type w:val="bbPlcHdr"/>
        </w:types>
        <w:behaviors>
          <w:behavior w:val="content"/>
        </w:behaviors>
        <w:description w:val=""/>
        <w:guid w:val="{2A74445E-7D79-4ECB-A0F2-CD65DBCBA559}"/>
      </w:docPartPr>
      <w:docPartBody>
        <w:p>
          <w:pPr>
            <w:pStyle w:val="6"/>
          </w:pPr>
          <w:r>
            <w:rPr>
              <w:rStyle w:val="4"/>
            </w:rPr>
            <w:t>Choose an item.</w:t>
          </w:r>
        </w:p>
      </w:docPartBody>
    </w:docPart>
    <w:docPart>
      <w:docPartPr>
        <w:name w:val="DB7371FC7ED840DFBDF71FAA6B56F845"/>
        <w:style w:val=""/>
        <w:category>
          <w:name w:val="General"/>
          <w:gallery w:val="placeholder"/>
        </w:category>
        <w:types>
          <w:type w:val="bbPlcHdr"/>
        </w:types>
        <w:behaviors>
          <w:behavior w:val="content"/>
        </w:behaviors>
        <w:description w:val=""/>
        <w:guid w:val="{E8E42F02-6023-4FE7-87F7-7A1CF791F166}"/>
      </w:docPartPr>
      <w:docPartBody>
        <w:p>
          <w:pPr>
            <w:pStyle w:val="7"/>
          </w:pPr>
          <w:r>
            <w:rPr>
              <w:rStyle w:val="4"/>
            </w:rPr>
            <w:t>Choose an item.</w:t>
          </w:r>
        </w:p>
      </w:docPartBody>
    </w:docPart>
    <w:docPart>
      <w:docPartPr>
        <w:name w:val="BE0DD80F803347FDB216398955CD3FB9"/>
        <w:style w:val=""/>
        <w:category>
          <w:name w:val="General"/>
          <w:gallery w:val="placeholder"/>
        </w:category>
        <w:types>
          <w:type w:val="bbPlcHdr"/>
        </w:types>
        <w:behaviors>
          <w:behavior w:val="content"/>
        </w:behaviors>
        <w:description w:val=""/>
        <w:guid w:val="{789F9B49-4698-4FEB-8C77-16234B103741}"/>
      </w:docPartPr>
      <w:docPartBody>
        <w:p>
          <w:pPr>
            <w:pStyle w:val="8"/>
          </w:pPr>
          <w:r>
            <w:rPr>
              <w:rStyle w:val="4"/>
            </w:rPr>
            <w:t>Choose an item.</w:t>
          </w:r>
        </w:p>
      </w:docPartBody>
    </w:docPart>
    <w:docPart>
      <w:docPartPr>
        <w:name w:val="56518A61C4FB476588FF84435CA4EDBA"/>
        <w:style w:val=""/>
        <w:category>
          <w:name w:val="General"/>
          <w:gallery w:val="placeholder"/>
        </w:category>
        <w:types>
          <w:type w:val="bbPlcHdr"/>
        </w:types>
        <w:behaviors>
          <w:behavior w:val="content"/>
        </w:behaviors>
        <w:description w:val=""/>
        <w:guid w:val="{B12B3054-9FA6-4DE8-9A92-1E7A246D578A}"/>
      </w:docPartPr>
      <w:docPartBody>
        <w:p>
          <w:pPr>
            <w:pStyle w:val="9"/>
          </w:pPr>
          <w:r>
            <w:rPr>
              <w:rStyle w:val="4"/>
            </w:rPr>
            <w:t>Choose an item or type a code.</w:t>
          </w:r>
        </w:p>
      </w:docPartBody>
    </w:docPart>
    <w:docPart>
      <w:docPartPr>
        <w:name w:val="6579C099C5094C30AA228610665230E0"/>
        <w:style w:val=""/>
        <w:category>
          <w:name w:val="General"/>
          <w:gallery w:val="placeholder"/>
        </w:category>
        <w:types>
          <w:type w:val="bbPlcHdr"/>
        </w:types>
        <w:behaviors>
          <w:behavior w:val="content"/>
        </w:behaviors>
        <w:description w:val=""/>
        <w:guid w:val="{C88211EC-0A76-4488-81DF-ACCE0C11B4D6}"/>
      </w:docPartPr>
      <w:docPartBody>
        <w:p>
          <w:pPr>
            <w:pStyle w:val="5"/>
          </w:pPr>
          <w:r>
            <w:rPr>
              <w:rStyle w:val="4"/>
            </w:rPr>
            <w:t>Click or tap here to enter text.</w:t>
          </w:r>
        </w:p>
      </w:docPartBody>
    </w:docPart>
  </w:docParts>
</w:glossaryDocument>
</file>

<file path=word/glossary/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等线">
    <w:altName w:val="Microsoft YaHei"/>
    <w:panose1 w:val="00000000000000000000"/>
    <w:charset w:val="86"/>
    <w:family w:val="auto"/>
    <w:pitch w:val="default"/>
    <w:sig w:usb0="00000000" w:usb1="00000000" w:usb2="00000000" w:usb3="00000000" w:csb0="00000000" w:csb1="00000000"/>
  </w:font>
  <w:font w:name="Microsoft YaHei">
    <w:panose1 w:val="020B0503020204020204"/>
    <w:charset w:val="86"/>
    <w:family w:val="auto"/>
    <w:pitch w:val="default"/>
    <w:sig w:usb0="80000287" w:usb1="2ACF3C50" w:usb2="00000016" w:usb3="00000000" w:csb0="0004001F" w:csb1="00000000"/>
  </w:font>
  <w:font w:name="等线">
    <w:altName w:val="Arial Unicode MS"/>
    <w:panose1 w:val="00000000000000000000"/>
    <w:charset w:val="86"/>
    <w:family w:val="auto"/>
    <w:pitch w:val="default"/>
    <w:sig w:usb0="00000000" w:usb1="00000000" w:usb2="00000000" w:usb3="00000000" w:csb0="00000000" w:csb1="00000000"/>
  </w:font>
</w:fonts>
</file>

<file path=word/glossary/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0">
    <w:p>
      <w:pPr>
        <w:spacing w:before="0" w:after="0" w:line="259" w:lineRule="auto"/>
      </w:pPr>
      <w:r>
        <w:separator/>
      </w:r>
    </w:p>
  </w:footnote>
  <w:footnote w:type="continuationSeparator" w:id="1">
    <w:p>
      <w:pPr>
        <w:spacing w:before="0" w:after="0" w:line="259" w:lineRule="auto"/>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defaultTabStop w:val="720"/>
  <w:characterSpacingControl w:val="doNotCompress"/>
  <w:footnotePr>
    <w:footnote w:id="0"/>
    <w:footnote w:id="1"/>
  </w:footnotePr>
  <w:endnotePr>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1F0A73"/>
    <w:rsid w:val="002556F5"/>
    <w:rsid w:val="00296525"/>
    <w:rsid w:val="0036646D"/>
    <w:rsid w:val="006153AA"/>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glossary/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heme="minorHAnsi" w:hAnsiTheme="minorHAnsi" w:eastAsiaTheme="minorEastAsia" w:cstheme="minorBidi"/>
      </w:rPr>
    </w:rPrDefault>
    <w:pPrDefault/>
  </w:docDefaults>
  <w:latentStyles w:count="260" w:defQFormat="0" w:defUnhideWhenUsed="1" w:defSemiHidden="1" w:defUIPriority="99" w:defLockedState="0">
    <w:lsdException w:qFormat="1" w:unhideWhenUsed="0" w:uiPriority="0" w:semiHidden="0" w:name="Normal"/>
    <w:lsdException w:qFormat="1" w:uiPriority="1" w:name="Default Paragraph Font"/>
    <w:lsdException w:qFormat="1" w:uiPriority="99" w:name="Normal Table"/>
    <w:lsdException w:qFormat="1" w:unhideWhenUsed="0" w:uiPriority="99" w:name="Placeholder Text"/>
  </w:latentStyles>
  <w:style w:type="paragraph" w:default="1" w:styleId="1">
    <w:name w:val="Normal"/>
    <w:qFormat/>
    <w:uiPriority w:val="0"/>
    <w:pPr>
      <w:spacing w:after="160" w:line="259" w:lineRule="auto"/>
    </w:pPr>
    <w:rPr>
      <w:rFonts w:asciiTheme="minorHAnsi" w:hAnsiTheme="minorHAnsi" w:eastAsiaTheme="minorEastAsia" w:cstheme="minorBidi"/>
      <w:sz w:val="22"/>
      <w:szCs w:val="22"/>
      <w:lang w:val="en-US" w:eastAsia="en-US" w:bidi="ar-SA"/>
    </w:rPr>
  </w:style>
  <w:style w:type="character" w:default="1" w:styleId="2">
    <w:name w:val="Default Paragraph Font"/>
    <w:semiHidden/>
    <w:unhideWhenUsed/>
    <w:qFormat/>
    <w:uiPriority w:val="1"/>
  </w:style>
  <w:style w:type="table" w:default="1" w:styleId="3">
    <w:name w:val="Normal Table"/>
    <w:semiHidden/>
    <w:unhideWhenUsed/>
    <w:qFormat/>
    <w:uiPriority w:val="99"/>
    <w:tblPr>
      <w:tblCellMar>
        <w:top w:w="0" w:type="dxa"/>
        <w:left w:w="108" w:type="dxa"/>
        <w:bottom w:w="0" w:type="dxa"/>
        <w:right w:w="108" w:type="dxa"/>
      </w:tblCellMar>
    </w:tblPr>
  </w:style>
  <w:style w:type="character" w:styleId="4">
    <w:name w:val="Placeholder Text"/>
    <w:basedOn w:val="2"/>
    <w:semiHidden/>
    <w:qFormat/>
    <w:uiPriority w:val="99"/>
    <w:rPr>
      <w:color w:val="808080"/>
    </w:rPr>
  </w:style>
  <w:style w:type="paragraph" w:customStyle="1" w:styleId="5">
    <w:name w:val="6579C099C5094C30AA228610665230E0"/>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6">
    <w:name w:val="AC4C4D2681C1478B808B26B73E0AC72E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7">
    <w:name w:val="DB7371FC7ED840DFBDF71FAA6B56F845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8">
    <w:name w:val="BE0DD80F803347FDB216398955CD3FB9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9">
    <w:name w:val="56518A61C4FB476588FF84435CA4EDBA2"/>
    <w:qFormat/>
    <w:uiPriority w:val="0"/>
    <w:pPr>
      <w:spacing w:after="160" w:line="259" w:lineRule="auto"/>
    </w:pPr>
    <w:rPr>
      <w:rFonts w:asciiTheme="minorHAnsi" w:hAnsiTheme="minorHAnsi" w:eastAsiaTheme="minorHAnsi" w:cstheme="minorBidi"/>
      <w:sz w:val="22"/>
      <w:szCs w:val="22"/>
      <w:lang w:val="en-US" w:eastAsia="en-US" w:bidi="ar-SA"/>
    </w:rPr>
  </w:style>
</w:style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2.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p:properties xmlns:p="http://schemas.microsoft.com/office/2006/metadata/properties" xmlns:xsi="http://www.w3.org/2001/XMLSchema-instance" xmlns:pc="http://schemas.microsoft.com/office/infopath/2007/PartnerControls">
  <documentManagement/>
</p:properties>
</file>

<file path=customXml/itemProps1.xml><?xml version="1.0" encoding="utf-8"?>
<ds:datastoreItem xmlns:ds="http://schemas.openxmlformats.org/officeDocument/2006/customXml" ds:itemID="{EB1C2039-A1E2-420D-9A37-E0F60F4991A9}">
  <ds:schemaRefs/>
</ds:datastoreItem>
</file>

<file path=customXml/itemProps2.xml><?xml version="1.0" encoding="utf-8"?>
<ds:datastoreItem xmlns:ds="http://schemas.openxmlformats.org/officeDocument/2006/customXml" ds:itemID="{4712825F-F8FB-47DE-B6A1-8CCC6E07E218}">
  <ds:schemaRefs/>
</ds:datastoreItem>
</file>

<file path=customXml/itemProps3.xml><?xml version="1.0" encoding="utf-8"?>
<ds:datastoreItem xmlns:ds="http://schemas.openxmlformats.org/officeDocument/2006/customXml" ds:itemID="{1ED1DF50-B557-40DB-AB1D-53089885C6E0}">
  <ds:schemaRefs/>
</ds:datastoreItem>
</file>

<file path=customXml/itemProps4.xml><?xml version="1.0" encoding="utf-8"?>
<ds:datastoreItem xmlns:ds="http://schemas.openxmlformats.org/officeDocument/2006/customXml" ds:itemID="{57E59553-E217-482E-8EE7-C905E1600DAA}">
  <ds:schemaRefs/>
</ds:datastoreItem>
</file>

<file path=docProps/app.xml><?xml version="1.0" encoding="utf-8"?>
<Properties xmlns="http://schemas.openxmlformats.org/officeDocument/2006/extended-properties" xmlns:vt="http://schemas.openxmlformats.org/officeDocument/2006/docPropsVTypes">
  <Template>Normal.dotm</Template>
  <Company>JCON</Company>
  <Pages>1</Pages>
  <Words>218729</Words>
  <Characters>1246759</Characters>
  <Lines>10389</Lines>
  <Paragraphs>2925</Paragraphs>
  <TotalTime>1</TotalTime>
  <ScaleCrop>false</ScaleCrop>
  <LinksUpToDate>false</LinksUpToDate>
  <CharactersWithSpaces>1462563</CharactersWithSpaces>
  <Application>WPS Office_11.2.0.11380_F1E327BC-269C-435d-A152-05C5408002CA</Application>
  <DocSecurity>8</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2021-10-18T15:14:00Z</dcterms:created>
  <dc:creator>Fanning, Stephen B (JMD)</dc:creator>
  <cp:lastModifiedBy>Doreen</cp:lastModifiedBy>
  <cp:lastPrinted>2020-04-16T14:23:00Z</cp:lastPrinted>
  <dcterms:modified xsi:type="dcterms:W3CDTF">2022-11-14T04:49:22Z</dcterms:modified>
  <cp:revision>5</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1033-11.2.0.11380</vt:lpwstr>
  </property>
  <property fmtid="{D5CDD505-2E9C-101B-9397-08002B2CF9AE}" pid="4" name="ICV">
    <vt:lpwstr>B432B58F1FE24D8FBDADCBC7598DED22</vt:lpwstr>
  </property>
</Properties>
</file>