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8.9.1 Tourism direct GDP as a proportion of total GDP [8.9.1] (ST_GDP_ZS)</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3071"/>
            <w:bookmarkStart w:id="5" w:name="_Toc36812571"/>
            <w:bookmarkStart w:id="6" w:name="_Toc36812684"/>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Goal 8: Promote sustained, inclusive and sustainable economic growth, full and productive employment and decent work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Target 8.9: By 2030, devise and implement policies to promote sustainable tourism that creates jobs and promotes local culture and products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rFonts w:hint="default" w:ascii="Calibri" w:hAnsi="Calibri" w:eastAsia="SimSun" w:cs="Calibri"/>
                <w:i w:val="0"/>
                <w:iCs w:val="0"/>
                <w:caps w:val="0"/>
                <w:color w:val="000000"/>
                <w:spacing w:val="0"/>
                <w:sz w:val="22"/>
                <w:szCs w:val="22"/>
              </w:rPr>
              <w:t>Indicator 8.9.1: Tourism direct GDP as a proportion of total GDP and in growth rate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Contribution of hotel and restaurant sub-sector to GDP</w:t>
            </w:r>
          </w:p>
          <w:p>
            <w:pPr>
              <w:rPr>
                <w:rFonts w:ascii="Helvetica" w:hAnsi="Helvetica" w:eastAsia="Helvetica" w:cs="Helvetica"/>
                <w:i w:val="0"/>
                <w:iCs w:val="0"/>
                <w:caps w:val="0"/>
                <w:color w:val="0B0C0C"/>
                <w:spacing w:val="0"/>
                <w:sz w:val="12"/>
                <w:szCs w:val="12"/>
                <w:shd w:val="clear" w:fill="FFFFFF"/>
              </w:rPr>
            </w:pPr>
            <w:r>
              <w:rPr>
                <w:rFonts w:hint="default" w:eastAsia="Helvetica" w:cs="Helvetica" w:asciiTheme="minorAscii" w:hAnsiTheme="minorAscii"/>
                <w:i w:val="0"/>
                <w:iCs w:val="0"/>
                <w:caps w:val="0"/>
                <w:color w:val="0B0C0C"/>
                <w:spacing w:val="0"/>
                <w:sz w:val="22"/>
                <w:szCs w:val="22"/>
                <w:shd w:val="clear" w:fill="FFFFFF"/>
              </w:rPr>
              <w:t>Growth rate of hotel and restaurant sub-sector</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12.b.1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World Tourism Organization (UNWTO)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3072"/>
            <w:bookmarkStart w:id="10" w:name="_Toc36812685"/>
            <w:bookmarkStart w:id="11" w:name="_Toc368125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7932745"/>
            <w:bookmarkStart w:id="15" w:name="_Toc36813073"/>
            <w:bookmarkStart w:id="16" w:name="_Toc368125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b/>
                <w:bCs/>
                <w:i w:val="0"/>
                <w:iCs w:val="0"/>
                <w:caps w:val="0"/>
                <w:color w:val="000000"/>
                <w:spacing w:val="0"/>
                <w:sz w:val="22"/>
                <w:szCs w:val="22"/>
              </w:rPr>
              <w:t>Definition:</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 xml:space="preserve">Tourism Direct GDP (TDGDP) is defined as the sum of the part of gross value added (at basic prices) generated by all industries in response to internal tourism consumption plus the amount of net taxes on products and imports included within the value of this expenditure at purchasers’ prices. The indicator relies on the </w:t>
            </w:r>
            <w:r>
              <w:rPr>
                <w:rFonts w:hint="default" w:cs="Times New Roman" w:asciiTheme="minorAscii" w:hAnsiTheme="minorAscii"/>
                <w:i w:val="0"/>
                <w:iCs w:val="0"/>
                <w:caps w:val="0"/>
                <w:color w:val="000000"/>
                <w:spacing w:val="0"/>
                <w:sz w:val="22"/>
                <w:szCs w:val="22"/>
              </w:rPr>
              <w:fldChar w:fldCharType="begin"/>
            </w:r>
            <w:r>
              <w:rPr>
                <w:rFonts w:hint="default" w:cs="Times New Roman" w:asciiTheme="minorAscii" w:hAnsiTheme="minorAscii"/>
                <w:i w:val="0"/>
                <w:iCs w:val="0"/>
                <w:caps w:val="0"/>
                <w:color w:val="000000"/>
                <w:spacing w:val="0"/>
                <w:sz w:val="22"/>
                <w:szCs w:val="22"/>
              </w:rPr>
              <w:instrText xml:space="preserve"> HYPERLINK "https://unstats.un.org/unsd/publication/seriesf/seriesf_80rev1e.pdf" </w:instrText>
            </w:r>
            <w:r>
              <w:rPr>
                <w:rFonts w:hint="default" w:cs="Times New Roman" w:asciiTheme="minorAscii" w:hAnsiTheme="minorAscii"/>
                <w:i w:val="0"/>
                <w:iCs w:val="0"/>
                <w:caps w:val="0"/>
                <w:color w:val="000000"/>
                <w:spacing w:val="0"/>
                <w:sz w:val="22"/>
                <w:szCs w:val="22"/>
              </w:rPr>
              <w:fldChar w:fldCharType="separate"/>
            </w:r>
            <w:r>
              <w:rPr>
                <w:rStyle w:val="18"/>
                <w:rFonts w:hint="default" w:cs="Times New Roman" w:asciiTheme="minorAscii" w:hAnsiTheme="minorAscii"/>
                <w:i w:val="0"/>
                <w:iCs w:val="0"/>
                <w:caps w:val="0"/>
                <w:color w:val="000000"/>
                <w:spacing w:val="0"/>
                <w:sz w:val="22"/>
                <w:szCs w:val="22"/>
              </w:rPr>
              <w:t>Tourism Satellite Account: Recommended Methodological Framework 2008</w:t>
            </w:r>
            <w:r>
              <w:rPr>
                <w:rFonts w:hint="default" w:cs="Times New Roman" w:asciiTheme="minorAscii" w:hAnsiTheme="minorAscii"/>
                <w:i w:val="0"/>
                <w:iCs w:val="0"/>
                <w:caps w:val="0"/>
                <w:color w:val="000000"/>
                <w:spacing w:val="0"/>
                <w:sz w:val="22"/>
                <w:szCs w:val="22"/>
              </w:rPr>
              <w:fldChar w:fldCharType="end"/>
            </w:r>
            <w:r>
              <w:rPr>
                <w:rFonts w:hint="default" w:cs="Times New Roman" w:asciiTheme="minorAscii" w:hAnsiTheme="minorAscii"/>
                <w:i w:val="0"/>
                <w:iCs w:val="0"/>
                <w:caps w:val="0"/>
                <w:color w:val="000000"/>
                <w:spacing w:val="0"/>
                <w:sz w:val="22"/>
                <w:szCs w:val="22"/>
              </w:rPr>
              <w:t>, an international</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standard adopted by the UN Statistical Commission</w:t>
            </w:r>
            <w:r>
              <w:rPr>
                <w:rFonts w:hint="default" w:cs="Times New Roman" w:asciiTheme="minorAscii" w:hAnsiTheme="minorAscii"/>
                <w:i w:val="0"/>
                <w:iCs w:val="0"/>
                <w:caps w:val="0"/>
                <w:color w:val="000000"/>
                <w:spacing w:val="0"/>
                <w:sz w:val="22"/>
                <w:szCs w:val="22"/>
                <w:lang w:val="en-CA"/>
              </w:rPr>
              <w:t>.</w:t>
            </w:r>
            <w:r>
              <w:rPr>
                <w:rFonts w:hint="default" w:cs="Times New Roman" w:asciiTheme="minorAscii" w:hAnsiTheme="minorAscii"/>
                <w:i w:val="0"/>
                <w:iCs w:val="0"/>
                <w:caps w:val="0"/>
                <w:color w:val="000000"/>
                <w:spacing w:val="0"/>
                <w:sz w:val="22"/>
                <w:szCs w:val="22"/>
              </w:rPr>
              <w:t xml:space="preserve"> </w:t>
            </w:r>
          </w:p>
          <w:p>
            <w:pPr>
              <w:pStyle w:val="19"/>
              <w:keepNext w:val="0"/>
              <w:keepLines w:val="0"/>
              <w:widowControl/>
              <w:suppressLineNumbers w:val="0"/>
              <w:ind w:left="0" w:firstLine="0"/>
              <w:rPr>
                <w:rFonts w:hint="default" w:cs="Times New Roman" w:asciiTheme="minorAscii" w:hAnsiTheme="minorAscii"/>
                <w:b/>
                <w:bCs/>
                <w:i w:val="0"/>
                <w:iCs w:val="0"/>
                <w:caps w:val="0"/>
                <w:color w:val="000000"/>
                <w:spacing w:val="0"/>
                <w:sz w:val="22"/>
                <w:szCs w:val="22"/>
              </w:rPr>
            </w:pPr>
            <w:r>
              <w:rPr>
                <w:rFonts w:hint="default" w:cs="Times New Roman" w:asciiTheme="minorAscii" w:hAnsiTheme="minorAscii"/>
                <w:b/>
                <w:bCs/>
                <w:i w:val="0"/>
                <w:iCs w:val="0"/>
                <w:caps w:val="0"/>
                <w:color w:val="000000"/>
                <w:spacing w:val="0"/>
                <w:sz w:val="22"/>
                <w:szCs w:val="22"/>
              </w:rPr>
              <w:t>Concepts:</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lang w:val="en-CA"/>
              </w:rPr>
            </w:pPr>
            <w:r>
              <w:rPr>
                <w:rFonts w:hint="default" w:cs="Times New Roman" w:asciiTheme="minorAscii" w:hAnsiTheme="minorAscii"/>
                <w:i w:val="0"/>
                <w:iCs w:val="0"/>
                <w:caps w:val="0"/>
                <w:color w:val="000000"/>
                <w:spacing w:val="0"/>
                <w:sz w:val="22"/>
                <w:szCs w:val="22"/>
              </w:rPr>
              <w:t>Tourism direct gross value added (TDGVA) is the part of gross value added generated by tourism industries and other industries of the economy that directly serve visitors in response to internal tourism consumption.</w:t>
            </w:r>
            <w:r>
              <w:rPr>
                <w:rFonts w:hint="default" w:cs="Times New Roman" w:asciiTheme="minorAscii" w:hAnsiTheme="minorAscii"/>
                <w:i w:val="0"/>
                <w:iCs w:val="0"/>
                <w:caps w:val="0"/>
                <w:color w:val="000000"/>
                <w:spacing w:val="0"/>
                <w:sz w:val="22"/>
                <w:szCs w:val="22"/>
                <w:lang w:val="en-CA"/>
              </w:rPr>
              <w:t xml:space="preserve"> </w:t>
            </w:r>
          </w:p>
          <w:p>
            <w:pPr>
              <w:pStyle w:val="19"/>
              <w:keepNext w:val="0"/>
              <w:keepLines w:val="0"/>
              <w:widowControl/>
              <w:suppressLineNumbers w:val="0"/>
              <w:ind w:left="0" w:firstLine="0"/>
            </w:pPr>
            <w:r>
              <w:rPr>
                <w:rFonts w:hint="default" w:cs="Times New Roman" w:asciiTheme="minorAscii" w:hAnsiTheme="minorAscii"/>
                <w:i w:val="0"/>
                <w:iCs w:val="0"/>
                <w:caps w:val="0"/>
                <w:color w:val="000000"/>
                <w:spacing w:val="0"/>
                <w:sz w:val="22"/>
                <w:szCs w:val="22"/>
              </w:rPr>
              <w:t xml:space="preserve">Gross Domestic Product (GDP): It is the main measure of national output, representing the total value of all final goods and services within the </w:t>
            </w:r>
            <w:r>
              <w:rPr>
                <w:rFonts w:hint="default" w:cs="Times New Roman" w:asciiTheme="minorAscii" w:hAnsiTheme="minorAscii"/>
                <w:i w:val="0"/>
                <w:iCs w:val="0"/>
                <w:caps w:val="0"/>
                <w:color w:val="000000"/>
                <w:spacing w:val="0"/>
                <w:sz w:val="22"/>
                <w:szCs w:val="22"/>
                <w:u w:val="none"/>
              </w:rPr>
              <w:t xml:space="preserve">System of National Accounts (SNA) production boundary </w:t>
            </w:r>
            <w:r>
              <w:rPr>
                <w:rFonts w:hint="default" w:cs="Times New Roman" w:asciiTheme="minorAscii" w:hAnsiTheme="minorAscii"/>
                <w:i w:val="0"/>
                <w:iCs w:val="0"/>
                <w:caps w:val="0"/>
                <w:color w:val="000000"/>
                <w:spacing w:val="0"/>
                <w:sz w:val="22"/>
                <w:szCs w:val="22"/>
              </w:rPr>
              <w:t>produced in a particular economy (that is, the dollar value of all goods and services within the SNA production boundary produced within a country’s borders in a given year). GDP is also equal to the sum of the final uses of goods and services (all uses except intermediate consumption) measured at purchasers’ prices</w:t>
            </w:r>
            <w:r>
              <w:rPr>
                <w:rFonts w:hint="default" w:cs="Times New Roman" w:asciiTheme="minorAscii" w:hAnsiTheme="minorAscii"/>
                <w:i w:val="0"/>
                <w:iCs w:val="0"/>
                <w:caps w:val="0"/>
                <w:color w:val="000000"/>
                <w:spacing w:val="0"/>
                <w:sz w:val="22"/>
                <w:szCs w:val="22"/>
                <w:lang w:val="en-CA"/>
              </w:rPr>
              <w:t>.</w:t>
            </w:r>
            <w:r>
              <w:rPr>
                <w:rFonts w:hint="default" w:cs="Times New Roman" w:asciiTheme="minorAscii" w:hAnsiTheme="minorAscii"/>
                <w:i w:val="0"/>
                <w:iCs w:val="0"/>
                <w:caps w:val="0"/>
                <w:color w:val="000000"/>
                <w:spacing w:val="0"/>
                <w:sz w:val="22"/>
                <w:szCs w:val="22"/>
              </w:rPr>
              <w:t xml:space="preserve">  GDP is also equal to the sum of primary incomes distributed by resident producer units.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National Accounts, 2022</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688"/>
            <w:bookmarkStart w:id="22" w:name="_Toc36812575"/>
            <w:bookmarkStart w:id="23" w:name="_Toc36655612"/>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jc w:val="both"/>
            </w:pPr>
            <w:r>
              <w:rPr>
                <w:rFonts w:hint="default" w:cs="Times New Roman" w:asciiTheme="minorAscii" w:hAnsiTheme="minorAscii"/>
                <w:i w:val="0"/>
                <w:iCs w:val="0"/>
                <w:caps w:val="0"/>
                <w:color w:val="000000"/>
                <w:spacing w:val="0"/>
                <w:sz w:val="22"/>
                <w:szCs w:val="22"/>
                <w:lang w:val="en-CA"/>
              </w:rPr>
              <w:t xml:space="preserve">This </w:t>
            </w:r>
            <w:r>
              <w:rPr>
                <w:rFonts w:hint="default" w:cs="Times New Roman" w:asciiTheme="minorAscii" w:hAnsiTheme="minorAscii"/>
                <w:i w:val="0"/>
                <w:iCs w:val="0"/>
                <w:caps w:val="0"/>
                <w:color w:val="000000"/>
                <w:spacing w:val="0"/>
                <w:sz w:val="22"/>
                <w:szCs w:val="22"/>
              </w:rPr>
              <w:t>indicator caters to the core intention of the target which calls to “promote sustainable tourism”. While sustainable tourism is multidimensional in itself (with economic, social and environmental aspects), the economic contribution of tourism captured by this indicator, and (relative) increases or decreases in it, indicates the degree to which tourism is being successfully promoted. Ideally, this indicator needs to be complemented with additional indicators on the social (e.g. employment, etc.) and environmental (energy use, GHG emissions, etc.) aspects of tourism that can be disaggregated to provide a more complete picture of the promotion of sustainable tourism and thus the monitoring of this target.</w:t>
            </w:r>
            <w:r>
              <w:rPr>
                <w:rFonts w:hint="default" w:cs="Times New Roman" w:asciiTheme="minorAscii" w:hAnsiTheme="minorAscii"/>
                <w:i w:val="0"/>
                <w:iCs w:val="0"/>
                <w:caps w:val="0"/>
                <w:color w:val="000000"/>
                <w:spacing w:val="0"/>
                <w:sz w:val="22"/>
                <w:szCs w:val="22"/>
                <w:lang w:val="en-CA"/>
              </w:rPr>
              <w:t xml:space="preserve"> </w:t>
            </w:r>
            <w:r>
              <w:rPr>
                <w:rFonts w:hint="default" w:cs="Times New Roman" w:asciiTheme="minorAscii" w:hAnsiTheme="minorAscii"/>
                <w:i w:val="0"/>
                <w:iCs w:val="0"/>
                <w:caps w:val="0"/>
                <w:color w:val="000000"/>
                <w:spacing w:val="0"/>
                <w:sz w:val="22"/>
                <w:szCs w:val="22"/>
              </w:rPr>
              <w:t>This indicator is useful for polic</w:t>
            </w:r>
            <w:r>
              <w:rPr>
                <w:rFonts w:hint="default" w:cs="Times New Roman" w:asciiTheme="minorAscii" w:hAnsiTheme="minorAscii"/>
                <w:i w:val="0"/>
                <w:iCs w:val="0"/>
                <w:caps w:val="0"/>
                <w:color w:val="000000"/>
                <w:spacing w:val="0"/>
                <w:sz w:val="22"/>
                <w:szCs w:val="22"/>
                <w:lang w:val="en-CA"/>
              </w:rPr>
              <w:t>ies</w:t>
            </w:r>
            <w:r>
              <w:rPr>
                <w:rFonts w:hint="default" w:cs="Times New Roman" w:asciiTheme="minorAscii" w:hAnsiTheme="minorAscii"/>
                <w:i w:val="0"/>
                <w:iCs w:val="0"/>
                <w:caps w:val="0"/>
                <w:color w:val="000000"/>
                <w:spacing w:val="0"/>
                <w:sz w:val="22"/>
                <w:szCs w:val="22"/>
              </w:rPr>
              <w:t xml:space="preserve"> on tourism at international, national level and the level of sub-national regions as it provides a measure of the economic contribution of tourism</w:t>
            </w:r>
            <w:r>
              <w:rPr>
                <w:rFonts w:hint="default" w:cs="Times New Roman" w:asciiTheme="minorAscii" w:hAnsiTheme="minorAscii"/>
                <w:i w:val="0"/>
                <w:iCs w:val="0"/>
                <w:caps w:val="0"/>
                <w:color w:val="000000"/>
                <w:spacing w:val="0"/>
                <w:sz w:val="22"/>
                <w:szCs w:val="22"/>
                <w:lang w:val="en-CA"/>
              </w:rPr>
              <w:t>.</w:t>
            </w:r>
            <w:r>
              <w:rPr>
                <w:rFonts w:hint="default" w:cs="Times New Roman" w:asciiTheme="minorAscii" w:hAnsiTheme="minorAscii"/>
                <w:i w:val="0"/>
                <w:iCs w:val="0"/>
                <w:caps w:val="0"/>
                <w:color w:val="000000"/>
                <w:spacing w:val="0"/>
                <w:sz w:val="22"/>
                <w:szCs w:val="22"/>
              </w:rPr>
              <w:t xml:space="preserve"> The indicator has been found especially useful in raising awareness of the economic importance of tourism and making the case for a more proactive, sustainable management of a sector that is often overlooked in policy agendas at all levels.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689"/>
            <w:bookmarkStart w:id="27" w:name="_Toc37932748"/>
            <w:bookmarkStart w:id="28" w:name="_Toc36655613"/>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US"/>
              </w:rPr>
              <w:t>The</w:t>
            </w:r>
            <w:r>
              <w:rPr>
                <w:rFonts w:hint="default"/>
                <w:lang w:val="en-CA"/>
              </w:rPr>
              <w:t>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eastAsia="SimSun" w:cs="SimSun" w:asciiTheme="minorAscii" w:hAnsiTheme="minorAscii"/>
                <w:sz w:val="22"/>
                <w:szCs w:val="22"/>
                <w:lang w:val="en-CA"/>
              </w:rPr>
            </w:pPr>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r>
              <w:rPr>
                <w:rFonts w:hint="default" w:eastAsia="SimSun" w:cs="SimSun" w:asciiTheme="minorAscii" w:hAnsiTheme="minorAscii"/>
                <w:sz w:val="22"/>
                <w:szCs w:val="22"/>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AAC77E5"/>
    <w:rsid w:val="22C95CAC"/>
    <w:rsid w:val="2C6C4731"/>
    <w:rsid w:val="2E620413"/>
    <w:rsid w:val="3BF8170D"/>
    <w:rsid w:val="47A6529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35</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2022-11-15T08:29:07Z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84D3FBB21EA4477C818C0C0F0D984C0A</vt:lpwstr>
  </property>
</Properties>
</file>