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rPr>
                <w:rFonts w:hint="default"/>
                <w:lang w:val="en-CA"/>
              </w:rPr>
            </w:pPr>
            <w:r>
              <w:rPr>
                <w:rFonts w:eastAsia="Times New Roman" w:cs="Times New Roman"/>
                <w:lang w:eastAsia="en-GB"/>
              </w:rPr>
              <w:t>Goal 2: End hunger, achieve food security and improved nutrition, and promote sustainable agriculture</w:t>
            </w:r>
            <w:r>
              <w:rPr>
                <w:rFonts w:hint="default" w:eastAsia="Times New Roman" w:cs="Times New Roman"/>
                <w:lang w:val="en-CA" w:eastAsia="en-GB"/>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hint="default"/>
                <w:lang w:val="en-CA"/>
              </w:rPr>
            </w:pPr>
            <w:r>
              <w:rPr>
                <w:rFonts w:eastAsia="Times New Roman" w:cs="Times New Roman"/>
                <w:lang w:eastAsia="en-GB"/>
              </w:rPr>
              <w:t xml:space="preserve">Target 2.2: </w:t>
            </w:r>
            <w:r>
              <w:rPr>
                <w:rFonts w:hint="default" w:eastAsia="Times New Roman" w:cs="Times New Roman"/>
                <w:lang w:val="en-CA" w:eastAsia="en-GB"/>
              </w:rPr>
              <w:t>B</w:t>
            </w:r>
            <w:r>
              <w:rPr>
                <w:rFonts w:eastAsia="Times New Roman" w:cs="Times New Roman"/>
                <w:lang w:eastAsia="en-GB"/>
              </w:rPr>
              <w:t>y 2030 end all forms of malnutrition, including achieving</w:t>
            </w:r>
            <w:r>
              <w:rPr>
                <w:rFonts w:hint="default" w:eastAsia="Times New Roman" w:cs="Times New Roman"/>
                <w:lang w:val="en-CA" w:eastAsia="en-GB"/>
              </w:rPr>
              <w:t>,</w:t>
            </w:r>
            <w:r>
              <w:rPr>
                <w:rFonts w:eastAsia="Times New Roman" w:cs="Times New Roman"/>
                <w:lang w:eastAsia="en-GB"/>
              </w:rPr>
              <w:t xml:space="preserve"> by 202</w:t>
            </w:r>
            <w:r>
              <w:rPr>
                <w:rFonts w:hint="default" w:eastAsia="Times New Roman" w:cs="Times New Roman"/>
                <w:lang w:val="en-CA" w:eastAsia="en-GB"/>
              </w:rPr>
              <w:t>5,</w:t>
            </w:r>
            <w:r>
              <w:rPr>
                <w:rFonts w:eastAsia="Times New Roman" w:cs="Times New Roman"/>
                <w:lang w:eastAsia="en-GB"/>
              </w:rPr>
              <w:t xml:space="preserve"> the internationally agreed targets on stunting and wasting in children under </w:t>
            </w:r>
            <w:r>
              <w:rPr>
                <w:rFonts w:hint="default" w:eastAsia="Times New Roman" w:cs="Times New Roman"/>
                <w:lang w:val="en-CA" w:eastAsia="en-GB"/>
              </w:rPr>
              <w:t>5</w:t>
            </w:r>
            <w:r>
              <w:rPr>
                <w:rFonts w:eastAsia="Times New Roman" w:cs="Times New Roman"/>
                <w:lang w:eastAsia="en-GB"/>
              </w:rPr>
              <w:t xml:space="preserve"> years of age, and address the nutritional needs of adolescent girls, pregnant and lactating women and older persons</w:t>
            </w:r>
            <w:r>
              <w:rPr>
                <w:rFonts w:hint="default" w:eastAsia="Times New Roman" w:cs="Times New Roman"/>
                <w:lang w:val="en-CA" w:eastAsia="en-GB"/>
              </w:rPr>
              <w: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rFonts w:hint="default"/>
                <w:lang w:val="en-CA"/>
              </w:rPr>
            </w:pPr>
            <w:r>
              <w:rPr>
                <w:rFonts w:eastAsia="Times New Roman" w:cs="Times New Roman"/>
                <w:lang w:eastAsia="en-GB"/>
              </w:rPr>
              <w:t>Indicator 2.2.2: Prevalence of malnutrition (weight for height &gt;+2 or &lt;-2 standard deviation from the median of the WHO Child Growth Standards) among children under 5 years of age, by type (wasting and overweight)</w:t>
            </w:r>
            <w:r>
              <w:rPr>
                <w:rFonts w:hint="default" w:eastAsia="Times New Roman" w:cs="Times New Roman"/>
                <w:lang w:val="en-CA" w:eastAsia="en-GB"/>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Proportion of children moderately or severely overweight [2.2.2]</w:t>
            </w:r>
          </w:p>
          <w:p>
            <w:pPr>
              <w:rPr>
                <w:rFonts w:cstheme="minorHAnsi"/>
                <w:color w:val="0B0C0C"/>
                <w:shd w:val="clear" w:color="auto" w:fill="FFFFFF"/>
              </w:rPr>
            </w:pPr>
            <w:r>
              <w:rPr>
                <w:rFonts w:cstheme="minorHAnsi"/>
                <w:color w:val="0B0C0C"/>
                <w:shd w:val="clear" w:color="auto" w:fill="FFFFFF"/>
              </w:rPr>
              <w:t>Proportion of children moderately or severely wasted [2.2.2]</w:t>
            </w:r>
          </w:p>
          <w:p>
            <w:pPr>
              <w:rPr>
                <w:rFonts w:cstheme="minorHAnsi"/>
              </w:rPr>
            </w:pPr>
            <w:r>
              <w:rPr>
                <w:rFonts w:cstheme="minorHAnsi"/>
                <w:color w:val="0B0C0C"/>
                <w:shd w:val="clear" w:color="auto" w:fill="FFFFFF"/>
              </w:rPr>
              <w:t>Proportion of children underweight</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lang w:eastAsia="en-GB"/>
              </w:rPr>
            </w:pPr>
            <w:r>
              <w:rPr>
                <w:rFonts w:eastAsia="Times New Roman" w:cs="Times New Roman"/>
                <w:color w:val="4A4A4A"/>
                <w:lang w:eastAsia="en-GB"/>
              </w:rPr>
              <w:t>United Nations Children's Fund (UNICEF)</w:t>
            </w:r>
          </w:p>
          <w:p>
            <w:pPr>
              <w:shd w:val="clear" w:color="auto" w:fill="FFFFFF"/>
              <w:spacing w:after="0"/>
              <w:rPr>
                <w:rFonts w:eastAsia="Times New Roman" w:cs="Times New Roman"/>
                <w:color w:val="4A4A4A"/>
                <w:lang w:eastAsia="en-GB"/>
              </w:rPr>
            </w:pPr>
            <w:r>
              <w:rPr>
                <w:rFonts w:eastAsia="Times New Roman" w:cs="Times New Roman"/>
                <w:color w:val="4A4A4A"/>
                <w:lang w:eastAsia="en-GB"/>
              </w:rPr>
              <w:t>World Health Organization (WHO)</w:t>
            </w:r>
          </w:p>
          <w:p>
            <w:pPr>
              <w:shd w:val="clear" w:color="auto" w:fill="FFFFFF"/>
              <w:spacing w:after="0"/>
              <w:rPr>
                <w:rFonts w:eastAsia="Times New Roman" w:cs="Times New Roman"/>
                <w:color w:val="4A4A4A"/>
                <w:lang w:eastAsia="en-GB"/>
              </w:rPr>
            </w:pPr>
            <w:r>
              <w:rPr>
                <w:rFonts w:eastAsia="Times New Roman" w:cs="Times New Roman"/>
                <w:color w:val="4A4A4A"/>
                <w:lang w:eastAsia="en-GB"/>
              </w:rPr>
              <w:t>World Bank (WB)</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5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pPr>
              <w:rPr/>
            </w:pPr>
            <w:r>
              <w:rPr>
                <w:rFonts w:hint="default"/>
              </w:rPr>
              <w:t>The prevalence of undernourishment is an estimate of the proportion of the population whose habitual food consumption is insufficient to provide the dietary energy levels that are required to maintain a normal active and healthy life. It is expressed as a percentage.</w:t>
            </w:r>
          </w:p>
          <w:p>
            <w:pPr>
              <w:rPr>
                <w:rFonts w:hint="default"/>
              </w:rPr>
            </w:pPr>
            <w:r>
              <w:rPr>
                <w:rFonts w:hint="default"/>
              </w:rPr>
              <w:t>BMI is defined as weight (in kg) divided by height squared (in m2).</w:t>
            </w:r>
          </w:p>
          <w:p>
            <w:pPr>
              <w:rPr>
                <w:rFonts w:eastAsia="Times New Roman" w:cs="Times New Roman"/>
                <w:color w:val="4A4A4A"/>
                <w:lang w:eastAsia="en-GB"/>
              </w:rPr>
            </w:pPr>
            <w:r>
              <w:rPr>
                <w:rFonts w:eastAsia="Times New Roman" w:cs="Times New Roman"/>
                <w:color w:val="4A4A4A"/>
                <w:lang w:eastAsia="en-GB"/>
              </w:rPr>
              <w:t xml:space="preserve">Child wasting refers to a child who is too thin for his or her height and is the result of recent rapid weight loss or the failure to gain weight. A child who is moderately or severely wasted has an increased risk of death, but treatment is possible. Child growth is an internationally accepted outcome reflecting child nutritional status. </w:t>
            </w:r>
          </w:p>
          <w:p>
            <w:pPr>
              <w:rPr>
                <w:rFonts w:hint="default"/>
                <w:b/>
                <w:bCs/>
                <w:lang w:val="en-CA"/>
              </w:rPr>
            </w:pPr>
            <w:r>
              <w:rPr>
                <w:rFonts w:hint="default"/>
                <w:b/>
                <w:bCs/>
                <w:lang w:val="en-CA"/>
              </w:rPr>
              <w:t>Concepts:</w:t>
            </w:r>
          </w:p>
          <w:p>
            <w:pPr>
              <w:rPr>
                <w:rFonts w:hint="default"/>
                <w:b/>
                <w:bCs/>
                <w:lang w:val="en-CA"/>
              </w:rPr>
            </w:pPr>
            <w:r>
              <w:rPr>
                <w:rFonts w:hint="default"/>
                <w:b w:val="0"/>
                <w:bCs w:val="0"/>
                <w:lang w:val="en-CA"/>
              </w:rPr>
              <w:t>Overweight can however also be assessed with other indicators such body mass index for age. In general BMI for age is not used in the joint dataset but has been considered in absence of any other available estimates.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Arial" w:cs="Arial" w:asciiTheme="minorAscii" w:hAnsiTheme="minorAscii"/>
                <w:iCs/>
                <w:sz w:val="22"/>
                <w:szCs w:val="22"/>
                <w:lang w:val="en-CA"/>
              </w:rPr>
            </w:pPr>
            <w:r>
              <w:rPr>
                <w:rFonts w:hint="default" w:eastAsia="Arial" w:cs="Arial" w:asciiTheme="minorAscii" w:hAnsiTheme="minorAscii"/>
                <w:iCs/>
                <w:sz w:val="22"/>
                <w:szCs w:val="22"/>
              </w:rPr>
              <w:t>Ghana M</w:t>
            </w:r>
            <w:r>
              <w:rPr>
                <w:rFonts w:hint="default" w:eastAsia="Arial" w:cs="Arial" w:asciiTheme="minorAscii" w:hAnsiTheme="minorAscii"/>
                <w:iCs/>
                <w:sz w:val="22"/>
                <w:szCs w:val="22"/>
                <w:lang w:val="en-CA"/>
              </w:rPr>
              <w:t xml:space="preserve">ultiple </w:t>
            </w:r>
            <w:r>
              <w:rPr>
                <w:rFonts w:hint="default" w:eastAsia="Arial" w:cs="Arial" w:asciiTheme="minorAscii" w:hAnsiTheme="minorAscii"/>
                <w:iCs/>
                <w:sz w:val="22"/>
                <w:szCs w:val="22"/>
              </w:rPr>
              <w:t>I</w:t>
            </w:r>
            <w:r>
              <w:rPr>
                <w:rFonts w:hint="default" w:eastAsia="Arial" w:cs="Arial" w:asciiTheme="minorAscii" w:hAnsiTheme="minorAscii"/>
                <w:iCs/>
                <w:sz w:val="22"/>
                <w:szCs w:val="22"/>
                <w:lang w:val="en-CA"/>
              </w:rPr>
              <w:t xml:space="preserve">ndicator </w:t>
            </w:r>
            <w:r>
              <w:rPr>
                <w:rFonts w:hint="default" w:eastAsia="Arial" w:cs="Arial" w:asciiTheme="minorAscii" w:hAnsiTheme="minorAscii"/>
                <w:iCs/>
                <w:sz w:val="22"/>
                <w:szCs w:val="22"/>
              </w:rPr>
              <w:t>C</w:t>
            </w:r>
            <w:r>
              <w:rPr>
                <w:rFonts w:hint="default" w:eastAsia="Arial" w:cs="Arial" w:asciiTheme="minorAscii" w:hAnsiTheme="minorAscii"/>
                <w:iCs/>
                <w:sz w:val="22"/>
                <w:szCs w:val="22"/>
                <w:lang w:val="en-CA"/>
              </w:rPr>
              <w:t xml:space="preserve">luster </w:t>
            </w:r>
            <w:r>
              <w:rPr>
                <w:rFonts w:hint="default" w:eastAsia="Arial" w:cs="Arial" w:asciiTheme="minorAscii" w:hAnsiTheme="minorAscii"/>
                <w:iCs/>
                <w:sz w:val="22"/>
                <w:szCs w:val="22"/>
              </w:rPr>
              <w:t>S</w:t>
            </w:r>
            <w:r>
              <w:rPr>
                <w:rFonts w:hint="default" w:eastAsia="Arial" w:cs="Arial" w:asciiTheme="minorAscii" w:hAnsiTheme="minorAscii"/>
                <w:iCs/>
                <w:sz w:val="22"/>
                <w:szCs w:val="22"/>
                <w:lang w:val="en-CA"/>
              </w:rPr>
              <w:t>urvey (MICS)</w:t>
            </w:r>
            <w:r>
              <w:rPr>
                <w:rFonts w:hint="default" w:eastAsia="Arial" w:cs="Arial" w:asciiTheme="minorAscii" w:hAnsiTheme="minorAscii"/>
                <w:iCs/>
                <w:sz w:val="22"/>
                <w:szCs w:val="22"/>
              </w:rPr>
              <w:t>,</w:t>
            </w:r>
            <w:r>
              <w:rPr>
                <w:rFonts w:hint="default" w:eastAsia="Arial" w:cs="Arial" w:asciiTheme="minorAscii" w:hAnsiTheme="minorAscii"/>
                <w:iCs/>
                <w:sz w:val="22"/>
                <w:szCs w:val="22"/>
                <w:lang w:val="en-CA"/>
              </w:rPr>
              <w:t xml:space="preserve"> 2011</w:t>
            </w:r>
          </w:p>
          <w:p>
            <w:pPr>
              <w:rPr>
                <w:rFonts w:hint="default" w:eastAsia="Arial" w:cs="Arial" w:asciiTheme="minorAscii" w:hAnsiTheme="minorAscii"/>
                <w:i w:val="0"/>
                <w:iCs/>
                <w:sz w:val="22"/>
                <w:szCs w:val="22"/>
              </w:rPr>
            </w:pPr>
            <w:r>
              <w:rPr>
                <w:rFonts w:hint="default" w:eastAsia="Arial" w:cs="Arial" w:asciiTheme="minorAscii" w:hAnsiTheme="minorAscii"/>
                <w:i w:val="0"/>
                <w:iCs/>
                <w:sz w:val="22"/>
                <w:szCs w:val="22"/>
              </w:rPr>
              <w:t>G</w:t>
            </w:r>
            <w:r>
              <w:rPr>
                <w:rFonts w:hint="default" w:eastAsia="Arial" w:cs="Arial" w:asciiTheme="minorAscii" w:hAnsiTheme="minorAscii"/>
                <w:i w:val="0"/>
                <w:iCs/>
                <w:sz w:val="22"/>
                <w:szCs w:val="22"/>
                <w:lang w:val="en-CA"/>
              </w:rPr>
              <w:t xml:space="preserve">hana </w:t>
            </w:r>
            <w:r>
              <w:rPr>
                <w:rFonts w:hint="default" w:eastAsia="Arial" w:cs="Arial" w:asciiTheme="minorAscii" w:hAnsiTheme="minorAscii"/>
                <w:i w:val="0"/>
                <w:iCs/>
                <w:sz w:val="22"/>
                <w:szCs w:val="22"/>
              </w:rPr>
              <w:t>D</w:t>
            </w:r>
            <w:r>
              <w:rPr>
                <w:rFonts w:hint="default" w:eastAsia="Arial" w:cs="Arial" w:asciiTheme="minorAscii" w:hAnsiTheme="minorAscii"/>
                <w:i w:val="0"/>
                <w:iCs/>
                <w:sz w:val="22"/>
                <w:szCs w:val="22"/>
                <w:lang w:val="en-CA"/>
              </w:rPr>
              <w:t xml:space="preserve">emographic and </w:t>
            </w:r>
            <w:r>
              <w:rPr>
                <w:rFonts w:hint="default" w:eastAsia="Arial" w:cs="Arial" w:asciiTheme="minorAscii" w:hAnsiTheme="minorAscii"/>
                <w:i w:val="0"/>
                <w:iCs/>
                <w:sz w:val="22"/>
                <w:szCs w:val="22"/>
              </w:rPr>
              <w:t>H</w:t>
            </w:r>
            <w:r>
              <w:rPr>
                <w:rFonts w:hint="default" w:eastAsia="Arial" w:cs="Arial" w:asciiTheme="minorAscii" w:hAnsiTheme="minorAscii"/>
                <w:i w:val="0"/>
                <w:iCs/>
                <w:sz w:val="22"/>
                <w:szCs w:val="22"/>
                <w:lang w:val="en-CA"/>
              </w:rPr>
              <w:t xml:space="preserve">ealth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(GDHS),</w:t>
            </w:r>
            <w:r>
              <w:rPr>
                <w:rFonts w:hint="default" w:eastAsia="Arial" w:cs="Arial" w:asciiTheme="minorAscii" w:hAnsiTheme="minorAscii"/>
                <w:i w:val="0"/>
                <w:iCs/>
                <w:sz w:val="22"/>
                <w:szCs w:val="22"/>
              </w:rPr>
              <w:t xml:space="preserve"> 2014</w:t>
            </w:r>
          </w:p>
          <w:p>
            <w:pPr>
              <w:rPr>
                <w:rFonts w:cstheme="minorHAnsi"/>
              </w:rPr>
            </w:pPr>
            <w:r>
              <w:rPr>
                <w:rFonts w:hint="default" w:eastAsia="Arial" w:cs="Arial" w:asciiTheme="minorAscii" w:hAnsiTheme="minorAscii"/>
                <w:i w:val="0"/>
                <w:iCs/>
                <w:sz w:val="22"/>
                <w:szCs w:val="22"/>
              </w:rPr>
              <w:t>Ghana M</w:t>
            </w:r>
            <w:r>
              <w:rPr>
                <w:rFonts w:hint="default" w:eastAsia="Arial" w:cs="Arial" w:asciiTheme="minorAscii" w:hAnsiTheme="minorAscii"/>
                <w:i w:val="0"/>
                <w:iCs/>
                <w:sz w:val="22"/>
                <w:szCs w:val="22"/>
                <w:lang w:val="en-CA"/>
              </w:rPr>
              <w:t xml:space="preserve">ultiple </w:t>
            </w:r>
            <w:r>
              <w:rPr>
                <w:rFonts w:hint="default" w:eastAsia="Arial" w:cs="Arial" w:asciiTheme="minorAscii" w:hAnsiTheme="minorAscii"/>
                <w:i w:val="0"/>
                <w:iCs/>
                <w:sz w:val="22"/>
                <w:szCs w:val="22"/>
              </w:rPr>
              <w:t>I</w:t>
            </w:r>
            <w:r>
              <w:rPr>
                <w:rFonts w:hint="default" w:eastAsia="Arial" w:cs="Arial" w:asciiTheme="minorAscii" w:hAnsiTheme="minorAscii"/>
                <w:i w:val="0"/>
                <w:iCs/>
                <w:sz w:val="22"/>
                <w:szCs w:val="22"/>
                <w:lang w:val="en-CA"/>
              </w:rPr>
              <w:t xml:space="preserve">ndicator </w:t>
            </w:r>
            <w:r>
              <w:rPr>
                <w:rFonts w:hint="default" w:eastAsia="Arial" w:cs="Arial" w:asciiTheme="minorAscii" w:hAnsiTheme="minorAscii"/>
                <w:i w:val="0"/>
                <w:iCs/>
                <w:sz w:val="22"/>
                <w:szCs w:val="22"/>
              </w:rPr>
              <w:t>C</w:t>
            </w:r>
            <w:r>
              <w:rPr>
                <w:rFonts w:hint="default" w:eastAsia="Arial" w:cs="Arial" w:asciiTheme="minorAscii" w:hAnsiTheme="minorAscii"/>
                <w:i w:val="0"/>
                <w:iCs/>
                <w:sz w:val="22"/>
                <w:szCs w:val="22"/>
                <w:lang w:val="en-CA"/>
              </w:rPr>
              <w:t xml:space="preserve">luster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(MICS),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r>
              <w:rPr>
                <w:rFonts w:hint="default"/>
                <w:lang w:val="en-CA"/>
              </w:rPr>
              <w:t xml:space="preserve"> (GSS)</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688"/>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lang w:eastAsia="en-GB"/>
              </w:rPr>
              <w:t xml:space="preserve">Survey estimates come with levels of uncertainty due to both sampling error and non-sampling error (e.g. </w:t>
            </w:r>
            <w:r>
              <w:rPr>
                <w:rFonts w:eastAsia="Times New Roman" w:cs="Times New Roman"/>
                <w:color w:val="4A4A4A"/>
                <w:lang w:val="en-CA" w:eastAsia="en-GB"/>
              </w:rPr>
              <w:t>measurement</w:t>
            </w:r>
            <w:r>
              <w:rPr>
                <w:rFonts w:eastAsia="Times New Roman" w:cs="Times New Roman"/>
                <w:color w:val="4A4A4A"/>
                <w:lang w:eastAsia="en-GB"/>
              </w:rPr>
              <w:t xml:space="preserve"> technical error, recording error etc.,).   Surveys are carried out in a specific period of the year, usually over a few months. However, this indicator can be affected by seasonality, factors related to food availability (e.g. pre-harvest periods), disease (e.g. rainy season and diarrhoea, malaria, etc.), and  natural disasters and conflicts. Hence, country-year estimates may not necessarily be comparable over time. Consequently, only latest estimates are provided. </w:t>
            </w: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30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82AC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0A"/>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4959"/>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1772"/>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43189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paragraph" w:customStyle="1" w:styleId="54">
    <w:name w:val="HTML Top of Form"/>
    <w:basedOn w:val="1"/>
    <w:next w:val="1"/>
    <w:link w:val="55"/>
    <w:semiHidden/>
    <w:unhideWhenUsed/>
    <w:qFormat/>
    <w:uiPriority w:val="99"/>
    <w:pPr>
      <w:pBdr>
        <w:bottom w:val="single" w:color="auto" w:sz="6" w:space="1"/>
      </w:pBdr>
      <w:spacing w:after="0"/>
      <w:jc w:val="center"/>
    </w:pPr>
    <w:rPr>
      <w:rFonts w:ascii="Arial" w:hAnsi="Arial" w:cs="Arial"/>
      <w:vanish/>
      <w:sz w:val="16"/>
      <w:szCs w:val="16"/>
    </w:rPr>
  </w:style>
  <w:style w:type="character" w:customStyle="1" w:styleId="55">
    <w:name w:val="z-Top of Form Char"/>
    <w:basedOn w:val="4"/>
    <w:link w:val="54"/>
    <w:semiHidden/>
    <w:qFormat/>
    <w:uiPriority w:val="99"/>
    <w:rPr>
      <w:rFonts w:ascii="Arial" w:hAnsi="Arial" w:cs="Arial"/>
      <w:vanish/>
      <w:sz w:val="16"/>
      <w:szCs w:val="16"/>
    </w:rPr>
  </w:style>
  <w:style w:type="paragraph" w:customStyle="1" w:styleId="56">
    <w:name w:val="HTML Bottom of Form"/>
    <w:basedOn w:val="1"/>
    <w:next w:val="1"/>
    <w:link w:val="57"/>
    <w:semiHidden/>
    <w:unhideWhenUsed/>
    <w:qFormat/>
    <w:uiPriority w:val="99"/>
    <w:pPr>
      <w:pBdr>
        <w:top w:val="single" w:color="auto" w:sz="6" w:space="1"/>
      </w:pBdr>
      <w:spacing w:after="0"/>
      <w:jc w:val="center"/>
    </w:pPr>
    <w:rPr>
      <w:rFonts w:ascii="Arial" w:hAnsi="Arial" w:cs="Arial"/>
      <w:vanish/>
      <w:sz w:val="16"/>
      <w:szCs w:val="16"/>
    </w:rPr>
  </w:style>
  <w:style w:type="character" w:customStyle="1" w:styleId="57">
    <w:name w:val="z-Bottom of Form Char"/>
    <w:basedOn w:val="4"/>
    <w:link w:val="56"/>
    <w:semiHidden/>
    <w:qFormat/>
    <w:uiPriority w:val="99"/>
    <w:rPr>
      <w:rFonts w:ascii="Arial" w:hAnsi="Arial" w:cs="Arial"/>
      <w:vanish/>
      <w:sz w:val="16"/>
      <w:szCs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1192"/>
    <w:rsid w:val="0036646D"/>
    <w:rsid w:val="003B72A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215807</Words>
  <Characters>1230100</Characters>
  <Lines>10250</Lines>
  <Paragraphs>2886</Paragraphs>
  <TotalTime>0</TotalTime>
  <ScaleCrop>false</ScaleCrop>
  <LinksUpToDate>false</LinksUpToDate>
  <CharactersWithSpaces>1443021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2021-11-01T14:37:00Z</dcterms:created>
  <dc:creator>Fanning, Stephen B (JMD)</dc:creator>
  <cp:lastModifiedBy>Doreen</cp:lastModifiedBy>
  <cp:lastPrinted>2020-04-16T14:23:00Z</cp:lastPrinted>
  <dcterms:modified xsi:type="dcterms:W3CDTF">2022-11-08T09:19:51Z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24F1F7E316564C5893599B9AB622973E</vt:lpwstr>
  </property>
</Properties>
</file>