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14.b.1 Degree of application of a legal/regulatory/policy/institutional framework which recognizes and protects access rights for small-scale fisheries (level of implementation: 1 lowest to 5 highest)... (ER_REG_SSFRAR)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684"/>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14.b: Provide access for small-scale artisanal fishers to marine resources and markets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 xml:space="preserve">Indicator </w:t>
            </w:r>
            <w:r>
              <w:t>14.b.1</w:t>
            </w:r>
            <w:r>
              <w:rPr>
                <w:rFonts w:hint="default"/>
                <w:lang w:val="en-CA"/>
              </w:rPr>
              <w:t>:</w:t>
            </w:r>
            <w:r>
              <w:t xml:space="preserve"> </w:t>
            </w:r>
            <w:r>
              <w:rPr>
                <w:rFonts w:hint="default"/>
                <w:lang w:val="en-CA"/>
              </w:rPr>
              <w:t>Degree of application of a legal/regulatory/policy/ institutional framework which recognizes and protects access rights for small-scale fisheries</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3073"/>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C0F4E56"/>
    <w:rsid w:val="293F6DD3"/>
    <w:rsid w:val="2B833767"/>
    <w:rsid w:val="33AE6612"/>
    <w:rsid w:val="577A6101"/>
    <w:rsid w:val="617B58CA"/>
    <w:rsid w:val="708B6A6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7</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2022-11-12T15:06:57Z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99924863A1BF480BBA046B09E4248150</vt:lpwstr>
  </property>
</Properties>
</file>