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2"/>
        <w:jc w:val="center"/>
        <w:rPr>
          <w:rFonts w:eastAsiaTheme="minorHAnsi"/>
          <w:sz w:val="48"/>
          <w:szCs w:val="48"/>
        </w:rPr>
      </w:pPr>
      <w:r>
        <w:rPr>
          <w:rFonts w:eastAsiaTheme="minorHAnsi"/>
          <w:sz w:val="48"/>
          <w:szCs w:val="48"/>
        </w:rPr>
        <w:t>SDG Metadata Authoring Tool Template</w:t>
      </w:r>
    </w:p>
    <w:p>
      <w:pPr>
        <w:pStyle w:val="20"/>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7"/>
          </w:pPr>
          <w:r>
            <w:t>Contents</w:t>
          </w:r>
        </w:p>
        <w:p>
          <w:pPr>
            <w:pStyle w:val="23"/>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4"/>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8"/>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8"/>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rPr>
              <w:rFonts w:asciiTheme="minorHAnsi" w:hAnsiTheme="minorHAnsi" w:eastAsiaTheme="minorHAnsi" w:cstheme="minorBidi"/>
              <w:sz w:val="22"/>
              <w:szCs w:val="22"/>
              <w:lang w:val="en-US" w:eastAsia="en-US" w:bidi="ar-SA"/>
            </w:rP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permStart w:id="1" w:edGrp="everyone"/>
          <w:r>
            <w:rPr>
              <w:rFonts w:asciiTheme="minorHAnsi" w:hAnsiTheme="minorHAnsi" w:eastAsiaTheme="minorHAnsi" w:cstheme="minorBidi"/>
              <w:sz w:val="22"/>
              <w:szCs w:val="22"/>
              <w:lang w:val="en-US" w:eastAsia="en-US" w:bidi="ar-SA"/>
            </w:rPr>
            <w:t>16.10.2 Countries that adopt and implement constitutional, statutory and/or policy guarantees for public access to information [16.10.2] (SG_INF_ACCSS)</w:t>
          </w:r>
        </w:p>
      </w:sdtContent>
    </w:sdt>
    <w:permEnd w:id="1"/>
    <w:p>
      <w:pPr>
        <w:spacing w:after="0"/>
        <w:rPr>
          <w:sz w:val="26"/>
          <w:szCs w:val="26"/>
        </w:rPr>
      </w:pPr>
    </w:p>
    <w:p>
      <w:pPr>
        <w:spacing w:after="0"/>
        <w:rPr>
          <w:sz w:val="26"/>
          <w:szCs w:val="26"/>
        </w:rPr>
      </w:pPr>
      <w:r>
        <w:rPr>
          <w:sz w:val="26"/>
          <w:szCs w:val="26"/>
        </w:rPr>
        <w:object>
          <v:shape id="_x0000_i1025" o:spt="201" type="#_x0000_t201" style="height:24pt;width:72pt;" o:ole="t" filled="f" o:preferrelative="t" stroked="f" coordsize="21600,21600">
            <v:path/>
            <v:fill on="f" focussize="0,0"/>
            <v:stroke on="f"/>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type="#_x0000_t201" style="height:24pt;width:91.5pt;" o:ole="t" filled="f" o:preferrelative="t" stroked="f" coordsize="21600,21600">
            <v:path/>
            <v:fill on="f" focussize="0,0"/>
            <v:stroke on="f"/>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rPr>
              <w:rFonts w:asciiTheme="minorHAnsi" w:hAnsiTheme="minorHAnsi" w:eastAsiaTheme="minorHAnsi" w:cstheme="minorBidi"/>
              <w:sz w:val="22"/>
              <w:szCs w:val="22"/>
              <w:lang w:val="en-US" w:eastAsia="en-US" w:bidi="ar-SA"/>
            </w:rP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rPr>
              <w:rFonts w:asciiTheme="minorHAnsi" w:hAnsiTheme="minorHAnsi" w:eastAsiaTheme="minorHAnsi" w:cstheme="minorBidi"/>
              <w:sz w:val="22"/>
              <w:szCs w:val="22"/>
              <w:lang w:val="en-US" w:eastAsia="en-US" w:bidi="ar-SA"/>
            </w:rP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type="#_x0000_t201" style="height:24pt;width:139.85pt;" o:ole="t" filled="f" o:preferrelative="t" stroked="f" coordsize="21600,21600">
            <v:path/>
            <v:fill on="f" focussize="0,0"/>
            <v:stroke on="f"/>
            <v:imagedata r:id="rId13" o:title=""/>
            <o:lock v:ext="edit" aspectratio="t"/>
            <w10:wrap type="none"/>
            <w10:anchorlock/>
          </v:shape>
          <w:control r:id="rId12" w:name="ImportSdmxDsd" w:shapeid="_x0000_i1027"/>
        </w:object>
      </w:r>
      <w:r>
        <w:t xml:space="preserve">             </w:t>
      </w:r>
      <w:r>
        <w:object>
          <v:shape id="_x0000_i1028" o:spt="201" type="#_x0000_t201" style="height:24pt;width:199.85pt;" o:ole="t" filled="f" o:preferrelative="t" stroked="f" coordsize="21600,21600">
            <v:path/>
            <v:fill on="f" focussize="0,0"/>
            <v:stroke on="f"/>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8"/>
        <w:outlineLvl w:val="0"/>
      </w:pPr>
      <w:bookmarkStart w:id="1" w:name="_Toc37932742"/>
      <w:r>
        <w:t>Metadata Submission Form</w:t>
      </w:r>
      <w:bookmarkEnd w:id="1"/>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 w:name="_Toc36812684"/>
            <w:bookmarkStart w:id="3" w:name="_Toc37932743"/>
            <w:bookmarkStart w:id="4" w:name="_Toc36655608"/>
            <w:bookmarkStart w:id="5" w:name="_Toc36813071"/>
            <w:bookmarkStart w:id="6" w:name="_Toc36812571"/>
            <w:r>
              <w:rPr>
                <w:sz w:val="32"/>
                <w:szCs w:val="32"/>
              </w:rPr>
              <w:t>0. Indicator information</w:t>
            </w:r>
            <w:bookmarkEnd w:id="2"/>
            <w:bookmarkEnd w:id="3"/>
            <w:bookmarkEnd w:id="4"/>
            <w:bookmarkEnd w:id="5"/>
            <w:bookmarkEnd w:id="6"/>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bidi w:val="0"/>
            </w:pPr>
            <w:r>
              <w:rPr>
                <w:rFonts w:hint="default"/>
              </w:rPr>
              <w:t>Goal 16: Promote peaceful and inclusive societies for sustainable development, provide access to justice for all and build effective, accountable and inclusive institutions at all levels</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bidi w:val="0"/>
            </w:pPr>
            <w:r>
              <w:rPr>
                <w:rFonts w:hint="default"/>
              </w:rPr>
              <w:t>Target 16.10: Ensure public access to information and protect fundamental freedoms, in accordance with national legislation and international agreements</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bidi w:val="0"/>
            </w:pPr>
            <w:r>
              <w:t>Indicator 16.10.2: Number of countries that adopt and implement constitutional, statutory and/or policy guarantees for public access to informatio</w:t>
            </w:r>
            <w:bookmarkStart w:id="37" w:name="_GoBack"/>
            <w:bookmarkEnd w:id="37"/>
            <w:r>
              <w:t>n</w:t>
            </w:r>
          </w:p>
        </w:tc>
      </w:tr>
      <w:permEnd w:id="7"/>
      <w:t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tc>
      </w:tr>
      <w:permEnd w:id="8"/>
      <w:t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tc>
      </w:tr>
      <w:permEnd w:id="10"/>
      <w:t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bidi w:val="0"/>
            </w:pP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7" w:name="_Toc36655609"/>
            <w:bookmarkStart w:id="8" w:name="_Toc36812572"/>
            <w:bookmarkStart w:id="9" w:name="_Toc36813072"/>
            <w:bookmarkStart w:id="10" w:name="_Toc36812685"/>
            <w:bookmarkStart w:id="11" w:name="_Toc37932744"/>
            <w:r>
              <w:rPr>
                <w:sz w:val="32"/>
                <w:szCs w:val="32"/>
              </w:rPr>
              <w:t>1. Data reporter</w:t>
            </w:r>
            <w:bookmarkEnd w:id="7"/>
            <w:bookmarkEnd w:id="8"/>
            <w:bookmarkEnd w:id="9"/>
            <w:bookmarkEnd w:id="10"/>
            <w:bookmarkEnd w:id="11"/>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2" w:name="_Toc36813073"/>
            <w:bookmarkStart w:id="13" w:name="_Toc37932745"/>
            <w:bookmarkStart w:id="14" w:name="_Toc36812573"/>
            <w:bookmarkStart w:id="15" w:name="_Toc36812686"/>
            <w:bookmarkStart w:id="16" w:name="_Toc36655610"/>
            <w:r>
              <w:rPr>
                <w:sz w:val="32"/>
                <w:szCs w:val="32"/>
              </w:rPr>
              <w:t>2. Definition, concepts, and classifications</w:t>
            </w:r>
            <w:bookmarkEnd w:id="12"/>
            <w:bookmarkEnd w:id="13"/>
            <w:bookmarkEnd w:id="14"/>
            <w:bookmarkEnd w:id="15"/>
            <w:bookmarkEnd w:id="16"/>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7" w:name="_Toc37932746"/>
            <w:bookmarkStart w:id="18" w:name="_Toc36813074"/>
            <w:r>
              <w:rPr>
                <w:sz w:val="32"/>
                <w:szCs w:val="32"/>
              </w:rPr>
              <w:t>3. Data source type and data collection method</w:t>
            </w:r>
            <w:bookmarkEnd w:id="17"/>
            <w:bookmarkEnd w:id="18"/>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pPr>
              <w:rPr>
                <w:rFonts w:hint="default"/>
                <w:lang w:val="en-US"/>
              </w:rPr>
            </w:pP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19" w:name="_Toc36813075"/>
            <w:bookmarkStart w:id="20" w:name="_Toc37932747"/>
            <w:bookmarkStart w:id="21" w:name="_Toc36655612"/>
            <w:bookmarkStart w:id="22" w:name="_Toc36812575"/>
            <w:bookmarkStart w:id="23" w:name="_Toc36812688"/>
            <w:r>
              <w:rPr>
                <w:sz w:val="32"/>
                <w:szCs w:val="32"/>
              </w:rPr>
              <w:t>4. Other methodological considerations</w:t>
            </w:r>
            <w:bookmarkEnd w:id="19"/>
            <w:bookmarkEnd w:id="20"/>
            <w:bookmarkEnd w:id="21"/>
            <w:bookmarkEnd w:id="22"/>
            <w:bookmarkEnd w:id="23"/>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90"/>
        <w:gridCol w:w="6166"/>
      </w:tblGrid>
      <w:tr>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4" w:name="_Toc36813076"/>
            <w:bookmarkStart w:id="25" w:name="_Toc36812689"/>
            <w:bookmarkStart w:id="26" w:name="_Toc36655613"/>
            <w:bookmarkStart w:id="27" w:name="_Toc37932748"/>
            <w:bookmarkStart w:id="28" w:name="_Toc36812576"/>
            <w:r>
              <w:rPr>
                <w:sz w:val="32"/>
                <w:szCs w:val="32"/>
              </w:rPr>
              <w:t>5. Data availability and disaggregation</w:t>
            </w:r>
            <w:bookmarkEnd w:id="24"/>
            <w:bookmarkEnd w:id="25"/>
            <w:bookmarkEnd w:id="26"/>
            <w:bookmarkEnd w:id="27"/>
            <w:bookmarkEnd w:id="28"/>
          </w:p>
        </w:tc>
      </w:tr>
      <w:tr>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tc>
      </w:tr>
      <w:permEnd w:id="46"/>
    </w:tbl>
    <w:p>
      <w:pPr>
        <w:pStyle w:val="2"/>
        <w:rPr>
          <w:rFonts w:eastAsia="Times New Roman" w:cs="Times New Roman"/>
          <w:color w:val="1C75BC"/>
          <w:sz w:val="36"/>
          <w:szCs w:val="36"/>
          <w:lang w:val="en-GB" w:eastAsia="en-GB"/>
        </w:rPr>
      </w:pPr>
      <w:bookmarkStart w:id="29" w:name="_Toc37932751"/>
      <w:bookmarkStart w:id="30" w:name="Tips_and_Tricks"/>
      <w:bookmarkStart w:id="31" w:name="_Toc36655616"/>
      <w:bookmarkStart w:id="32"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29"/>
    </w:p>
    <w:bookmarkEnd w:id="30"/>
    <w:bookmarkEnd w:id="31"/>
    <w:p>
      <w:pPr>
        <w:pStyle w:val="32"/>
        <w:rPr>
          <w:sz w:val="28"/>
          <w:szCs w:val="28"/>
        </w:rPr>
      </w:pPr>
      <w:bookmarkStart w:id="33" w:name="_Toc37932752"/>
      <w:r>
        <w:rPr>
          <w:sz w:val="28"/>
          <w:szCs w:val="28"/>
        </w:rPr>
        <w:t>A. Definitions of Metadata Concepts</w:t>
      </w:r>
      <w:bookmarkEnd w:id="33"/>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2"/>
        <w:rPr>
          <w:sz w:val="28"/>
          <w:szCs w:val="28"/>
        </w:rPr>
      </w:pPr>
      <w:bookmarkStart w:id="34" w:name="_Toc37932753"/>
      <w:bookmarkStart w:id="35" w:name="Mapping"/>
      <w:r>
        <w:rPr>
          <w:sz w:val="28"/>
          <w:szCs w:val="28"/>
        </w:rPr>
        <w:t>B. Mapping of SDMX Detailed Concepts to IAEG-SDG File Format</w:t>
      </w:r>
      <w:bookmarkEnd w:id="34"/>
    </w:p>
    <w:bookmarkEnd w:id="35"/>
    <w:p>
      <w:pPr>
        <w:pStyle w:val="35"/>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5"/>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5"/>
      </w:pPr>
    </w:p>
    <w:p>
      <w:pPr>
        <w:pStyle w:val="32"/>
        <w:rPr>
          <w:sz w:val="28"/>
          <w:szCs w:val="28"/>
        </w:rPr>
      </w:pPr>
      <w:bookmarkStart w:id="36" w:name="_Toc37932754"/>
      <w:r>
        <w:rPr>
          <w:sz w:val="28"/>
          <w:szCs w:val="28"/>
        </w:rPr>
        <w:t>C. Mapping of IAEG-SDG File Format to SDMX Detailed Concepts</w:t>
      </w:r>
      <w:bookmarkEnd w:id="36"/>
    </w:p>
    <w:p>
      <w:pPr>
        <w:pStyle w:val="35"/>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5"/>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2"/>
    </w:tbl>
    <w:p>
      <w:pPr>
        <w:pStyle w:val="35"/>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Microsoft YaHei"/>
    <w:panose1 w:val="00000000000000000000"/>
    <w:charset w:val="00"/>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view w:val="web"/>
  <w:zoom w:percent="100"/>
  <w:bordersDoNotSurroundHeader w:val="0"/>
  <w:bordersDoNotSurroundFooter w:val="0"/>
  <w:documentProtection w:edit="readOnly" w:enforcement="1"/>
  <w:defaultTabStop w:val="720"/>
  <w:displayHorizontalDrawingGridEvery w:val="1"/>
  <w:displayVerticalDrawingGridEvery w:val="1"/>
  <w:noPunctuationKerning w:val="1"/>
  <w:characterSpacingControl w:val="doNotCompress"/>
  <w:footnotePr>
    <w:footnote w:id="2"/>
    <w:footnote w:id="3"/>
  </w:footnotePr>
  <w:endnotePr>
    <w:numFmt w:val="decimal"/>
    <w:endnote w:id="0"/>
    <w:endnote w:id="1"/>
  </w:endnotePr>
  <w:compat>
    <w:doNotExpandShiftReturn/>
    <w:doNotWrapTextWithPunct/>
    <w:doNotUseEastAsianBreakRules/>
    <w:doNotUseIndentAsNumberingTabStop/>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75CB8"/>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089716ED"/>
    <w:rsid w:val="302806D1"/>
    <w:rsid w:val="323420B2"/>
    <w:rsid w:val="34824CA8"/>
    <w:rsid w:val="3D5D1DCA"/>
    <w:rsid w:val="492916A9"/>
    <w:rsid w:val="617B58CA"/>
    <w:rsid w:val="779C1699"/>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qFormat="1"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6"/>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1"/>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qFormat/>
    <w:uiPriority w:val="1"/>
  </w:style>
  <w:style w:type="table" w:default="1" w:styleId="5">
    <w:name w:val="Normal Table"/>
    <w:semiHidden/>
    <w:unhideWhenUsed/>
    <w:qFormat/>
    <w:uiPriority w:val="99"/>
    <w:tblPr>
      <w:tblCellMar>
        <w:top w:w="0" w:type="dxa"/>
        <w:left w:w="108" w:type="dxa"/>
        <w:bottom w:w="0" w:type="dxa"/>
        <w:right w:w="108" w:type="dxa"/>
      </w:tblCellMar>
    </w:tblPr>
  </w:style>
  <w:style w:type="paragraph" w:styleId="6">
    <w:name w:val="Balloon Text"/>
    <w:basedOn w:val="1"/>
    <w:link w:val="44"/>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7"/>
    <w:semiHidden/>
    <w:unhideWhenUsed/>
    <w:qFormat/>
    <w:uiPriority w:val="99"/>
    <w:pPr>
      <w:spacing w:line="240" w:lineRule="auto"/>
    </w:pPr>
    <w:rPr>
      <w:sz w:val="20"/>
      <w:szCs w:val="20"/>
    </w:rPr>
  </w:style>
  <w:style w:type="paragraph" w:styleId="9">
    <w:name w:val="annotation subject"/>
    <w:basedOn w:val="8"/>
    <w:next w:val="8"/>
    <w:link w:val="48"/>
    <w:semiHidden/>
    <w:unhideWhenUsed/>
    <w:qFormat/>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50"/>
    <w:unhideWhenUsed/>
    <w:qFormat/>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5"/>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uiPriority w:val="99"/>
    <w:pPr>
      <w:spacing w:line="240" w:lineRule="exact"/>
      <w:jc w:val="both"/>
    </w:pPr>
    <w:rPr>
      <w:vertAlign w:val="superscript"/>
    </w:rPr>
  </w:style>
  <w:style w:type="paragraph" w:styleId="16">
    <w:name w:val="footnote text"/>
    <w:basedOn w:val="1"/>
    <w:link w:val="42"/>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4"/>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qFormat/>
    <w:uiPriority w:val="99"/>
    <w:rPr>
      <w:color w:val="0563C1" w:themeColor="hyperlink"/>
      <w:u w:val="single"/>
      <w14:textFill>
        <w14:solidFill>
          <w14:schemeClr w14:val="hlink"/>
        </w14:solidFill>
      </w14:textFill>
    </w:rPr>
  </w:style>
  <w:style w:type="paragraph" w:styleId="19">
    <w:name w:val="Normal (Web)"/>
    <w:semiHidden/>
    <w:unhideWhenUsed/>
    <w:qFormat/>
    <w:uiPriority w:val="99"/>
    <w:pPr>
      <w:spacing w:before="0" w:beforeAutospacing="1" w:after="0" w:afterAutospacing="1"/>
      <w:ind w:left="0" w:right="0"/>
      <w:jc w:val="left"/>
    </w:pPr>
    <w:rPr>
      <w:rFonts w:ascii="Times New Roman" w:hAnsi="Times New Roman" w:eastAsia="SimSun" w:cs="Times New Roman"/>
      <w:kern w:val="0"/>
      <w:sz w:val="24"/>
      <w:szCs w:val="24"/>
      <w:lang w:val="en-US" w:eastAsia="zh-CN" w:bidi="ar"/>
    </w:rPr>
  </w:style>
  <w:style w:type="paragraph" w:styleId="20">
    <w:name w:val="Subtitle"/>
    <w:basedOn w:val="1"/>
    <w:next w:val="1"/>
    <w:link w:val="2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1">
    <w:name w:val="Table Grid"/>
    <w:basedOn w:val="5"/>
    <w:qFormat/>
    <w:uiPriority w:val="59"/>
    <w:pPr>
      <w:spacing w:after="0" w:line="240" w:lineRule="auto"/>
    </w:pPr>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2">
    <w:name w:val="Title"/>
    <w:basedOn w:val="1"/>
    <w:next w:val="1"/>
    <w:link w:val="28"/>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3">
    <w:name w:val="toc 1"/>
    <w:basedOn w:val="1"/>
    <w:next w:val="1"/>
    <w:unhideWhenUsed/>
    <w:qFormat/>
    <w:uiPriority w:val="39"/>
    <w:pPr>
      <w:spacing w:after="100"/>
    </w:pPr>
  </w:style>
  <w:style w:type="paragraph" w:styleId="24">
    <w:name w:val="toc 2"/>
    <w:basedOn w:val="1"/>
    <w:next w:val="1"/>
    <w:unhideWhenUsed/>
    <w:qFormat/>
    <w:uiPriority w:val="39"/>
    <w:pPr>
      <w:spacing w:after="100"/>
      <w:ind w:left="220"/>
    </w:pPr>
  </w:style>
  <w:style w:type="paragraph" w:styleId="25">
    <w:name w:val="toc 3"/>
    <w:basedOn w:val="1"/>
    <w:next w:val="1"/>
    <w:unhideWhenUsed/>
    <w:qFormat/>
    <w:uiPriority w:val="39"/>
    <w:pPr>
      <w:spacing w:after="100"/>
      <w:ind w:left="440"/>
    </w:pPr>
  </w:style>
  <w:style w:type="character" w:customStyle="1" w:styleId="26">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7">
    <w:name w:val="TOC Heading"/>
    <w:basedOn w:val="2"/>
    <w:next w:val="1"/>
    <w:unhideWhenUsed/>
    <w:qFormat/>
    <w:uiPriority w:val="39"/>
    <w:pPr>
      <w:outlineLvl w:val="9"/>
    </w:pPr>
  </w:style>
  <w:style w:type="character" w:customStyle="1" w:styleId="28">
    <w:name w:val="Title Char"/>
    <w:basedOn w:val="4"/>
    <w:link w:val="22"/>
    <w:qFormat/>
    <w:uiPriority w:val="10"/>
    <w:rPr>
      <w:rFonts w:asciiTheme="majorHAnsi" w:hAnsiTheme="majorHAnsi" w:eastAsiaTheme="majorEastAsia" w:cstheme="majorBidi"/>
      <w:spacing w:val="-10"/>
      <w:kern w:val="28"/>
      <w:sz w:val="56"/>
      <w:szCs w:val="56"/>
    </w:rPr>
  </w:style>
  <w:style w:type="character" w:customStyle="1" w:styleId="29">
    <w:name w:val="Subtitle Char"/>
    <w:basedOn w:val="4"/>
    <w:link w:val="20"/>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30">
    <w:name w:val="M.G+T.Header"/>
    <w:basedOn w:val="1"/>
    <w:link w:val="31"/>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1">
    <w:name w:val="M.G+T.Header Char"/>
    <w:basedOn w:val="4"/>
    <w:link w:val="30"/>
    <w:qFormat/>
    <w:uiPriority w:val="0"/>
    <w:rPr>
      <w:rFonts w:eastAsia="Times New Roman" w:cs="Times New Roman"/>
      <w:color w:val="333333"/>
      <w:sz w:val="21"/>
      <w:szCs w:val="21"/>
      <w:shd w:val="clear" w:color="auto" w:fill="F5F5F5"/>
      <w:lang w:val="en-GB" w:eastAsia="en-GB"/>
    </w:rPr>
  </w:style>
  <w:style w:type="paragraph" w:customStyle="1" w:styleId="32">
    <w:name w:val="M.Ind.Header"/>
    <w:basedOn w:val="1"/>
    <w:link w:val="33"/>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3">
    <w:name w:val="M.Ind.Header Char"/>
    <w:basedOn w:val="4"/>
    <w:link w:val="32"/>
    <w:qFormat/>
    <w:uiPriority w:val="0"/>
    <w:rPr>
      <w:rFonts w:eastAsia="Times New Roman" w:cs="Times New Roman"/>
      <w:color w:val="1C75BC"/>
      <w:shd w:val="clear" w:color="auto" w:fill="F5F5F5"/>
      <w:lang w:val="en-GB" w:eastAsia="en-GB"/>
    </w:rPr>
  </w:style>
  <w:style w:type="character" w:customStyle="1" w:styleId="34">
    <w:name w:val="Header Char"/>
    <w:basedOn w:val="4"/>
    <w:link w:val="17"/>
    <w:qFormat/>
    <w:uiPriority w:val="99"/>
    <w:rPr>
      <w:rFonts w:eastAsiaTheme="minorEastAsia"/>
      <w:lang w:val="en-GB" w:eastAsia="zh-CN"/>
    </w:rPr>
  </w:style>
  <w:style w:type="paragraph" w:customStyle="1" w:styleId="35">
    <w:name w:val="M.Text"/>
    <w:basedOn w:val="1"/>
    <w:link w:val="36"/>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6">
    <w:name w:val="M.Text Char"/>
    <w:basedOn w:val="4"/>
    <w:link w:val="35"/>
    <w:qFormat/>
    <w:uiPriority w:val="0"/>
    <w:rPr>
      <w:rFonts w:eastAsia="Times New Roman" w:cs="Times New Roman"/>
      <w:color w:val="4A4A4A"/>
      <w:sz w:val="21"/>
      <w:szCs w:val="21"/>
      <w:shd w:val="clear" w:color="auto" w:fill="FFFFFF"/>
      <w:lang w:val="en-GB" w:eastAsia="en-GB"/>
    </w:rPr>
  </w:style>
  <w:style w:type="table" w:customStyle="1" w:styleId="37">
    <w:name w:val="Grid Table 1 Light1"/>
    <w:basedOn w:val="5"/>
    <w:qFormat/>
    <w:uiPriority w:val="46"/>
    <w:pPr>
      <w:spacing w:after="0" w:line="240" w:lineRule="auto"/>
    </w:pPr>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8">
    <w:name w:val="M.Header"/>
    <w:basedOn w:val="1"/>
    <w:link w:val="39"/>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9">
    <w:name w:val="M.Header Char"/>
    <w:basedOn w:val="4"/>
    <w:link w:val="38"/>
    <w:qFormat/>
    <w:uiPriority w:val="0"/>
    <w:rPr>
      <w:rFonts w:eastAsia="Times New Roman" w:cs="Times New Roman"/>
      <w:color w:val="1C75BC"/>
      <w:sz w:val="36"/>
      <w:szCs w:val="36"/>
      <w:shd w:val="clear" w:color="auto" w:fill="FFFFFF"/>
      <w:lang w:val="en-GB" w:eastAsia="en-GB"/>
    </w:rPr>
  </w:style>
  <w:style w:type="paragraph" w:customStyle="1" w:styleId="40">
    <w:name w:val="M.Sub.Header"/>
    <w:basedOn w:val="1"/>
    <w:link w:val="41"/>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1">
    <w:name w:val="M.Sub.Header Char"/>
    <w:basedOn w:val="4"/>
    <w:link w:val="40"/>
    <w:uiPriority w:val="0"/>
    <w:rPr>
      <w:rFonts w:eastAsia="Times New Roman" w:cs="Times New Roman"/>
      <w:b/>
      <w:bCs/>
      <w:color w:val="4A4A4A"/>
      <w:sz w:val="21"/>
      <w:szCs w:val="21"/>
      <w:shd w:val="clear" w:color="auto" w:fill="FFFFFF"/>
      <w:lang w:val="en-GB" w:eastAsia="en-GB"/>
    </w:rPr>
  </w:style>
  <w:style w:type="character" w:customStyle="1" w:styleId="42">
    <w:name w:val="Footnote Text Char"/>
    <w:basedOn w:val="4"/>
    <w:link w:val="16"/>
    <w:semiHidden/>
    <w:qFormat/>
    <w:uiPriority w:val="99"/>
    <w:rPr>
      <w:rFonts w:eastAsiaTheme="minorEastAsia"/>
      <w:sz w:val="20"/>
      <w:szCs w:val="20"/>
      <w:lang w:val="en-GB" w:eastAsia="zh-CN"/>
    </w:rPr>
  </w:style>
  <w:style w:type="paragraph" w:styleId="43">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4">
    <w:name w:val="Balloon Text Char"/>
    <w:basedOn w:val="4"/>
    <w:link w:val="6"/>
    <w:semiHidden/>
    <w:qFormat/>
    <w:uiPriority w:val="99"/>
    <w:rPr>
      <w:rFonts w:ascii="Segoe UI" w:hAnsi="Segoe UI" w:cs="Segoe UI"/>
      <w:sz w:val="18"/>
      <w:szCs w:val="18"/>
    </w:rPr>
  </w:style>
  <w:style w:type="character" w:customStyle="1" w:styleId="45">
    <w:name w:val="Footer Char"/>
    <w:basedOn w:val="4"/>
    <w:link w:val="13"/>
    <w:qFormat/>
    <w:uiPriority w:val="99"/>
  </w:style>
  <w:style w:type="character" w:customStyle="1" w:styleId="46">
    <w:name w:val="Unresolved Mention1"/>
    <w:basedOn w:val="4"/>
    <w:semiHidden/>
    <w:unhideWhenUsed/>
    <w:qFormat/>
    <w:uiPriority w:val="99"/>
    <w:rPr>
      <w:color w:val="605E5C"/>
      <w:shd w:val="clear" w:color="auto" w:fill="E1DFDD"/>
    </w:rPr>
  </w:style>
  <w:style w:type="character" w:customStyle="1" w:styleId="47">
    <w:name w:val="Comment Text Char"/>
    <w:basedOn w:val="4"/>
    <w:link w:val="8"/>
    <w:semiHidden/>
    <w:uiPriority w:val="99"/>
    <w:rPr>
      <w:sz w:val="20"/>
      <w:szCs w:val="20"/>
    </w:rPr>
  </w:style>
  <w:style w:type="character" w:customStyle="1" w:styleId="48">
    <w:name w:val="Comment Subject Char"/>
    <w:basedOn w:val="47"/>
    <w:link w:val="9"/>
    <w:semiHidden/>
    <w:qFormat/>
    <w:uiPriority w:val="99"/>
    <w:rPr>
      <w:b/>
      <w:bCs/>
      <w:sz w:val="20"/>
      <w:szCs w:val="20"/>
    </w:rPr>
  </w:style>
  <w:style w:type="character" w:styleId="49">
    <w:name w:val="Placeholder Text"/>
    <w:basedOn w:val="4"/>
    <w:semiHidden/>
    <w:qFormat/>
    <w:uiPriority w:val="99"/>
    <w:rPr>
      <w:color w:val="808080"/>
    </w:rPr>
  </w:style>
  <w:style w:type="character" w:customStyle="1" w:styleId="50">
    <w:name w:val="Endnote Text Char"/>
    <w:basedOn w:val="4"/>
    <w:link w:val="11"/>
    <w:qFormat/>
    <w:uiPriority w:val="99"/>
    <w:rPr>
      <w:sz w:val="20"/>
      <w:szCs w:val="20"/>
    </w:rPr>
  </w:style>
  <w:style w:type="character" w:customStyle="1" w:styleId="51">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2">
    <w:name w:val="Default"/>
    <w:qFormat/>
    <w:uiPriority w:val="0"/>
    <w:pPr>
      <w:autoSpaceDE w:val="0"/>
      <w:autoSpaceDN w:val="0"/>
      <w:adjustRightInd w:val="0"/>
      <w:spacing w:after="0" w:line="240" w:lineRule="auto"/>
    </w:pPr>
    <w:rPr>
      <w:rFonts w:ascii="Calibri" w:hAnsi="Calibri" w:cs="Calibri" w:eastAsiaTheme="minorEastAsia"/>
      <w:color w:val="000000"/>
      <w:sz w:val="24"/>
      <w:szCs w:val="24"/>
      <w:lang w:val="en-US" w:eastAsia="zh-CN" w:bidi="ar-SA"/>
    </w:rPr>
  </w:style>
  <w:style w:type="character" w:customStyle="1" w:styleId="53">
    <w:name w:val="Unresolved Mention"/>
    <w:basedOn w:val="4"/>
    <w:semiHidden/>
    <w:unhideWhenUsed/>
    <w:qFormat/>
    <w:uiPriority w:val="99"/>
    <w:rPr>
      <w:color w:val="605E5C"/>
      <w:shd w:val="clear" w:color="auto" w:fill="E1DFDD"/>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3.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1.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Microsoft YaHei"/>
    <w:panose1 w:val="00000000000000000000"/>
    <w:charset w:val="86"/>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 w:name="等线">
    <w:altName w:val="Arial Unicode MS"/>
    <w:panose1 w:val="00000000000000000000"/>
    <w:charset w:val="86"/>
    <w:family w:val="auto"/>
    <w:pitch w:val="default"/>
    <w:sig w:usb0="00000000" w:usb1="00000000" w:usb2="00000000" w:usb3="00000000" w:csb0="00000000"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qFormat="1" w:uiPriority="1" w:name="Default Paragraph Font"/>
    <w:lsdException w:qFormat="1"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qFormat/>
    <w:uiPriority w:val="1"/>
  </w:style>
  <w:style w:type="table" w:default="1" w:styleId="3">
    <w:name w:val="Normal Table"/>
    <w:semiHidden/>
    <w:unhideWhenUsed/>
    <w:qFormat/>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4712825F-F8FB-47DE-B6A1-8CCC6E07E218}">
  <ds:schemaRefs/>
</ds:datastoreItem>
</file>

<file path=customXml/itemProps2.xml><?xml version="1.0" encoding="utf-8"?>
<ds:datastoreItem xmlns:ds="http://schemas.openxmlformats.org/officeDocument/2006/customXml" ds:itemID="{EB1C2039-A1E2-420D-9A37-E0F60F4991A9}">
  <ds:schemaRefs/>
</ds:datastoreItem>
</file>

<file path=customXml/itemProps3.xml><?xml version="1.0" encoding="utf-8"?>
<ds:datastoreItem xmlns:ds="http://schemas.openxmlformats.org/officeDocument/2006/customXml" ds:itemID="{57E59553-E217-482E-8EE7-C905E1600DAA}">
  <ds:schemaRefs/>
</ds:datastoreItem>
</file>

<file path=customXml/itemProps4.xml><?xml version="1.0" encoding="utf-8"?>
<ds:datastoreItem xmlns:ds="http://schemas.openxmlformats.org/officeDocument/2006/customXml" ds:itemID="{1ED1DF50-B557-40DB-AB1D-53089885C6E0}">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10</Pages>
  <Words>215350</Words>
  <Characters>1227499</Characters>
  <Lines>10229</Lines>
  <Paragraphs>2879</Paragraphs>
  <TotalTime>4</TotalTime>
  <ScaleCrop>false</ScaleCrop>
  <LinksUpToDate>false</LinksUpToDate>
  <CharactersWithSpaces>1439970</CharactersWithSpaces>
  <Application>WPS Office_11.2.0.11380_F1E327BC-269C-435d-A152-05C5408002CA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2020-10-22T23:58:00Z</dcterms:created>
  <dc:creator>Fanning, Stephen B (JMD)</dc:creator>
  <cp:lastModifiedBy>Doreen</cp:lastModifiedBy>
  <cp:lastPrinted>2020-04-16T14:23:00Z</cp:lastPrinted>
  <dcterms:modified xsi:type="dcterms:W3CDTF">2022-11-13T11:42:17Z</dcterms:modified>
  <cp:revision>12</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1033-11.2.0.11380</vt:lpwstr>
  </property>
  <property fmtid="{D5CDD505-2E9C-101B-9397-08002B2CF9AE}" pid="4" name="ICV">
    <vt:lpwstr>5155EBBFDB214C2DB3449C56A6BFA9A6</vt:lpwstr>
  </property>
</Properties>
</file>