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17.3.2 Volume of remittances (in United States dollars) as a proportion of total GDP [17.3.2] (BX_TRF_PWKR)</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655608"/>
            <w:bookmarkStart w:id="5" w:name="_Toc37932743"/>
            <w:bookmarkStart w:id="6" w:name="_Toc36812571"/>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17: Strengthen the means of implementation and revitalize the Global Partnership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17.3: Mobilize additional financial resources for developing countries from multiple sources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bookmarkStart w:id="8" w:name="_Toc455354718"/>
            <w:r>
              <w:t>Indicator 17.3.2: Volume of remittances (in United States dollars) as a proportion of total GDP</w:t>
            </w:r>
            <w:bookmarkEnd w:id="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56"/>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2"/>
                <w:szCs w:val="22"/>
              </w:rPr>
              <w:t>World Bank (WB)</w:t>
            </w: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9" w:name="_Toc37932744"/>
            <w:bookmarkStart w:id="10" w:name="_Toc36812685"/>
            <w:bookmarkStart w:id="11" w:name="_Toc36813072"/>
            <w:bookmarkStart w:id="12" w:name="_Toc36812572"/>
            <w:bookmarkStart w:id="13" w:name="_Toc36655609"/>
            <w:r>
              <w:rPr>
                <w:sz w:val="32"/>
                <w:szCs w:val="32"/>
              </w:rPr>
              <w:t>1. Data reporter</w:t>
            </w:r>
            <w:bookmarkEnd w:id="9"/>
            <w:bookmarkEnd w:id="10"/>
            <w:bookmarkEnd w:id="11"/>
            <w:bookmarkEnd w:id="12"/>
            <w:bookmarkEnd w:id="13"/>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4" w:name="_Toc36812573"/>
            <w:bookmarkStart w:id="15" w:name="_Toc36812686"/>
            <w:bookmarkStart w:id="16" w:name="_Toc36813073"/>
            <w:bookmarkStart w:id="17" w:name="_Toc37932745"/>
            <w:bookmarkStart w:id="18" w:name="_Toc36655610"/>
            <w:r>
              <w:rPr>
                <w:sz w:val="32"/>
                <w:szCs w:val="32"/>
              </w:rPr>
              <w:t>2. Definition, concepts, and classifications</w:t>
            </w:r>
            <w:bookmarkEnd w:id="14"/>
            <w:bookmarkEnd w:id="15"/>
            <w:bookmarkEnd w:id="16"/>
            <w:bookmarkEnd w:id="17"/>
            <w:bookmarkEnd w:id="18"/>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cs="Times New Roman"/>
                <w:color w:val="4A4A4A"/>
                <w:sz w:val="22"/>
                <w:szCs w:val="22"/>
              </w:rPr>
            </w:pPr>
            <w:r>
              <w:rPr>
                <w:rStyle w:val="20"/>
                <w:rFonts w:cs="Times New Roman"/>
                <w:color w:val="4A4A4A"/>
                <w:sz w:val="22"/>
                <w:szCs w:val="22"/>
              </w:rPr>
              <w:t>Definition:</w:t>
            </w:r>
          </w:p>
          <w:p>
            <w:pPr>
              <w:shd w:val="clear" w:color="auto" w:fill="FFFFFF"/>
              <w:spacing w:after="0"/>
              <w:rPr>
                <w:rFonts w:cs="Times New Roman"/>
                <w:color w:val="4A4A4A"/>
                <w:sz w:val="22"/>
                <w:szCs w:val="22"/>
              </w:rPr>
            </w:pPr>
          </w:p>
          <w:p>
            <w:pPr>
              <w:pStyle w:val="56"/>
              <w:shd w:val="clear" w:color="auto" w:fill="FFFFFF"/>
              <w:spacing w:before="0" w:beforeAutospacing="0" w:after="0" w:afterAutospacing="0"/>
              <w:rPr>
                <w:rFonts w:asciiTheme="minorHAnsi" w:hAnsiTheme="minorHAnsi"/>
                <w:color w:val="4A4A4A"/>
                <w:sz w:val="22"/>
                <w:szCs w:val="22"/>
              </w:rPr>
            </w:pPr>
            <w:r>
              <w:rPr>
                <w:rFonts w:asciiTheme="minorHAnsi" w:hAnsiTheme="minorHAnsi"/>
                <w:color w:val="4A4A4A"/>
                <w:sz w:val="22"/>
                <w:szCs w:val="22"/>
              </w:rPr>
              <w:t xml:space="preserve">Personal remittances received as proportion of GDP is the inflow of personal remittances expressed as a percentage of Gross Domestic Product (GDP). </w:t>
            </w:r>
          </w:p>
          <w:p>
            <w:pPr>
              <w:pStyle w:val="56"/>
              <w:shd w:val="clear" w:color="auto" w:fill="FFFFFF"/>
              <w:spacing w:before="0" w:beforeAutospacing="0" w:after="0" w:afterAutospacing="0"/>
              <w:rPr>
                <w:rFonts w:asciiTheme="minorHAnsi" w:hAnsiTheme="minorHAnsi"/>
                <w:color w:val="4A4A4A"/>
                <w:sz w:val="22"/>
                <w:szCs w:val="22"/>
              </w:rPr>
            </w:pPr>
          </w:p>
          <w:p>
            <w:pPr>
              <w:shd w:val="clear" w:color="auto" w:fill="FFFFFF"/>
              <w:spacing w:after="0"/>
              <w:rPr>
                <w:rFonts w:cs="Times New Roman"/>
                <w:color w:val="4A4A4A"/>
                <w:sz w:val="22"/>
                <w:szCs w:val="22"/>
              </w:rPr>
            </w:pPr>
            <w:r>
              <w:rPr>
                <w:rStyle w:val="20"/>
                <w:rFonts w:cs="Times New Roman"/>
                <w:color w:val="4A4A4A"/>
                <w:sz w:val="22"/>
                <w:szCs w:val="22"/>
              </w:rPr>
              <w:t>Concepts:</w:t>
            </w:r>
          </w:p>
          <w:p>
            <w:pPr>
              <w:shd w:val="clear" w:color="auto" w:fill="FFFFFF"/>
              <w:spacing w:after="0"/>
              <w:rPr>
                <w:rFonts w:cs="Times New Roman"/>
                <w:color w:val="4A4A4A"/>
                <w:sz w:val="22"/>
                <w:szCs w:val="22"/>
              </w:rPr>
            </w:pPr>
          </w:p>
          <w:p>
            <w:pPr>
              <w:pStyle w:val="56"/>
              <w:shd w:val="clear" w:color="auto" w:fill="FFFFFF"/>
              <w:spacing w:before="0" w:beforeAutospacing="0" w:after="0" w:afterAutospacing="0"/>
              <w:rPr>
                <w:rFonts w:asciiTheme="minorHAnsi" w:hAnsiTheme="minorHAnsi"/>
                <w:color w:val="4A4A4A"/>
                <w:sz w:val="22"/>
                <w:szCs w:val="22"/>
              </w:rPr>
            </w:pPr>
            <w:r>
              <w:rPr>
                <w:rFonts w:asciiTheme="minorHAnsi" w:hAnsiTheme="minorHAnsi"/>
                <w:color w:val="4A4A4A"/>
                <w:sz w:val="22"/>
                <w:szCs w:val="22"/>
              </w:rPr>
              <w:t xml:space="preserve">Personal remittances comprise of personal transfers and compensation of employees. Personal transfers consist of all current transfers in cash or in kind made or received by resident households to or from non-resident households. Personal transfers thus include all current transfers between resident and non-resident individuals. </w:t>
            </w:r>
          </w:p>
          <w:p>
            <w:pPr>
              <w:pStyle w:val="56"/>
              <w:shd w:val="clear" w:color="auto" w:fill="FFFFFF"/>
              <w:spacing w:before="0" w:beforeAutospacing="0" w:after="0" w:afterAutospacing="0"/>
              <w:rPr>
                <w:rFonts w:asciiTheme="minorHAnsi" w:hAnsiTheme="minorHAnsi"/>
                <w:color w:val="4A4A4A"/>
                <w:sz w:val="22"/>
                <w:szCs w:val="22"/>
              </w:rPr>
            </w:pPr>
            <w:r>
              <w:rPr>
                <w:rFonts w:asciiTheme="minorHAnsi" w:hAnsiTheme="minorHAnsi"/>
                <w:color w:val="4A4A4A"/>
                <w:sz w:val="22"/>
                <w:szCs w:val="22"/>
              </w:rPr>
              <w:t>Compensation of employees refers to the income of border, seasonal, and other short-term workers who are employed in an economy where they are not resident and of residents employed by non-resident entities.</w:t>
            </w:r>
          </w:p>
          <w:p>
            <w:pPr>
              <w:pStyle w:val="56"/>
              <w:shd w:val="clear" w:color="auto" w:fill="FFFFFF"/>
              <w:spacing w:before="0" w:beforeAutospacing="0" w:after="0" w:afterAutospacing="0"/>
            </w:pPr>
            <w:r>
              <w:rPr>
                <w:rFonts w:asciiTheme="minorHAnsi" w:hAnsiTheme="minorHAnsi"/>
                <w:color w:val="4A4A4A"/>
                <w:sz w:val="22"/>
                <w:szCs w:val="22"/>
              </w:rPr>
              <w:t xml:space="preserve">The concepts used are in line with the </w:t>
            </w:r>
            <w:r>
              <w:rPr>
                <w:rFonts w:asciiTheme="minorHAnsi" w:hAnsiTheme="minorHAnsi"/>
                <w:color w:val="4A4A4A"/>
                <w:sz w:val="22"/>
                <w:szCs w:val="22"/>
              </w:rPr>
              <w:fldChar w:fldCharType="begin"/>
            </w:r>
            <w:r>
              <w:rPr>
                <w:rFonts w:asciiTheme="minorHAnsi" w:hAnsiTheme="minorHAnsi"/>
                <w:color w:val="4A4A4A"/>
                <w:sz w:val="22"/>
                <w:szCs w:val="22"/>
              </w:rPr>
              <w:instrText xml:space="preserve"> HYPERLINK "https://www.imf.org/external/pubs/ft/bop/2007/pdf/bpm6.pdf" </w:instrText>
            </w:r>
            <w:r>
              <w:rPr>
                <w:rFonts w:asciiTheme="minorHAnsi" w:hAnsiTheme="minorHAnsi"/>
                <w:color w:val="4A4A4A"/>
                <w:sz w:val="22"/>
                <w:szCs w:val="22"/>
              </w:rPr>
              <w:fldChar w:fldCharType="separate"/>
            </w:r>
            <w:r>
              <w:rPr>
                <w:rStyle w:val="19"/>
                <w:rFonts w:asciiTheme="minorHAnsi" w:hAnsiTheme="minorHAnsi"/>
                <w:color w:val="4A4A4A"/>
                <w:sz w:val="22"/>
                <w:szCs w:val="22"/>
              </w:rPr>
              <w:t>Sixth Edition of the IMF's Balance of Payments and International Investment Position Manual (BPM6)</w:t>
            </w:r>
            <w:r>
              <w:rPr>
                <w:rFonts w:asciiTheme="minorHAnsi" w:hAnsiTheme="minorHAnsi"/>
                <w:color w:val="4A4A4A"/>
                <w:sz w:val="22"/>
                <w:szCs w:val="22"/>
              </w:rPr>
              <w:fldChar w:fldCharType="end"/>
            </w:r>
            <w:bookmarkStart w:id="39" w:name="_GoBack"/>
            <w:bookmarkEnd w:id="39"/>
            <w:r>
              <w:rPr>
                <w:rFonts w:asciiTheme="minorHAnsi" w:hAnsiTheme="minorHAnsi"/>
                <w:color w:val="4A4A4A"/>
                <w:sz w:val="22"/>
                <w:szCs w:val="22"/>
              </w:rPr>
              <w: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7932746"/>
            <w:bookmarkStart w:id="20" w:name="_Toc36813074"/>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cstheme="minorHAnsi"/>
                <w:lang w:val="en-CA"/>
              </w:rPr>
            </w:pPr>
            <w:r>
              <w:rPr>
                <w:rFonts w:hint="default" w:cstheme="minorHAnsi"/>
                <w:lang w:val="en-CA"/>
              </w:rPr>
              <w:t>National Budget Statement and Economic Policy 2018 - 2020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cstheme="minorHAnsi"/>
              </w:rPr>
              <w:t>Ministry of Finance</w:t>
            </w:r>
            <w:r>
              <w:rPr>
                <w:rFonts w:hint="default" w:cstheme="minorHAnsi"/>
                <w:lang w:val="en-CA"/>
              </w:rPr>
              <w:t xml:space="preserve"> and Economic Planning (MoFEP)</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6812575"/>
            <w:bookmarkStart w:id="22" w:name="_Toc36812688"/>
            <w:bookmarkStart w:id="23" w:name="_Toc37932747"/>
            <w:bookmarkStart w:id="24" w:name="_Toc36813075"/>
            <w:bookmarkStart w:id="25" w:name="_Toc36655612"/>
            <w:r>
              <w:rPr>
                <w:sz w:val="32"/>
                <w:szCs w:val="32"/>
              </w:rPr>
              <w:t>4. Other methodological considerations</w:t>
            </w:r>
            <w:bookmarkEnd w:id="21"/>
            <w:bookmarkEnd w:id="22"/>
            <w:bookmarkEnd w:id="23"/>
            <w:bookmarkEnd w:id="24"/>
            <w:bookmarkEnd w:id="25"/>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6813076"/>
            <w:bookmarkStart w:id="27" w:name="_Toc36812689"/>
            <w:bookmarkStart w:id="28" w:name="_Toc36655613"/>
            <w:bookmarkStart w:id="29" w:name="_Toc36812576"/>
            <w:bookmarkStart w:id="30" w:name="_Toc37932748"/>
            <w:r>
              <w:rPr>
                <w:sz w:val="32"/>
                <w:szCs w:val="32"/>
              </w:rPr>
              <w:t>5. Data availability and disaggregation</w:t>
            </w:r>
            <w:bookmarkEnd w:id="26"/>
            <w:bookmarkEnd w:id="27"/>
            <w:bookmarkEnd w:id="28"/>
            <w:bookmarkEnd w:id="29"/>
            <w:bookmarkEnd w:id="30"/>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3"/>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6" w:name="_Toc37932753"/>
      <w:bookmarkStart w:id="37" w:name="Mapping"/>
      <w:r>
        <w:rPr>
          <w:sz w:val="28"/>
          <w:szCs w:val="28"/>
        </w:rPr>
        <w:t>B. Mapping of SDMX Detailed Concepts to IAEG-SDG File Format</w:t>
      </w:r>
      <w:bookmarkEnd w:id="36"/>
    </w:p>
    <w:bookmarkEnd w:id="37"/>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8" w:name="_Toc37932754"/>
      <w:r>
        <w:rPr>
          <w:sz w:val="28"/>
          <w:szCs w:val="28"/>
        </w:rPr>
        <w:t>C. Mapping of IAEG-SDG File Format to SDMX Detailed Concepts</w:t>
      </w:r>
      <w:bookmarkEnd w:id="38"/>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0B5F"/>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8F7729"/>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F46066B"/>
    <w:rsid w:val="33D15565"/>
    <w:rsid w:val="52B65BDF"/>
    <w:rsid w:val="6B71749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semiHidden="0"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5"/>
    <w:basedOn w:val="1"/>
    <w:next w:val="1"/>
    <w:link w:val="55"/>
    <w:unhideWhenUsed/>
    <w:qFormat/>
    <w:uiPriority w:val="9"/>
    <w:pPr>
      <w:keepNext/>
      <w:keepLines/>
      <w:spacing w:before="40" w:after="0"/>
      <w:outlineLvl w:val="4"/>
    </w:pPr>
    <w:rPr>
      <w:rFonts w:asciiTheme="majorHAnsi" w:hAnsiTheme="majorHAnsi" w:eastAsiaTheme="majorEastAsia" w:cstheme="majorBidi"/>
      <w:color w:val="2E75B6" w:themeColor="accent1" w:themeShade="BF"/>
    </w:rPr>
  </w:style>
  <w:style w:type="character" w:default="1" w:styleId="5">
    <w:name w:val="Default Paragraph Font"/>
    <w:semiHidden/>
    <w:unhideWhenUsed/>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character" w:styleId="8">
    <w:name w:val="annotation reference"/>
    <w:basedOn w:val="5"/>
    <w:semiHidden/>
    <w:unhideWhenUsed/>
    <w:qFormat/>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qFormat/>
    <w:uiPriority w:val="99"/>
    <w:rPr>
      <w:color w:val="0563C1" w:themeColor="hyperlink"/>
      <w:u w:val="single"/>
      <w14:textFill>
        <w14:solidFill>
          <w14:schemeClr w14:val="hlink"/>
        </w14:solidFill>
      </w14:textFill>
    </w:rPr>
  </w:style>
  <w:style w:type="character" w:styleId="20">
    <w:name w:val="Strong"/>
    <w:basedOn w:val="5"/>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5"/>
    <w:semiHidden/>
    <w:unhideWhenUsed/>
    <w:qFormat/>
    <w:uiPriority w:val="99"/>
    <w:rPr>
      <w:color w:val="605E5C"/>
      <w:shd w:val="clear" w:color="auto" w:fill="E1DFDD"/>
    </w:rPr>
  </w:style>
  <w:style w:type="character" w:customStyle="1" w:styleId="55">
    <w:name w:val="Heading 5 Char"/>
    <w:basedOn w:val="5"/>
    <w:link w:val="4"/>
    <w:qFormat/>
    <w:uiPriority w:val="9"/>
    <w:rPr>
      <w:rFonts w:asciiTheme="majorHAnsi" w:hAnsiTheme="majorHAnsi" w:eastAsiaTheme="majorEastAsia" w:cstheme="majorBidi"/>
      <w:color w:val="2E75B6" w:themeColor="accent1" w:themeShade="BF"/>
    </w:rPr>
  </w:style>
  <w:style w:type="paragraph" w:customStyle="1" w:styleId="56">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215571</Words>
  <Characters>1228755</Characters>
  <Lines>10239</Lines>
  <Paragraphs>2882</Paragraphs>
  <TotalTime>12</TotalTime>
  <ScaleCrop>false</ScaleCrop>
  <LinksUpToDate>false</LinksUpToDate>
  <CharactersWithSpaces>1441444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2021-11-29T11:51:00Z</dcterms:created>
  <dc:creator>Fanning, Stephen B (JMD)</dc:creator>
  <cp:lastModifiedBy>Doreen</cp:lastModifiedBy>
  <cp:lastPrinted>2020-04-16T14:23:00Z</cp:lastPrinted>
  <dcterms:modified xsi:type="dcterms:W3CDTF">2022-11-13T12:59:31Z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6CF7539CE1DE48F187DAC47DFFBBA5E4</vt:lpwstr>
  </property>
</Properties>
</file>