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4.a.1 Proportion of schools with access to electricity [4.a.1] (SE_ACS_ELECT)</w:t>
          </w:r>
          <w:permEnd w:id="1"/>
        </w:p>
      </w:sdtContent>
    </w:sdt>
    <w:bookmarkEnd w:id="1"/>
    <w:p>
      <w:pPr>
        <w:spacing w:after="0"/>
        <w:rPr>
          <w:sz w:val="26"/>
          <w:szCs w:val="26"/>
        </w:rPr>
      </w:pPr>
    </w:p>
    <w:sdt>
      <w:sdtPr>
        <w:alias w:val="SDG Series"/>
        <w:tag w:val="ddSeries"/>
        <w:id w:val="-1554465424"/>
        <w:placeholder>
          <w:docPart w:val="946E9284723F470CAAD047219403540E"/>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2" w:edGrp="everyone"/>
          <w:r>
            <w:t>4.a.1 Proportion of schools with access to computers for pedagogical purposes [4.a.1] (SE_ACS_CMPTR)</w:t>
          </w:r>
        </w:p>
      </w:sdtContent>
    </w:sdt>
    <w:permEnd w:id="2"/>
    <w:p>
      <w:pPr>
        <w:spacing w:after="0"/>
        <w:rPr>
          <w:sz w:val="26"/>
          <w:szCs w:val="26"/>
        </w:rPr>
      </w:pPr>
    </w:p>
    <w:sdt>
      <w:sdtPr>
        <w:alias w:val="SDG Series"/>
        <w:tag w:val="ddSeries"/>
        <w:id w:val="565610991"/>
        <w:placeholder>
          <w:docPart w:val="7EBD0ED0173E41F5966E9D1FC91C608F"/>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3" w:edGrp="everyone"/>
          <w:r>
            <w:t>4.a.1 Proportion of schools with access to basic drinking water [4.a.1] (SE_ACS_H2O)</w:t>
          </w:r>
        </w:p>
      </w:sdtContent>
    </w:sdt>
    <w:permEnd w:id="3"/>
    <w:p>
      <w:pPr>
        <w:spacing w:after="0"/>
        <w:rPr>
          <w:sz w:val="26"/>
          <w:szCs w:val="26"/>
        </w:rPr>
      </w:pPr>
    </w:p>
    <w:sdt>
      <w:sdtPr>
        <w:alias w:val="SDG Series"/>
        <w:tag w:val="ddSeries"/>
        <w:id w:val="-1787500963"/>
        <w:placeholder>
          <w:docPart w:val="72A3CE4697054974B1DEFCEF1558F62F"/>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4" w:edGrp="everyone"/>
          <w:r>
            <w:t>4.a.1 Proportion of schools with basic handwashing facilities [4.a.1] (SE_ACC_HNDWSH)</w:t>
          </w:r>
        </w:p>
      </w:sdtContent>
    </w:sdt>
    <w:permEnd w:id="4"/>
    <w:p>
      <w:pPr>
        <w:spacing w:after="0"/>
        <w:rPr>
          <w:sz w:val="26"/>
          <w:szCs w:val="26"/>
        </w:rPr>
      </w:pPr>
    </w:p>
    <w:sdt>
      <w:sdtPr>
        <w:alias w:val="SDG Series"/>
        <w:tag w:val="ddSeries"/>
        <w:id w:val="-1688594027"/>
        <w:placeholder>
          <w:docPart w:val="5080C1B64DAA4D3782E7F4A5D66C5374"/>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5" w:edGrp="everyone"/>
          <w:r>
            <w:t>4.a.1 Proportion of schools with access to the internet for pedagogical purposes [4.a.1] (SE_ACS_INTNT)</w:t>
          </w:r>
        </w:p>
      </w:sdtContent>
    </w:sdt>
    <w:permEnd w:id="5"/>
    <w:p>
      <w:pPr>
        <w:spacing w:after="0"/>
        <w:rPr>
          <w:sz w:val="26"/>
          <w:szCs w:val="26"/>
        </w:rPr>
      </w:pPr>
    </w:p>
    <w:sdt>
      <w:sdtPr>
        <w:alias w:val="SDG Series"/>
        <w:tag w:val="ddSeries"/>
        <w:id w:val="-958108014"/>
        <w:placeholder>
          <w:docPart w:val="A5AA516F7B2E4577B620EF03226100BA"/>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6" w:edGrp="everyone"/>
          <w:r>
            <w:t>4.a.1 Proportion of schools with access to access to single-sex basic sanitation [4.a.1] (SE_ACS_SANIT)</w:t>
          </w:r>
        </w:p>
      </w:sdtContent>
    </w:sdt>
    <w:permEnd w:id="6"/>
    <w:p>
      <w:pPr>
        <w:spacing w:after="0"/>
        <w:rPr>
          <w:sz w:val="26"/>
          <w:szCs w:val="26"/>
        </w:rPr>
      </w:pPr>
    </w:p>
    <w:sdt>
      <w:sdtPr>
        <w:alias w:val="SDG Series"/>
        <w:tag w:val="ddSeries"/>
        <w:id w:val="-2044427604"/>
        <w:placeholder>
          <w:docPart w:val="DE2DC522CDAA4879A85BCACE17460BA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7" w:edGrp="everyone"/>
          <w:r>
            <w:t>4.a.1 Proportion of schools with access to adapted infrastructure and materials for students with disabilities [4.a.1] (SE_INF_DSBL)</w:t>
          </w:r>
        </w:p>
      </w:sdtContent>
    </w:sdt>
    <w:permEnd w:id="7"/>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8" w:edGrp="everyone"/>
          <w:r>
            <w:t>Ghana (288)</w:t>
          </w:r>
        </w:p>
      </w:sdtContent>
    </w:sdt>
    <w:permEnd w:id="8"/>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9" w:edGrp="everyone"/>
          <w:r>
            <w:t>en</w:t>
          </w:r>
        </w:p>
      </w:sdtContent>
    </w:sdt>
    <w:permEnd w:id="9"/>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812684"/>
            <w:bookmarkStart w:id="5" w:name="_Toc37932743"/>
            <w:bookmarkStart w:id="6" w:name="_Toc36812571"/>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0"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jc w:val="both"/>
            </w:pPr>
            <w:r>
              <w:rPr>
                <w:rFonts w:cstheme="minorHAnsi"/>
                <w:b w:val="0"/>
                <w:bCs w:val="0"/>
              </w:rPr>
              <w:t>Goal 4:</w:t>
            </w:r>
            <w:r>
              <w:rPr>
                <w:rFonts w:cstheme="minorHAnsi"/>
                <w:b/>
                <w:bCs/>
              </w:rPr>
              <w:t xml:space="preserve"> </w:t>
            </w:r>
            <w:r>
              <w:rPr>
                <w:rFonts w:cstheme="minorHAnsi"/>
              </w:rPr>
              <w:t>Ensure inclusive and equitable quality education and promote lifelong learning opportunities</w:t>
            </w:r>
            <w:r>
              <w:rPr>
                <w:rFonts w:hint="default" w:cstheme="minorHAnsi"/>
                <w:lang w:val="en-CA"/>
              </w:rPr>
              <w:t xml:space="preserve"> </w:t>
            </w:r>
            <w:r>
              <w:rPr>
                <w:rFonts w:cstheme="minorHAnsi"/>
              </w:rPr>
              <w:t>for all</w:t>
            </w:r>
          </w:p>
        </w:tc>
      </w:tr>
      <w:permEnd w:id="11"/>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2"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jc w:val="both"/>
            </w:pPr>
            <w:r>
              <w:rPr>
                <w:rFonts w:cstheme="minorHAnsi"/>
                <w:b w:val="0"/>
                <w:bCs w:val="0"/>
              </w:rPr>
              <w:t>Target 4.a:</w:t>
            </w:r>
            <w:r>
              <w:rPr>
                <w:rFonts w:cstheme="minorHAnsi"/>
                <w:b/>
                <w:bCs/>
              </w:rPr>
              <w:t xml:space="preserve"> </w:t>
            </w:r>
            <w:r>
              <w:rPr>
                <w:rFonts w:cstheme="minorHAnsi"/>
              </w:rPr>
              <w:t>Build and upgrade education facilities that are child, disability and gender sensitive and</w:t>
            </w:r>
            <w:r>
              <w:rPr>
                <w:rFonts w:hint="default" w:cstheme="minorHAnsi"/>
                <w:lang w:val="en-CA"/>
              </w:rPr>
              <w:t xml:space="preserve"> </w:t>
            </w:r>
            <w:r>
              <w:rPr>
                <w:rFonts w:cstheme="minorHAnsi"/>
              </w:rPr>
              <w:t>provide safe, non-violent, inclusive and effective learning environments for all</w:t>
            </w:r>
          </w:p>
        </w:tc>
      </w:tr>
      <w:permEnd w:id="12"/>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3"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jc w:val="both"/>
              <w:rPr>
                <w:rFonts w:hint="default"/>
                <w:b w:val="0"/>
                <w:bCs w:val="0"/>
                <w:lang w:val="en-CA"/>
              </w:rPr>
            </w:pPr>
            <w:r>
              <w:rPr>
                <w:rFonts w:cstheme="minorHAnsi"/>
                <w:b w:val="0"/>
                <w:bCs w:val="0"/>
              </w:rPr>
              <w:t>Indicator 4.a.1:</w:t>
            </w:r>
            <w:r>
              <w:rPr>
                <w:rFonts w:cstheme="minorHAnsi"/>
                <w:b/>
                <w:bCs/>
              </w:rPr>
              <w:t xml:space="preserve"> </w:t>
            </w:r>
            <w:r>
              <w:rPr>
                <w:rFonts w:hint="default" w:cstheme="minorHAnsi"/>
                <w:b w:val="0"/>
                <w:bCs w:val="0"/>
                <w:lang w:val="en-CA"/>
              </w:rPr>
              <w:t>Proportion of schools offering basic services, by type of service</w:t>
            </w:r>
          </w:p>
        </w:tc>
      </w:tr>
      <w:permEnd w:id="13"/>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4"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hint="default"/>
                <w:lang w:val="en-CA"/>
              </w:rPr>
            </w:pPr>
            <w:r>
              <w:rPr>
                <w:rFonts w:hint="default"/>
                <w:lang w:val="en-CA"/>
              </w:rPr>
              <w:t>Proportion of schools with access to basic drinking water [4.a.1]</w:t>
            </w:r>
          </w:p>
          <w:p>
            <w:pPr>
              <w:jc w:val="both"/>
              <w:rPr>
                <w:rFonts w:hint="default"/>
                <w:lang w:val="en-CA"/>
              </w:rPr>
            </w:pPr>
            <w:r>
              <w:rPr>
                <w:rFonts w:hint="default"/>
                <w:lang w:val="en-CA"/>
              </w:rPr>
              <w:t>Proportion of schools with access to electricity [4.a.1]</w:t>
            </w:r>
          </w:p>
          <w:p>
            <w:pPr>
              <w:jc w:val="both"/>
              <w:rPr>
                <w:rFonts w:hint="default"/>
                <w:lang w:val="en-CA"/>
              </w:rPr>
            </w:pPr>
            <w:r>
              <w:rPr>
                <w:rFonts w:hint="default"/>
                <w:lang w:val="en-CA"/>
              </w:rPr>
              <w:t>Proportion of schools with access to toilet facilities</w:t>
            </w:r>
          </w:p>
          <w:p>
            <w:pPr>
              <w:jc w:val="both"/>
              <w:rPr>
                <w:rFonts w:hint="default"/>
                <w:lang w:val="en-CA"/>
              </w:rPr>
            </w:pPr>
            <w:r>
              <w:rPr>
                <w:rFonts w:hint="default"/>
                <w:lang w:val="en-CA"/>
              </w:rPr>
              <w:t>Proportion of schools with access to urinals</w:t>
            </w:r>
          </w:p>
        </w:tc>
      </w:tr>
      <w:permEnd w:id="14"/>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5"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15"/>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6"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7"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UNESCO Institute for Statistics (UIS)</w:t>
            </w:r>
          </w:p>
        </w:tc>
      </w:tr>
      <w:permEnd w:id="17"/>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812685"/>
            <w:bookmarkStart w:id="10" w:name="_Toc36655609"/>
            <w:bookmarkStart w:id="11" w:name="_Toc36813072"/>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8"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19"/>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0"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2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4"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25"/>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2573"/>
            <w:bookmarkStart w:id="15" w:name="_Toc36655610"/>
            <w:bookmarkStart w:id="16" w:name="_Toc368130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6"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jc w:val="both"/>
              <w:rPr>
                <w:rFonts w:cstheme="minorHAnsi"/>
                <w:b/>
                <w:bCs/>
              </w:rPr>
            </w:pPr>
            <w:r>
              <w:rPr>
                <w:rFonts w:cstheme="minorHAnsi"/>
                <w:b/>
                <w:bCs/>
              </w:rPr>
              <w:t>Definition:</w:t>
            </w:r>
          </w:p>
          <w:p>
            <w:pPr>
              <w:autoSpaceDE w:val="0"/>
              <w:autoSpaceDN w:val="0"/>
              <w:adjustRightInd w:val="0"/>
              <w:spacing w:after="0" w:line="240" w:lineRule="auto"/>
              <w:jc w:val="both"/>
              <w:rPr>
                <w:rFonts w:cstheme="minorHAnsi"/>
              </w:rPr>
            </w:pPr>
            <w:r>
              <w:rPr>
                <w:rFonts w:cstheme="minorHAnsi"/>
              </w:rPr>
              <w:t>The percentage of schools by level of education (primary education) with access to the given facility</w:t>
            </w:r>
            <w:r>
              <w:rPr>
                <w:rFonts w:hint="default" w:cstheme="minorHAnsi"/>
                <w:lang w:val="en-CA"/>
              </w:rPr>
              <w:t xml:space="preserve"> </w:t>
            </w:r>
            <w:r>
              <w:rPr>
                <w:rFonts w:cstheme="minorHAnsi"/>
              </w:rPr>
              <w:t>or service.</w:t>
            </w:r>
          </w:p>
          <w:p>
            <w:pPr>
              <w:autoSpaceDE w:val="0"/>
              <w:autoSpaceDN w:val="0"/>
              <w:adjustRightInd w:val="0"/>
              <w:spacing w:after="0" w:line="240" w:lineRule="auto"/>
              <w:jc w:val="both"/>
              <w:rPr>
                <w:rFonts w:cstheme="minorHAnsi"/>
                <w:b/>
                <w:bCs/>
              </w:rPr>
            </w:pPr>
          </w:p>
          <w:p>
            <w:pPr>
              <w:autoSpaceDE w:val="0"/>
              <w:autoSpaceDN w:val="0"/>
              <w:adjustRightInd w:val="0"/>
              <w:spacing w:after="0" w:line="240" w:lineRule="auto"/>
              <w:jc w:val="both"/>
              <w:rPr>
                <w:rFonts w:cstheme="minorHAnsi"/>
                <w:b/>
                <w:bCs/>
              </w:rPr>
            </w:pPr>
            <w:r>
              <w:rPr>
                <w:rFonts w:cstheme="minorHAnsi"/>
                <w:b/>
                <w:bCs/>
              </w:rPr>
              <w:t>Concept:</w:t>
            </w:r>
          </w:p>
          <w:p>
            <w:pPr>
              <w:autoSpaceDE w:val="0"/>
              <w:autoSpaceDN w:val="0"/>
              <w:adjustRightInd w:val="0"/>
              <w:spacing w:after="0" w:line="240" w:lineRule="auto"/>
              <w:jc w:val="both"/>
              <w:rPr>
                <w:rFonts w:cstheme="minorHAnsi"/>
              </w:rPr>
            </w:pPr>
            <w:r>
              <w:rPr>
                <w:rFonts w:cstheme="minorHAnsi"/>
                <w:b w:val="0"/>
                <w:bCs w:val="0"/>
              </w:rPr>
              <w:t>Electricity:</w:t>
            </w:r>
            <w:r>
              <w:rPr>
                <w:rFonts w:cstheme="minorHAnsi"/>
                <w:b/>
                <w:bCs/>
              </w:rPr>
              <w:t xml:space="preserve"> </w:t>
            </w:r>
            <w:r>
              <w:rPr>
                <w:rFonts w:cstheme="minorHAnsi"/>
              </w:rPr>
              <w:t>Regularly and readily available sources of power (e.g. grid/mains connection, wind,</w:t>
            </w:r>
            <w:r>
              <w:rPr>
                <w:rFonts w:hint="default" w:cstheme="minorHAnsi"/>
                <w:lang w:val="en-CA"/>
              </w:rPr>
              <w:t xml:space="preserve"> </w:t>
            </w:r>
            <w:r>
              <w:rPr>
                <w:rFonts w:cstheme="minorHAnsi"/>
              </w:rPr>
              <w:t>water, solar and fuel-powered generator, etc.) that enable the adequate and sustainable use of ICT</w:t>
            </w:r>
            <w:r>
              <w:rPr>
                <w:rFonts w:hint="default" w:cstheme="minorHAnsi"/>
                <w:lang w:val="en-CA"/>
              </w:rPr>
              <w:t xml:space="preserve"> </w:t>
            </w:r>
            <w:r>
              <w:rPr>
                <w:rFonts w:cstheme="minorHAnsi"/>
              </w:rPr>
              <w:t>infrastructure for educational purposes.</w:t>
            </w:r>
          </w:p>
          <w:p>
            <w:pPr>
              <w:autoSpaceDE w:val="0"/>
              <w:autoSpaceDN w:val="0"/>
              <w:adjustRightInd w:val="0"/>
              <w:spacing w:after="0" w:line="240" w:lineRule="auto"/>
              <w:jc w:val="both"/>
              <w:rPr>
                <w:rFonts w:cstheme="minorHAnsi"/>
                <w:b/>
                <w:bCs/>
              </w:rPr>
            </w:pPr>
          </w:p>
          <w:p>
            <w:pPr>
              <w:autoSpaceDE w:val="0"/>
              <w:autoSpaceDN w:val="0"/>
              <w:adjustRightInd w:val="0"/>
              <w:spacing w:after="0" w:line="240" w:lineRule="auto"/>
              <w:jc w:val="both"/>
              <w:rPr>
                <w:rFonts w:cstheme="minorHAnsi"/>
              </w:rPr>
            </w:pPr>
            <w:r>
              <w:rPr>
                <w:rFonts w:cstheme="minorHAnsi"/>
                <w:b w:val="0"/>
                <w:bCs w:val="0"/>
              </w:rPr>
              <w:t>Basic drinking water:</w:t>
            </w:r>
            <w:r>
              <w:rPr>
                <w:rFonts w:cstheme="minorHAnsi"/>
                <w:b/>
                <w:bCs/>
              </w:rPr>
              <w:t xml:space="preserve"> </w:t>
            </w:r>
            <w:r>
              <w:rPr>
                <w:rFonts w:cstheme="minorHAnsi"/>
              </w:rPr>
              <w:t>Is defined as a functional drinking water source (MDG ‘improved’ categories)</w:t>
            </w:r>
            <w:r>
              <w:rPr>
                <w:rFonts w:hint="default" w:cstheme="minorHAnsi"/>
                <w:lang w:val="en-CA"/>
              </w:rPr>
              <w:t xml:space="preserve"> </w:t>
            </w:r>
            <w:r>
              <w:rPr>
                <w:rFonts w:cstheme="minorHAnsi"/>
              </w:rPr>
              <w:t>on or near the premises and water points accessible to all users during school hours.</w:t>
            </w:r>
          </w:p>
          <w:p>
            <w:pPr>
              <w:jc w:val="both"/>
              <w:rPr>
                <w:rFonts w:cstheme="minorHAnsi"/>
                <w:b w:val="0"/>
                <w:bCs w:val="0"/>
              </w:rPr>
            </w:pPr>
          </w:p>
          <w:p>
            <w:pPr>
              <w:jc w:val="both"/>
              <w:rPr>
                <w:rFonts w:cstheme="minorHAnsi"/>
              </w:rPr>
            </w:pPr>
            <w:r>
              <w:rPr>
                <w:rFonts w:cstheme="minorHAnsi"/>
                <w:b w:val="0"/>
                <w:bCs w:val="0"/>
              </w:rPr>
              <w:t>Basic sanitation facilities:</w:t>
            </w:r>
            <w:r>
              <w:rPr>
                <w:rFonts w:cstheme="minorHAnsi"/>
                <w:b/>
                <w:bCs/>
              </w:rPr>
              <w:t xml:space="preserve"> </w:t>
            </w:r>
            <w:r>
              <w:rPr>
                <w:rFonts w:cstheme="minorHAnsi"/>
              </w:rPr>
              <w:t>Are defined as functional sanitation facilities (MDG ‘improved’</w:t>
            </w:r>
            <w:r>
              <w:rPr>
                <w:rFonts w:hint="default" w:cstheme="minorHAnsi"/>
                <w:lang w:val="en-CA"/>
              </w:rPr>
              <w:t xml:space="preserve"> </w:t>
            </w:r>
            <w:r>
              <w:rPr>
                <w:rFonts w:cstheme="minorHAnsi"/>
              </w:rPr>
              <w:t>categories) separated for males and females on or near the premises.</w:t>
            </w:r>
          </w:p>
          <w:p>
            <w:pPr>
              <w:autoSpaceDE w:val="0"/>
              <w:autoSpaceDN w:val="0"/>
              <w:adjustRightInd w:val="0"/>
              <w:spacing w:after="0" w:line="240" w:lineRule="auto"/>
              <w:jc w:val="both"/>
              <w:rPr>
                <w:rFonts w:cstheme="minorHAnsi"/>
              </w:rPr>
            </w:pPr>
            <w:r>
              <w:rPr>
                <w:rFonts w:cstheme="minorHAnsi"/>
                <w:b w:val="0"/>
                <w:bCs w:val="0"/>
              </w:rPr>
              <w:t xml:space="preserve">Basic hand washing facilities: </w:t>
            </w:r>
            <w:r>
              <w:rPr>
                <w:rFonts w:cstheme="minorHAnsi"/>
              </w:rPr>
              <w:t>Are defined as functional hand washing facilities, with soap and</w:t>
            </w:r>
            <w:r>
              <w:rPr>
                <w:rFonts w:hint="default" w:cstheme="minorHAnsi"/>
                <w:lang w:val="en-CA"/>
              </w:rPr>
              <w:t xml:space="preserve"> </w:t>
            </w:r>
            <w:r>
              <w:rPr>
                <w:rFonts w:cstheme="minorHAnsi"/>
              </w:rPr>
              <w:t>water available to all girls and boys.</w:t>
            </w:r>
          </w:p>
        </w:tc>
      </w:tr>
      <w:permEnd w:id="27"/>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age (%)</w:t>
            </w:r>
          </w:p>
        </w:tc>
      </w:tr>
      <w:permEnd w:id="28"/>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9"/>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30"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jc w:val="both"/>
              <w:rPr>
                <w:rFonts w:cstheme="minorHAnsi"/>
              </w:rPr>
            </w:pPr>
            <w:r>
              <w:rPr>
                <w:rFonts w:cstheme="minorHAnsi"/>
              </w:rPr>
              <w:t>Administrative data from schools and other providers of education or training.</w:t>
            </w:r>
          </w:p>
          <w:p>
            <w:pPr>
              <w:jc w:val="both"/>
              <w:rPr>
                <w:rFonts w:hint="default" w:cstheme="minorHAnsi"/>
                <w:lang w:val="en-CA"/>
              </w:rPr>
            </w:pPr>
            <w:r>
              <w:rPr>
                <w:rFonts w:hint="default" w:cstheme="minorHAnsi"/>
                <w:lang w:val="en-CA"/>
              </w:rPr>
              <w:t>Ghana’s Sustainable Development Goals (SDGs) Report , 2020</w:t>
            </w:r>
          </w:p>
        </w:tc>
      </w:tr>
      <w:permEnd w:id="31"/>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2"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rPr>
                <w:rFonts w:cstheme="minorHAnsi"/>
              </w:rPr>
            </w:pPr>
          </w:p>
        </w:tc>
      </w:tr>
      <w:permEnd w:id="32"/>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Ministry of Education (MoE)</w:t>
            </w:r>
          </w:p>
          <w:p>
            <w:pPr>
              <w:rPr>
                <w:rFonts w:hint="default"/>
                <w:lang w:val="en-CA"/>
              </w:rPr>
            </w:pPr>
            <w:r>
              <w:rPr>
                <w:rFonts w:hint="default"/>
                <w:lang w:val="en-CA"/>
              </w:rPr>
              <w:t>National Development Planning Committee (NDPC)</w:t>
            </w:r>
          </w:p>
        </w:tc>
      </w:tr>
      <w:permEnd w:id="3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7"/>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3075"/>
            <w:bookmarkStart w:id="22" w:name="_Toc36812575"/>
            <w:bookmarkStart w:id="23" w:name="_Toc37932747"/>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8"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jc w:val="both"/>
              <w:rPr>
                <w:rFonts w:cstheme="minorHAnsi"/>
              </w:rPr>
            </w:pPr>
            <w:r>
              <w:rPr>
                <w:rFonts w:cstheme="minorHAnsi"/>
              </w:rPr>
              <w:t>The indicator measures access in schools to key basic services and facilities necessary to ensure a</w:t>
            </w:r>
            <w:r>
              <w:rPr>
                <w:rFonts w:hint="default" w:cstheme="minorHAnsi"/>
                <w:lang w:val="en-CA"/>
              </w:rPr>
              <w:t xml:space="preserve"> s</w:t>
            </w:r>
            <w:r>
              <w:rPr>
                <w:rFonts w:cstheme="minorHAnsi"/>
              </w:rPr>
              <w:t>afe and effective learning environment for all students.</w:t>
            </w:r>
          </w:p>
          <w:p>
            <w:pPr>
              <w:autoSpaceDE w:val="0"/>
              <w:autoSpaceDN w:val="0"/>
              <w:adjustRightInd w:val="0"/>
              <w:spacing w:after="0" w:line="240" w:lineRule="auto"/>
              <w:jc w:val="both"/>
            </w:pPr>
            <w:r>
              <w:rPr>
                <w:rFonts w:cstheme="minorHAnsi"/>
              </w:rPr>
              <w:t>A high value indicates that schools have good access to the relevant services and facilities. Ideally</w:t>
            </w:r>
            <w:r>
              <w:rPr>
                <w:rFonts w:hint="default" w:cstheme="minorHAnsi"/>
                <w:lang w:val="en-CA"/>
              </w:rPr>
              <w:t xml:space="preserve"> </w:t>
            </w:r>
            <w:r>
              <w:rPr>
                <w:rFonts w:cstheme="minorHAnsi"/>
              </w:rPr>
              <w:t>each school should have access to all these services and facilities.</w:t>
            </w: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jc w:val="both"/>
            </w:pPr>
            <w:r>
              <w:rPr>
                <w:rFonts w:cstheme="minorHAnsi"/>
              </w:rPr>
              <w:t>The indicator measures the existence in schools of the given service or facility but not its quality or</w:t>
            </w:r>
            <w:r>
              <w:rPr>
                <w:rFonts w:hint="default" w:cstheme="minorHAnsi"/>
                <w:lang w:val="en-CA"/>
              </w:rPr>
              <w:t xml:space="preserve"> </w:t>
            </w:r>
            <w:r>
              <w:rPr>
                <w:rFonts w:cstheme="minorHAnsi"/>
              </w:rPr>
              <w:t>operational state.</w:t>
            </w: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jc w:val="both"/>
            </w:pPr>
            <w:r>
              <w:rPr>
                <w:rFonts w:cstheme="minorHAnsi"/>
              </w:rPr>
              <w:t>The number of schools in a given level of education with access to the relevant facilities is expressed</w:t>
            </w:r>
            <w:r>
              <w:rPr>
                <w:rFonts w:hint="default" w:cstheme="minorHAnsi"/>
                <w:lang w:val="en-CA"/>
              </w:rPr>
              <w:t xml:space="preserve"> </w:t>
            </w:r>
            <w:r>
              <w:rPr>
                <w:rFonts w:cstheme="minorHAnsi"/>
              </w:rPr>
              <w:t xml:space="preserve">as a percentage of all schools at that level of education. </w:t>
            </w: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4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4"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4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5"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4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6"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7"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8"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rPr>
                <w:rFonts w:cstheme="minorHAnsi"/>
              </w:rPr>
            </w:pPr>
          </w:p>
        </w:tc>
      </w:tr>
      <w:permEnd w:id="4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9"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9"/>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812576"/>
            <w:bookmarkStart w:id="27" w:name="_Toc37932748"/>
            <w:bookmarkStart w:id="28" w:name="_Toc36813076"/>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50"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cstheme="minorHAnsi"/>
                <w:lang w:val="en-CA"/>
              </w:rPr>
              <w:t>This data is d</w:t>
            </w:r>
            <w:r>
              <w:rPr>
                <w:rFonts w:cstheme="minorHAnsi"/>
              </w:rPr>
              <w:t>isaggregat</w:t>
            </w:r>
            <w:r>
              <w:rPr>
                <w:rFonts w:hint="default" w:cstheme="minorHAnsi"/>
                <w:lang w:val="en-CA"/>
              </w:rPr>
              <w:t xml:space="preserve">ed </w:t>
            </w:r>
            <w:r>
              <w:rPr>
                <w:rFonts w:cstheme="minorHAnsi"/>
              </w:rPr>
              <w:t>by</w:t>
            </w:r>
            <w:r>
              <w:rPr>
                <w:rFonts w:hint="default" w:cstheme="minorHAnsi"/>
                <w:lang w:val="en-CA"/>
              </w:rPr>
              <w:t xml:space="preserve"> sector.</w:t>
            </w:r>
            <w:bookmarkStart w:id="38" w:name="_GoBack"/>
            <w:bookmarkEnd w:id="38"/>
          </w:p>
        </w:tc>
      </w:tr>
      <w:permEnd w:id="50"/>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51"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51"/>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52"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pPr>
            <w:r>
              <w:rPr>
                <w:rFonts w:cstheme="minorHAnsi"/>
              </w:rPr>
              <w:fldChar w:fldCharType="begin"/>
            </w:r>
            <w:r>
              <w:rPr>
                <w:rFonts w:cstheme="minorHAnsi"/>
              </w:rPr>
              <w:instrText xml:space="preserve"> HYPERLINK "http://uis.unesco.org/" </w:instrText>
            </w:r>
            <w:r>
              <w:rPr>
                <w:rFonts w:cstheme="minorHAnsi"/>
              </w:rPr>
              <w:fldChar w:fldCharType="separate"/>
            </w:r>
            <w:r>
              <w:rPr>
                <w:rStyle w:val="18"/>
                <w:rFonts w:cstheme="minorHAnsi"/>
              </w:rPr>
              <w:t>http://www.uis.unesco.org/Pages/default.aspx</w:t>
            </w:r>
            <w:r>
              <w:rPr>
                <w:rFonts w:cstheme="minorHAnsi"/>
              </w:rPr>
              <w:fldChar w:fldCharType="end"/>
            </w:r>
          </w:p>
        </w:tc>
      </w:tr>
      <w:permEnd w:id="52"/>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24D3"/>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94273"/>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376EE"/>
    <w:rsid w:val="00344199"/>
    <w:rsid w:val="003514F3"/>
    <w:rsid w:val="00352386"/>
    <w:rsid w:val="0035311B"/>
    <w:rsid w:val="00355460"/>
    <w:rsid w:val="00372D21"/>
    <w:rsid w:val="00380958"/>
    <w:rsid w:val="003812B1"/>
    <w:rsid w:val="0039535F"/>
    <w:rsid w:val="003A3746"/>
    <w:rsid w:val="003B1388"/>
    <w:rsid w:val="003B3C76"/>
    <w:rsid w:val="003C1134"/>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37D75"/>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AF3836"/>
    <w:rsid w:val="00B137EE"/>
    <w:rsid w:val="00B13CEC"/>
    <w:rsid w:val="00B66AF3"/>
    <w:rsid w:val="00B71AEA"/>
    <w:rsid w:val="00B74489"/>
    <w:rsid w:val="00B8102F"/>
    <w:rsid w:val="00B818CA"/>
    <w:rsid w:val="00B97297"/>
    <w:rsid w:val="00B979B1"/>
    <w:rsid w:val="00BA71B8"/>
    <w:rsid w:val="00BB553B"/>
    <w:rsid w:val="00BD7158"/>
    <w:rsid w:val="00BE3834"/>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116BD"/>
    <w:rsid w:val="00F2310E"/>
    <w:rsid w:val="00F54570"/>
    <w:rsid w:val="00F75853"/>
    <w:rsid w:val="00F7784D"/>
    <w:rsid w:val="00F8144F"/>
    <w:rsid w:val="00F8462A"/>
    <w:rsid w:val="00F862A7"/>
    <w:rsid w:val="00F93763"/>
    <w:rsid w:val="00F939A2"/>
    <w:rsid w:val="00F96E8D"/>
    <w:rsid w:val="00FA20D9"/>
    <w:rsid w:val="00FB03D0"/>
    <w:rsid w:val="00FD54D7"/>
    <w:rsid w:val="00FF642D"/>
    <w:rsid w:val="026437F2"/>
    <w:rsid w:val="2ED75447"/>
    <w:rsid w:val="59DD295F"/>
    <w:rsid w:val="5A5A16F1"/>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qFormat="1"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markedcontent"/>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
      <w:docPartPr>
        <w:name w:val="946E9284723F470CAAD047219403540E"/>
        <w:style w:val=""/>
        <w:category>
          <w:name w:val="General"/>
          <w:gallery w:val="placeholder"/>
        </w:category>
        <w:types>
          <w:type w:val="bbPlcHdr"/>
        </w:types>
        <w:behaviors>
          <w:behavior w:val="content"/>
        </w:behaviors>
        <w:description w:val=""/>
        <w:guid w:val="{E97BC501-CC0C-444F-935E-C374F451B4E2}"/>
      </w:docPartPr>
      <w:docPartBody>
        <w:p>
          <w:pPr>
            <w:pStyle w:val="10"/>
          </w:pPr>
          <w:r>
            <w:rPr>
              <w:rStyle w:val="4"/>
            </w:rPr>
            <w:t>Choose an item.</w:t>
          </w:r>
        </w:p>
      </w:docPartBody>
    </w:docPart>
    <w:docPart>
      <w:docPartPr>
        <w:name w:val="7EBD0ED0173E41F5966E9D1FC91C608F"/>
        <w:style w:val=""/>
        <w:category>
          <w:name w:val="General"/>
          <w:gallery w:val="placeholder"/>
        </w:category>
        <w:types>
          <w:type w:val="bbPlcHdr"/>
        </w:types>
        <w:behaviors>
          <w:behavior w:val="content"/>
        </w:behaviors>
        <w:description w:val=""/>
        <w:guid w:val="{F6E56A69-3EDC-42B9-A16B-AD0E86AFDEF1}"/>
      </w:docPartPr>
      <w:docPartBody>
        <w:p>
          <w:pPr>
            <w:pStyle w:val="11"/>
          </w:pPr>
          <w:r>
            <w:rPr>
              <w:rStyle w:val="4"/>
            </w:rPr>
            <w:t>Choose an item.</w:t>
          </w:r>
        </w:p>
      </w:docPartBody>
    </w:docPart>
    <w:docPart>
      <w:docPartPr>
        <w:name w:val="72A3CE4697054974B1DEFCEF1558F62F"/>
        <w:style w:val=""/>
        <w:category>
          <w:name w:val="General"/>
          <w:gallery w:val="placeholder"/>
        </w:category>
        <w:types>
          <w:type w:val="bbPlcHdr"/>
        </w:types>
        <w:behaviors>
          <w:behavior w:val="content"/>
        </w:behaviors>
        <w:description w:val=""/>
        <w:guid w:val="{B0A7EE5D-33AC-4728-AC2E-85B9A04C9A53}"/>
      </w:docPartPr>
      <w:docPartBody>
        <w:p>
          <w:pPr>
            <w:pStyle w:val="12"/>
          </w:pPr>
          <w:r>
            <w:rPr>
              <w:rStyle w:val="4"/>
            </w:rPr>
            <w:t>Choose an item.</w:t>
          </w:r>
        </w:p>
      </w:docPartBody>
    </w:docPart>
    <w:docPart>
      <w:docPartPr>
        <w:name w:val="5080C1B64DAA4D3782E7F4A5D66C5374"/>
        <w:style w:val=""/>
        <w:category>
          <w:name w:val="General"/>
          <w:gallery w:val="placeholder"/>
        </w:category>
        <w:types>
          <w:type w:val="bbPlcHdr"/>
        </w:types>
        <w:behaviors>
          <w:behavior w:val="content"/>
        </w:behaviors>
        <w:description w:val=""/>
        <w:guid w:val="{9EE742F7-E151-4870-B094-846B8D3FF4C1}"/>
      </w:docPartPr>
      <w:docPartBody>
        <w:p>
          <w:pPr>
            <w:pStyle w:val="13"/>
          </w:pPr>
          <w:r>
            <w:rPr>
              <w:rStyle w:val="4"/>
            </w:rPr>
            <w:t>Choose an item.</w:t>
          </w:r>
        </w:p>
      </w:docPartBody>
    </w:docPart>
    <w:docPart>
      <w:docPartPr>
        <w:name w:val="A5AA516F7B2E4577B620EF03226100BA"/>
        <w:style w:val=""/>
        <w:category>
          <w:name w:val="General"/>
          <w:gallery w:val="placeholder"/>
        </w:category>
        <w:types>
          <w:type w:val="bbPlcHdr"/>
        </w:types>
        <w:behaviors>
          <w:behavior w:val="content"/>
        </w:behaviors>
        <w:description w:val=""/>
        <w:guid w:val="{9F905BB4-10F2-4ABA-AF1C-CC8CEC3BD2B7}"/>
      </w:docPartPr>
      <w:docPartBody>
        <w:p>
          <w:pPr>
            <w:pStyle w:val="14"/>
          </w:pPr>
          <w:r>
            <w:rPr>
              <w:rStyle w:val="4"/>
            </w:rPr>
            <w:t>Choose an item.</w:t>
          </w:r>
        </w:p>
      </w:docPartBody>
    </w:docPart>
    <w:docPart>
      <w:docPartPr>
        <w:name w:val="DE2DC522CDAA4879A85BCACE17460BA5"/>
        <w:style w:val=""/>
        <w:category>
          <w:name w:val="General"/>
          <w:gallery w:val="placeholder"/>
        </w:category>
        <w:types>
          <w:type w:val="bbPlcHdr"/>
        </w:types>
        <w:behaviors>
          <w:behavior w:val="content"/>
        </w:behaviors>
        <w:description w:val=""/>
        <w:guid w:val="{793882CF-A9E7-4FB7-B75E-56246A47C76A}"/>
      </w:docPartPr>
      <w:docPartBody>
        <w:p>
          <w:pPr>
            <w:pStyle w:val="15"/>
          </w:pPr>
          <w:r>
            <w:rPr>
              <w:rStyle w:val="4"/>
            </w:rPr>
            <w:t>Choose an item.</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20EA8"/>
    <w:rsid w:val="00296525"/>
    <w:rsid w:val="0036646D"/>
    <w:rsid w:val="006153AA"/>
    <w:rsid w:val="0064052E"/>
    <w:rsid w:val="00760A1F"/>
    <w:rsid w:val="008D5E64"/>
    <w:rsid w:val="00DA061B"/>
    <w:rsid w:val="00E4246B"/>
    <w:rsid w:val="00E95E77"/>
    <w:rsid w:val="00ED41A0"/>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10">
    <w:name w:val="946E9284723F470CAAD047219403540E"/>
    <w:qFormat/>
    <w:uiPriority w:val="0"/>
    <w:pPr>
      <w:spacing w:after="160" w:line="259" w:lineRule="auto"/>
    </w:pPr>
    <w:rPr>
      <w:rFonts w:asciiTheme="minorHAnsi" w:hAnsiTheme="minorHAnsi" w:eastAsiaTheme="minorEastAsia" w:cstheme="minorBidi"/>
      <w:sz w:val="22"/>
      <w:szCs w:val="22"/>
      <w:lang w:val="en-US" w:eastAsia="en-US" w:bidi="ar-SA"/>
    </w:rPr>
  </w:style>
  <w:style w:type="paragraph" w:customStyle="1" w:styleId="11">
    <w:name w:val="7EBD0ED0173E41F5966E9D1FC91C608F"/>
    <w:qFormat/>
    <w:uiPriority w:val="0"/>
    <w:pPr>
      <w:spacing w:after="160" w:line="259" w:lineRule="auto"/>
    </w:pPr>
    <w:rPr>
      <w:rFonts w:asciiTheme="minorHAnsi" w:hAnsiTheme="minorHAnsi" w:eastAsiaTheme="minorEastAsia" w:cstheme="minorBidi"/>
      <w:sz w:val="22"/>
      <w:szCs w:val="22"/>
      <w:lang w:val="en-US" w:eastAsia="en-US" w:bidi="ar-SA"/>
    </w:rPr>
  </w:style>
  <w:style w:type="paragraph" w:customStyle="1" w:styleId="12">
    <w:name w:val="72A3CE4697054974B1DEFCEF1558F62F"/>
    <w:qFormat/>
    <w:uiPriority w:val="0"/>
    <w:pPr>
      <w:spacing w:after="160" w:line="259" w:lineRule="auto"/>
    </w:pPr>
    <w:rPr>
      <w:rFonts w:asciiTheme="minorHAnsi" w:hAnsiTheme="minorHAnsi" w:eastAsiaTheme="minorEastAsia" w:cstheme="minorBidi"/>
      <w:sz w:val="22"/>
      <w:szCs w:val="22"/>
      <w:lang w:val="en-US" w:eastAsia="en-US" w:bidi="ar-SA"/>
    </w:rPr>
  </w:style>
  <w:style w:type="paragraph" w:customStyle="1" w:styleId="13">
    <w:name w:val="5080C1B64DAA4D3782E7F4A5D66C5374"/>
    <w:qFormat/>
    <w:uiPriority w:val="0"/>
    <w:pPr>
      <w:spacing w:after="160" w:line="259" w:lineRule="auto"/>
    </w:pPr>
    <w:rPr>
      <w:rFonts w:asciiTheme="minorHAnsi" w:hAnsiTheme="minorHAnsi" w:eastAsiaTheme="minorEastAsia" w:cstheme="minorBidi"/>
      <w:sz w:val="22"/>
      <w:szCs w:val="22"/>
      <w:lang w:val="en-US" w:eastAsia="en-US" w:bidi="ar-SA"/>
    </w:rPr>
  </w:style>
  <w:style w:type="paragraph" w:customStyle="1" w:styleId="14">
    <w:name w:val="A5AA516F7B2E4577B620EF03226100BA"/>
    <w:qFormat/>
    <w:uiPriority w:val="0"/>
    <w:pPr>
      <w:spacing w:after="160" w:line="259" w:lineRule="auto"/>
    </w:pPr>
    <w:rPr>
      <w:rFonts w:asciiTheme="minorHAnsi" w:hAnsiTheme="minorHAnsi" w:eastAsiaTheme="minorEastAsia" w:cstheme="minorBidi"/>
      <w:sz w:val="22"/>
      <w:szCs w:val="22"/>
      <w:lang w:val="en-US" w:eastAsia="en-US" w:bidi="ar-SA"/>
    </w:rPr>
  </w:style>
  <w:style w:type="paragraph" w:customStyle="1" w:styleId="15">
    <w:name w:val="DE2DC522CDAA4879A85BCACE17460BA5"/>
    <w:qFormat/>
    <w:uiPriority w:val="0"/>
    <w:pPr>
      <w:spacing w:after="160" w:line="259" w:lineRule="auto"/>
    </w:pPr>
    <w:rPr>
      <w:rFonts w:asciiTheme="minorHAnsi" w:hAnsiTheme="minorHAnsi" w:eastAsiaTheme="minorEastAsia"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14</Pages>
  <Words>216409</Words>
  <Characters>1233534</Characters>
  <Lines>10279</Lines>
  <Paragraphs>2894</Paragraphs>
  <TotalTime>1</TotalTime>
  <ScaleCrop>false</ScaleCrop>
  <LinksUpToDate>false</LinksUpToDate>
  <CharactersWithSpaces>1447049</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2021-10-26T12:19:00Z</dcterms:created>
  <dc:creator>Fanning, Stephen B (JMD)</dc:creator>
  <cp:lastModifiedBy>Doreen</cp:lastModifiedBy>
  <cp:lastPrinted>2020-04-16T14:23:00Z</cp:lastPrinted>
  <dcterms:modified xsi:type="dcterms:W3CDTF">2022-11-13T10:57:34Z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515F2C5307734CA5AFBE9DC2741F0478</vt:lpwstr>
  </property>
</Properties>
</file>