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5.2.1 Proportion of ever-partnered women and girls subjected to physical and sexual violence by a current or former intimate partner in the previous 12 months [5.2.1] (VC_VAW_MARR)</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7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3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812571"/>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pPr>
            <w: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jc w:val="both"/>
            </w:pPr>
            <w:r>
              <w:rPr>
                <w:color w:val="333333"/>
              </w:rPr>
              <w:t>Target 5.2: Eliminate all forms of violence against all women and girls in the public and private spheres, including trafficking and sexual and other types of exploitation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5.2.1: Proportion of ever-partnered women and girls aged 15 years and older subjected to physical, sexual or psychological violence by a current or former intimate partner in the previous 12 months, by form of violence and by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ever-partnered women and girls subjected to physical violence by a current or former intimate partner in the previous 12 months [5.2.1]</w:t>
            </w:r>
          </w:p>
          <w:p>
            <w:pPr>
              <w:jc w:val="both"/>
              <w:rPr>
                <w:rFonts w:hint="default"/>
                <w:lang w:val="en-CA"/>
              </w:rPr>
            </w:pPr>
            <w:r>
              <w:rPr>
                <w:rFonts w:hint="default"/>
                <w:lang w:val="en-CA"/>
              </w:rPr>
              <w:t>Proportion of ever-partnered women and girls subjected to psychological violence by a current or former intimate partner in the previous 12 months [5.2.1]</w:t>
            </w:r>
          </w:p>
          <w:p>
            <w:pPr>
              <w:jc w:val="both"/>
              <w:rPr>
                <w:rFonts w:hint="default"/>
                <w:lang w:val="en-CA"/>
              </w:rPr>
            </w:pPr>
            <w:r>
              <w:rPr>
                <w:rFonts w:hint="default"/>
                <w:lang w:val="en-CA"/>
              </w:rPr>
              <w:t>Proportion of ever-partnered women and girls subjected to sexual violence by a current or former intimate partner in the previous 12 months [5.2.1]</w:t>
            </w:r>
            <w:bookmarkStart w:id="38" w:name="_GoBack"/>
            <w:bookmarkEnd w:id="38"/>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jc w:val="both"/>
              <w:rPr>
                <w:color w:val="333333"/>
              </w:rPr>
            </w:pPr>
            <w:r>
              <w:rPr>
                <w:color w:val="333333"/>
              </w:rPr>
              <w:t>5.2.2</w:t>
            </w:r>
          </w:p>
          <w:p>
            <w:pPr>
              <w:shd w:val="clear" w:color="auto" w:fill="F5F5F5"/>
              <w:spacing w:after="100" w:line="240" w:lineRule="auto"/>
              <w:jc w:val="both"/>
              <w:rPr>
                <w:color w:val="333333"/>
              </w:rPr>
            </w:pPr>
            <w:r>
              <w:rPr>
                <w:color w:val="333333"/>
              </w:rPr>
              <w:t>11.7.2</w:t>
            </w:r>
          </w:p>
          <w:p>
            <w:pPr>
              <w:shd w:val="clear" w:color="auto" w:fill="F5F5F5"/>
              <w:spacing w:after="100" w:line="240" w:lineRule="auto"/>
              <w:jc w:val="both"/>
              <w:rPr>
                <w:color w:val="333333"/>
              </w:rPr>
            </w:pPr>
            <w:r>
              <w:rPr>
                <w:color w:val="333333"/>
              </w:rPr>
              <w:t>16.1.3</w:t>
            </w:r>
          </w:p>
          <w:p>
            <w:pPr>
              <w:shd w:val="clear" w:color="auto" w:fill="F5F5F5"/>
              <w:spacing w:after="100" w:line="240" w:lineRule="auto"/>
              <w:jc w:val="both"/>
            </w:pPr>
            <w:r>
              <w:rPr>
                <w:color w:val="333333"/>
              </w:rPr>
              <w:t>16.2.3</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rPr>
                <w:color w:val="333333"/>
              </w:rPr>
            </w:pPr>
            <w:r>
              <w:rPr>
                <w:color w:val="333333"/>
              </w:rPr>
              <w:t>United Nations Children's Fund (UNICEF)</w:t>
            </w:r>
          </w:p>
          <w:p>
            <w:pPr>
              <w:shd w:val="clear" w:color="auto" w:fill="F5F5F5"/>
              <w:spacing w:after="100" w:line="240" w:lineRule="auto"/>
              <w:rPr>
                <w:color w:val="333333"/>
              </w:rPr>
            </w:pPr>
            <w:r>
              <w:rPr>
                <w:color w:val="333333"/>
              </w:rPr>
              <w:t>United Nations Entity for Gender Equality and the Empowerment of Women (UN Women)</w:t>
            </w:r>
          </w:p>
          <w:p>
            <w:pPr>
              <w:shd w:val="clear" w:color="auto" w:fill="F5F5F5"/>
              <w:spacing w:after="100" w:line="240" w:lineRule="auto"/>
              <w:rPr>
                <w:color w:val="333333"/>
              </w:rPr>
            </w:pPr>
            <w:r>
              <w:rPr>
                <w:color w:val="333333"/>
              </w:rPr>
              <w:t>United Nations Office on Drugs and Crime (UNODC)</w:t>
            </w:r>
          </w:p>
          <w:p>
            <w:pPr>
              <w:shd w:val="clear" w:color="auto" w:fill="F5F5F5"/>
              <w:spacing w:after="100" w:line="240" w:lineRule="auto"/>
              <w:rPr>
                <w:color w:val="333333"/>
              </w:rPr>
            </w:pPr>
            <w:r>
              <w:rPr>
                <w:color w:val="333333"/>
              </w:rPr>
              <w:t>United Nations Population Fund (UNFPA)</w:t>
            </w:r>
          </w:p>
          <w:p>
            <w:pPr>
              <w:shd w:val="clear" w:color="auto" w:fill="F5F5F5"/>
              <w:spacing w:after="100" w:line="240" w:lineRule="auto"/>
              <w:rPr>
                <w:color w:val="333333"/>
              </w:rPr>
            </w:pPr>
            <w:r>
              <w:rPr>
                <w:color w:val="333333"/>
              </w:rPr>
              <w:t>United Nations Statistics Division (UNSD)</w:t>
            </w:r>
          </w:p>
          <w:p>
            <w:pPr>
              <w:shd w:val="clear" w:color="auto" w:fill="F5F5F5"/>
              <w:spacing w:after="100" w:line="240" w:lineRule="auto"/>
            </w:pPr>
            <w:r>
              <w:rPr>
                <w:color w:val="333333"/>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685"/>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812573"/>
            <w:bookmarkStart w:id="16" w:name="_Toc368130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b/>
                <w:color w:val="4A4A4A"/>
              </w:rPr>
            </w:pPr>
            <w:r>
              <w:rPr>
                <w:b/>
                <w:color w:val="4A4A4A"/>
              </w:rPr>
              <w:t>Definition:</w:t>
            </w:r>
          </w:p>
          <w:p>
            <w:pPr>
              <w:shd w:val="clear" w:color="auto" w:fill="FFFFFF"/>
              <w:spacing w:after="0"/>
              <w:rPr>
                <w:color w:val="4A4A4A"/>
              </w:rPr>
            </w:pPr>
            <w:r>
              <w:rPr>
                <w:color w:val="4A4A4A"/>
              </w:rPr>
              <w:t xml:space="preserve">This indicator measures the percentage of ever-partnered women and girls aged 15 years and older who have experienced physical, sexual or psychological violence by a current or former intimate partner, in the previous 12 months. </w:t>
            </w:r>
          </w:p>
          <w:sdt>
            <w:sdtPr>
              <w:tag w:val="goog_rdk_17"/>
              <w:id w:val="-1476833625"/>
            </w:sdtPr>
            <w:sdtContent>
              <w:p>
                <w:pPr>
                  <w:shd w:val="clear" w:color="auto" w:fill="FFFFFF"/>
                  <w:spacing w:after="0"/>
                  <w:rPr>
                    <w:color w:val="4A4A4A"/>
                  </w:rPr>
                </w:pPr>
                <w:sdt>
                  <w:sdtPr>
                    <w:tag w:val="goog_rdk_16"/>
                    <w:id w:val="-523249759"/>
                  </w:sdtPr>
                  <w:sdtContent/>
                </w:sdt>
              </w:p>
            </w:sdtContent>
          </w:sdt>
          <w:p>
            <w:pPr>
              <w:shd w:val="clear" w:color="auto" w:fill="FFFFFF"/>
              <w:spacing w:after="0"/>
              <w:rPr>
                <w:b/>
                <w:color w:val="4A4A4A"/>
              </w:rPr>
            </w:pPr>
            <w:r>
              <w:rPr>
                <w:b/>
                <w:color w:val="4A4A4A"/>
              </w:rPr>
              <w:t>Concepts:</w:t>
            </w:r>
          </w:p>
          <w:p>
            <w:pPr>
              <w:shd w:val="clear" w:color="auto" w:fill="FFFFFF"/>
              <w:spacing w:after="120"/>
              <w:rPr>
                <w:color w:val="4A4A4A"/>
              </w:rPr>
            </w:pPr>
            <w:r>
              <w:rPr>
                <w:color w:val="4A4A4A"/>
              </w:rPr>
              <w:t xml:space="preserve">According to the </w:t>
            </w:r>
            <w:r>
              <w:rPr>
                <w:color w:val="4A4A4A"/>
              </w:rPr>
              <w:fldChar w:fldCharType="begin"/>
            </w:r>
            <w:r>
              <w:rPr>
                <w:color w:val="4A4A4A"/>
              </w:rPr>
              <w:instrText xml:space="preserve"> HYPERLINK "https://www.ohchr.org/en/instruments-mechanisms/instruments/declaration-elimination-violence-against-women" </w:instrText>
            </w:r>
            <w:r>
              <w:rPr>
                <w:color w:val="4A4A4A"/>
              </w:rPr>
              <w:fldChar w:fldCharType="separate"/>
            </w:r>
            <w:r>
              <w:rPr>
                <w:rStyle w:val="18"/>
                <w:color w:val="4A4A4A"/>
              </w:rPr>
              <w:t>UN Declaration on the Elimination of Violence against Women (1993)</w:t>
            </w:r>
            <w:r>
              <w:rPr>
                <w:color w:val="4A4A4A"/>
              </w:rPr>
              <w:fldChar w:fldCharType="end"/>
            </w:r>
            <w:r>
              <w:rPr>
                <w:color w:val="4A4A4A"/>
              </w:rPr>
              <w:t xml:space="preserve">, violence against women is “Any act of gender-based violence that results in, or is likely to result in, physical, sexual or psychological harm or suffering to women, including threats of such acts, coercion or arbitrary deprivation of liberty, whether occurring in public or in private life. </w:t>
            </w:r>
          </w:p>
          <w:p>
            <w:pPr>
              <w:shd w:val="clear" w:color="auto" w:fill="FFFFFF"/>
              <w:spacing w:after="120"/>
            </w:pPr>
            <w:r>
              <w:rPr>
                <w:color w:val="4A4A4A"/>
              </w:rPr>
              <w:t>Intimate partner violence against women includes any abuse perpetrated by a current or former partner within the context of marriage, cohabitation or any other formal or informal union.</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jc w:val="both"/>
            </w:pPr>
            <w:r>
              <w:t xml:space="preserve"> 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rPr>
                <w:rFonts w:eastAsia="Calibri" w:cstheme="minorHAnsi"/>
              </w:rPr>
            </w:pPr>
            <w:r>
              <w:rPr>
                <w:rFonts w:eastAsia="Calibri" w:cstheme="minorHAnsi"/>
              </w:rPr>
              <w:t>Annual Progress Reports on the implementation of M</w:t>
            </w:r>
            <w:r>
              <w:rPr>
                <w:rFonts w:eastAsia="Calibri" w:cstheme="minorHAnsi"/>
                <w:lang w:val="en-CA"/>
              </w:rPr>
              <w:t xml:space="preserve">edium </w:t>
            </w:r>
            <w:r>
              <w:rPr>
                <w:rFonts w:eastAsia="Calibri" w:cstheme="minorHAnsi"/>
              </w:rPr>
              <w:t>T</w:t>
            </w:r>
            <w:r>
              <w:rPr>
                <w:rFonts w:eastAsia="Calibri" w:cstheme="minorHAnsi"/>
                <w:lang w:val="en-CA"/>
              </w:rPr>
              <w:t xml:space="preserve">erm </w:t>
            </w:r>
            <w:r>
              <w:rPr>
                <w:rFonts w:eastAsia="Calibri" w:cstheme="minorHAnsi"/>
              </w:rPr>
              <w:t>N</w:t>
            </w:r>
            <w:r>
              <w:rPr>
                <w:rFonts w:eastAsia="Calibri" w:cstheme="minorHAnsi"/>
                <w:lang w:val="en-CA"/>
              </w:rPr>
              <w:t xml:space="preserve">ational </w:t>
            </w:r>
            <w:r>
              <w:rPr>
                <w:rFonts w:eastAsia="Calibri" w:cstheme="minorHAnsi"/>
              </w:rPr>
              <w:t>D</w:t>
            </w:r>
            <w:r>
              <w:rPr>
                <w:rFonts w:eastAsia="Calibri" w:cstheme="minorHAnsi"/>
                <w:lang w:val="en-CA"/>
              </w:rPr>
              <w:t xml:space="preserve">evelopment </w:t>
            </w:r>
            <w:r>
              <w:rPr>
                <w:rFonts w:eastAsia="Calibri" w:cstheme="minorHAnsi"/>
              </w:rPr>
              <w:t>P</w:t>
            </w:r>
            <w:r>
              <w:rPr>
                <w:rFonts w:eastAsia="Calibri" w:cstheme="minorHAnsi"/>
                <w:lang w:val="en-CA"/>
              </w:rPr>
              <w:t xml:space="preserve">olicy </w:t>
            </w:r>
            <w:r>
              <w:rPr>
                <w:rFonts w:eastAsia="Calibri" w:cstheme="minorHAnsi"/>
              </w:rPr>
              <w:t>F</w:t>
            </w:r>
            <w:r>
              <w:rPr>
                <w:rFonts w:eastAsia="Calibri" w:cstheme="minorHAnsi"/>
                <w:lang w:val="en-CA"/>
              </w:rPr>
              <w:t>ramework (MTNDPF)</w:t>
            </w:r>
            <w:r>
              <w:rPr>
                <w:rFonts w:hint="default" w:eastAsia="Calibri" w:cstheme="minorHAnsi"/>
                <w:lang w:val="en-CA"/>
              </w:rPr>
              <w:t>,</w:t>
            </w:r>
            <w:r>
              <w:rPr>
                <w:rFonts w:eastAsia="Calibri" w:cstheme="minorHAnsi"/>
              </w:rPr>
              <w:t xml:space="preserve"> 2018</w:t>
            </w:r>
          </w:p>
          <w:p>
            <w:pPr>
              <w:spacing w:after="0" w:line="240" w:lineRule="auto"/>
              <w:rPr>
                <w:rFonts w:eastAsia="Calibri" w:cstheme="minorHAnsi"/>
              </w:rPr>
            </w:pPr>
          </w:p>
          <w:p>
            <w:r>
              <w:rPr>
                <w:rFonts w:cstheme="minorHAnsi"/>
                <w:bCs/>
                <w:i w:val="0"/>
                <w:iCs/>
              </w:rPr>
              <w:t>G</w:t>
            </w:r>
            <w:r>
              <w:rPr>
                <w:rFonts w:cstheme="minorHAnsi"/>
                <w:bCs/>
                <w:i w:val="0"/>
                <w:iCs/>
                <w:lang w:val="en-CA"/>
              </w:rPr>
              <w:t xml:space="preserve">hana </w:t>
            </w:r>
            <w:r>
              <w:rPr>
                <w:rFonts w:cstheme="minorHAnsi"/>
                <w:bCs/>
                <w:i w:val="0"/>
                <w:iCs/>
              </w:rPr>
              <w:t>L</w:t>
            </w:r>
            <w:r>
              <w:rPr>
                <w:rFonts w:cstheme="minorHAnsi"/>
                <w:bCs/>
                <w:i w:val="0"/>
                <w:iCs/>
                <w:lang w:val="en-CA"/>
              </w:rPr>
              <w:t xml:space="preserve">iving </w:t>
            </w:r>
            <w:r>
              <w:rPr>
                <w:rFonts w:cstheme="minorHAnsi"/>
                <w:bCs/>
                <w:i w:val="0"/>
                <w:iCs/>
              </w:rPr>
              <w:t>S</w:t>
            </w:r>
            <w:r>
              <w:rPr>
                <w:rFonts w:cstheme="minorHAnsi"/>
                <w:bCs/>
                <w:i w:val="0"/>
                <w:iCs/>
                <w:lang w:val="en-CA"/>
              </w:rPr>
              <w:t xml:space="preserve">tandards </w:t>
            </w:r>
            <w:r>
              <w:rPr>
                <w:rFonts w:cstheme="minorHAnsi"/>
                <w:bCs/>
                <w:i w:val="0"/>
                <w:iCs/>
              </w:rPr>
              <w:t>S</w:t>
            </w:r>
            <w:r>
              <w:rPr>
                <w:rFonts w:cstheme="minorHAnsi"/>
                <w:bCs/>
                <w:i w:val="0"/>
                <w:iCs/>
                <w:lang w:val="en-CA"/>
              </w:rPr>
              <w:t>urvey</w:t>
            </w:r>
            <w:r>
              <w:rPr>
                <w:rFonts w:cstheme="minorHAnsi"/>
                <w:bCs/>
                <w:i w:val="0"/>
                <w:iCs/>
              </w:rPr>
              <w:t xml:space="preserve"> Round </w:t>
            </w:r>
            <w:r>
              <w:rPr>
                <w:rFonts w:cstheme="minorHAnsi"/>
                <w:bCs/>
                <w:i w:val="0"/>
                <w:iCs/>
                <w:lang w:val="en-CA"/>
              </w:rPr>
              <w:t xml:space="preserve">(GLSS) </w:t>
            </w:r>
            <w:r>
              <w:rPr>
                <w:rFonts w:cstheme="minorHAnsi"/>
                <w:bCs/>
                <w:i w:val="0"/>
                <w:iCs/>
              </w:rPr>
              <w:t>7, 2019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p>
            <w:pPr>
              <w:rPr>
                <w:lang w:val="en-CA"/>
              </w:rPr>
            </w:pPr>
            <w:r>
              <w:rPr>
                <w:lang w:val="en-CA"/>
              </w:rPr>
              <w:t>National Development Planning Commission (NDPC)</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7932747"/>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 xml:space="preserve">Intimate partner violence is one of the most common forms of violence that women face globally. Given prevailing social norms that sanction male dominance over women, male violence towards their female intimate partners is often perceived as an ordinary/normal element of relationships in the context of marriage or other unions/relationships. Violence against women is an extreme manifestation of gender inequality and discrimination. Prevalence data are required to measure the magnitude of the problem; understand the various forms of violence and their consequences; identify groups at high risk and explore the barriers to seeking help to ensure that the appropriate responses are being provided. These data are the starting point for informing laws, policies and developing effective responses and prevention programs.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7932748"/>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olor w:val="4A4A4A"/>
                <w:lang w:val="en-CA"/>
              </w:rPr>
            </w:pPr>
            <w:r>
              <w:rPr>
                <w:color w:val="4A4A4A"/>
              </w:rPr>
              <w:fldChar w:fldCharType="begin"/>
            </w:r>
            <w:r>
              <w:rPr>
                <w:color w:val="4A4A4A"/>
              </w:rPr>
              <w:instrText xml:space="preserve"> HYPERLINK "https://undocs.org/en/A/RES/48/104" </w:instrText>
            </w:r>
            <w:r>
              <w:rPr>
                <w:color w:val="4A4A4A"/>
              </w:rPr>
              <w:fldChar w:fldCharType="separate"/>
            </w:r>
            <w:r>
              <w:rPr>
                <w:rStyle w:val="18"/>
                <w:color w:val="4A4A4A"/>
              </w:rPr>
              <w:t>https://undocs.org/en/A/RES/48/104</w:t>
            </w:r>
            <w:r>
              <w:rPr>
                <w:color w:val="4A4A4A"/>
              </w:rPr>
              <w:fldChar w:fldCharType="end"/>
            </w:r>
            <w:r>
              <w:rPr>
                <w:rFonts w:hint="default"/>
                <w:color w:val="4A4A4A"/>
                <w:lang w:val="en-CA"/>
              </w:rPr>
              <w:t xml:space="preserve"> </w:t>
            </w:r>
          </w:p>
          <w:p>
            <w:pPr>
              <w:rPr>
                <w:rFonts w:hint="default"/>
              </w:rPr>
            </w:pPr>
            <w:r>
              <w:rPr>
                <w:rFonts w:hint="default"/>
              </w:rPr>
              <w:fldChar w:fldCharType="begin"/>
            </w:r>
            <w:r>
              <w:rPr>
                <w:rFonts w:hint="default"/>
              </w:rPr>
              <w:instrText xml:space="preserve"> HYPERLINK "https://unstats.un.org/unsd/gender/docs/guidelines_statistics_vaw.pdf" </w:instrText>
            </w:r>
            <w:r>
              <w:rPr>
                <w:rFonts w:hint="default"/>
              </w:rPr>
              <w:fldChar w:fldCharType="separate"/>
            </w:r>
            <w:r>
              <w:rPr>
                <w:rStyle w:val="18"/>
                <w:rFonts w:hint="default"/>
              </w:rPr>
              <w:t>https://unstats.un.org/unsd/gender/docs/guidelines_statistics_vaw.pdf</w:t>
            </w:r>
            <w:r>
              <w:rPr>
                <w:rFonts w:hint="default"/>
              </w:rPr>
              <w:fldChar w:fldCharType="end"/>
            </w:r>
          </w:p>
          <w:p>
            <w:pPr>
              <w:rPr>
                <w:color w:val="4A4A4A"/>
              </w:rPr>
            </w:pPr>
            <w:r>
              <w:rPr>
                <w:rFonts w:hint="default"/>
                <w:color w:val="4A4A4A"/>
              </w:rPr>
              <w:fldChar w:fldCharType="begin"/>
            </w:r>
            <w:r>
              <w:rPr>
                <w:rFonts w:hint="default"/>
                <w:color w:val="4A4A4A"/>
              </w:rPr>
              <w:instrText xml:space="preserve"> HYPERLINK "https://www.unodc.org/documents/data-and-analysis/statistics/crime/ICCS/ICCS_English_2016_web.pdf)" </w:instrText>
            </w:r>
            <w:r>
              <w:rPr>
                <w:rFonts w:hint="default"/>
                <w:color w:val="4A4A4A"/>
              </w:rPr>
              <w:fldChar w:fldCharType="separate"/>
            </w:r>
            <w:r>
              <w:rPr>
                <w:rStyle w:val="18"/>
                <w:rFonts w:hint="default"/>
                <w:color w:val="4A4A4A"/>
              </w:rPr>
              <w:t>https://www.unodc.org/documents/data-and-analysis/statistics/crime/ICCS/ICCS_English_2016_web.pdf</w:t>
            </w:r>
            <w:r>
              <w:rPr>
                <w:rStyle w:val="18"/>
                <w:color w:val="4A4A4A"/>
              </w:rPr>
              <w:t>)</w:t>
            </w:r>
            <w:r>
              <w:rPr>
                <w:rFonts w:hint="default"/>
                <w:color w:val="4A4A4A"/>
              </w:rPr>
              <w:fldChar w:fldCharType="end"/>
            </w:r>
          </w:p>
          <w:p>
            <w:r>
              <w:rPr>
                <w:rFonts w:hint="default"/>
                <w:color w:val="4A4A4A"/>
              </w:rPr>
              <w:fldChar w:fldCharType="begin"/>
            </w:r>
            <w:r>
              <w:rPr>
                <w:rFonts w:hint="default"/>
                <w:color w:val="4A4A4A"/>
              </w:rPr>
              <w:instrText xml:space="preserve"> HYPERLINK "https://www.who.int/publications/i/item/9789240022256" </w:instrText>
            </w:r>
            <w:r>
              <w:rPr>
                <w:rFonts w:hint="default"/>
                <w:color w:val="4A4A4A"/>
              </w:rPr>
              <w:fldChar w:fldCharType="separate"/>
            </w:r>
            <w:r>
              <w:rPr>
                <w:rStyle w:val="18"/>
                <w:rFonts w:hint="default"/>
                <w:color w:val="4A4A4A"/>
              </w:rPr>
              <w:t>https://www.who.int/publications/i/item/9789240022256</w:t>
            </w:r>
            <w:r>
              <w:rPr>
                <w:rFonts w:hint="default"/>
                <w:color w:val="4A4A4A"/>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68EC"/>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082"/>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7EF7"/>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E492F"/>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3953"/>
    <w:rsid w:val="007F5448"/>
    <w:rsid w:val="007F6520"/>
    <w:rsid w:val="00806D18"/>
    <w:rsid w:val="00810C60"/>
    <w:rsid w:val="00851DF8"/>
    <w:rsid w:val="008521A2"/>
    <w:rsid w:val="008A7300"/>
    <w:rsid w:val="008B6917"/>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0F88"/>
    <w:rsid w:val="00E263EC"/>
    <w:rsid w:val="00E27187"/>
    <w:rsid w:val="00E362E3"/>
    <w:rsid w:val="00E44F28"/>
    <w:rsid w:val="00E50AD6"/>
    <w:rsid w:val="00E51B2C"/>
    <w:rsid w:val="00E613BC"/>
    <w:rsid w:val="00E66CDC"/>
    <w:rsid w:val="00E67E00"/>
    <w:rsid w:val="00E74F47"/>
    <w:rsid w:val="00E842C7"/>
    <w:rsid w:val="00E875CD"/>
    <w:rsid w:val="00E953F3"/>
    <w:rsid w:val="00EA6E73"/>
    <w:rsid w:val="00EB3760"/>
    <w:rsid w:val="00EC064B"/>
    <w:rsid w:val="00EC6024"/>
    <w:rsid w:val="00ED153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5FE6"/>
    <w:rsid w:val="00FF642D"/>
    <w:rsid w:val="09415FAA"/>
    <w:rsid w:val="192576E6"/>
    <w:rsid w:val="36E945D2"/>
    <w:rsid w:val="3E1912A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64EFE"/>
    <w:rsid w:val="001C78FD"/>
    <w:rsid w:val="00296525"/>
    <w:rsid w:val="0036646D"/>
    <w:rsid w:val="006153AA"/>
    <w:rsid w:val="0064052E"/>
    <w:rsid w:val="00760A1F"/>
    <w:rsid w:val="00DA061B"/>
    <w:rsid w:val="00E4246B"/>
    <w:rsid w:val="00E95E77"/>
    <w:rsid w:val="00F538FA"/>
    <w:rsid w:val="00FA139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216367</Words>
  <Characters>1233292</Characters>
  <Lines>10277</Lines>
  <Paragraphs>2893</Paragraphs>
  <TotalTime>7</TotalTime>
  <ScaleCrop>false</ScaleCrop>
  <LinksUpToDate>false</LinksUpToDate>
  <CharactersWithSpaces>1446766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2021-11-03T10:53:00Z</dcterms:created>
  <dc:creator>Fanning, Stephen B (JMD)</dc:creator>
  <cp:lastModifiedBy>Doreen</cp:lastModifiedBy>
  <cp:lastPrinted>2020-04-16T14:23:00Z</cp:lastPrinted>
  <dcterms:modified xsi:type="dcterms:W3CDTF">2022-11-12T16:36:40Z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E92F4AC4FD78417794C46A376BCD08DB</vt:lpwstr>
  </property>
</Properties>
</file>