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4.2.2 Participation rate in organized learning (one year before the official primary entry age) [4.2.2] (SE_PRE_PARTN)</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Target 4.2: By 2030, ensure that all girls and boys have access to quality early childhood development, care and pre-primary education so that they are ready for primary education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Indicator 4.2.2: Participation rate in organized learning (one year before the official primary entry age),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7932745"/>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The participation rate in organized learning (one year before the official primary entry age), by sex is defined as the percentage of children in the given age range who participate in one or more organized learning programme</w:t>
            </w:r>
            <w:r>
              <w:rPr>
                <w:rFonts w:hint="default" w:asciiTheme="minorHAnsi" w:hAnsiTheme="minorHAnsi" w:cstheme="minorHAnsi"/>
                <w:color w:val="000000"/>
                <w:sz w:val="22"/>
                <w:szCs w:val="22"/>
                <w:lang w:val="en-CA"/>
              </w:rPr>
              <w:t>s</w:t>
            </w:r>
            <w:r>
              <w:rPr>
                <w:rFonts w:asciiTheme="minorHAnsi" w:hAnsiTheme="minorHAnsi" w:cstheme="minorHAnsi"/>
                <w:color w:val="000000"/>
                <w:sz w:val="22"/>
                <w:szCs w:val="22"/>
              </w:rPr>
              <w:t>, including programmes which offer a combination of education and care. Participation in early childhood and in primary education are both included.</w:t>
            </w:r>
          </w:p>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An organized learning programme is one which consists of a coherent set or sequence of educational activities designed with the intention of achieving pre-determined learning outcomes or the</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accomplishment of a specific set of educational tasks. Early childhood and primary education programmes are examples of organized learning programmes.</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 xml:space="preserve">Early childhood and primary education are defined in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"https://uis.unesco.org/en/topic/international-standard-classification-education-isced"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the 2011 revision of the International Standard Classification of Education (ISCED 2011)</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Early childhood education is typically designed with a holistic approach to support children’s early cognitive, physical, social and emotional development and to introduce young children to organized instruction outside the family context. Primary education offers learning and educational activities designed to provide students with fundamental skills in reading, writing and mathematics and establish a solid foundation for learning and understanding core areas of knowledge and personal development. It focuses on learning at a basic level of complexity with little, if any, specialisation.</w:t>
            </w:r>
          </w:p>
          <w:p>
            <w:pPr>
              <w:pStyle w:val="19"/>
              <w:jc w:val="both"/>
              <w:rPr>
                <w:rFonts w:cstheme="minorHAnsi"/>
              </w:rPr>
            </w:pPr>
            <w:r>
              <w:rPr>
                <w:rFonts w:asciiTheme="minorHAnsi" w:hAnsiTheme="minorHAnsi" w:cstheme="minorHAnsi"/>
                <w:color w:val="000000"/>
                <w:sz w:val="22"/>
                <w:szCs w:val="22"/>
              </w:rPr>
              <w:t xml:space="preserve">The official primary entry age is the age at which children are obliged to start primary education according to national legislation or policies.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 xml:space="preserve">Ghana </w:t>
            </w:r>
            <w:r>
              <w:t>M</w:t>
            </w:r>
            <w:r>
              <w:rPr>
                <w:rFonts w:hint="default"/>
                <w:lang w:val="en-CA"/>
              </w:rPr>
              <w:t xml:space="preserve">ultiple </w:t>
            </w:r>
            <w:r>
              <w:t>I</w:t>
            </w:r>
            <w:r>
              <w:rPr>
                <w:rFonts w:hint="default"/>
                <w:lang w:val="en-CA"/>
              </w:rPr>
              <w:t xml:space="preserve">ndicator </w:t>
            </w:r>
            <w:r>
              <w:t>C</w:t>
            </w:r>
            <w:r>
              <w:rPr>
                <w:rFonts w:hint="default"/>
                <w:lang w:val="en-CA"/>
              </w:rPr>
              <w:t xml:space="preserve">luster </w:t>
            </w:r>
            <w:r>
              <w:t>S</w:t>
            </w:r>
            <w:r>
              <w:rPr>
                <w:rFonts w:hint="default"/>
                <w:lang w:val="en-CA"/>
              </w:rPr>
              <w:t xml:space="preserve">urvey (MICS), </w:t>
            </w:r>
            <w:r>
              <w:t>2011</w:t>
            </w:r>
            <w:r>
              <w:rPr>
                <w:rFonts w:hint="default"/>
                <w:lang w:val="en-CA"/>
              </w:rPr>
              <w:t xml:space="preserve"> and </w:t>
            </w:r>
            <w:r>
              <w:t>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The indicator measures children’s exposure to organized learning activities in the year prior to the start of primary school. A high value of the indicator shows a high degree of participation in organized learning immediately before the official entr</w:t>
            </w:r>
            <w:r>
              <w:rPr>
                <w:rFonts w:hint="default" w:eastAsia="SimSun" w:cstheme="minorHAnsi"/>
                <w:color w:val="000000"/>
                <w:lang w:val="en-CA"/>
              </w:rPr>
              <w:t>y</w:t>
            </w:r>
            <w:r>
              <w:rPr>
                <w:rFonts w:eastAsia="SimSun" w:cstheme="minorHAnsi"/>
                <w:color w:val="000000"/>
              </w:rPr>
              <w:t xml:space="preserve"> age to primary education.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813076"/>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w:t>
            </w:r>
            <w:r>
              <w:rPr>
                <w:rFonts w:hint="default"/>
                <w:lang w:val="en-CA"/>
              </w:rPr>
              <w:t xml:space="preserve"> data is disaggregated by regions, sex, rural and urban areas.</w:t>
            </w:r>
            <w:r>
              <w:t xml:space="preserv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ascii="SimSun" w:hAnsi="SimSun" w:eastAsia="SimSun" w:cs="SimSun"/>
                <w:sz w:val="24"/>
                <w:szCs w:val="24"/>
              </w:rPr>
            </w:pPr>
            <w:r>
              <w:rPr>
                <w:rFonts w:eastAsia="SimSun" w:cstheme="minorHAnsi"/>
                <w:color w:val="auto"/>
                <w:u w:val="none"/>
              </w:rPr>
              <w:fldChar w:fldCharType="begin"/>
            </w:r>
            <w:r>
              <w:rPr>
                <w:rFonts w:eastAsia="SimSun" w:cstheme="minorHAnsi"/>
                <w:color w:val="auto"/>
                <w:u w:val="none"/>
              </w:rPr>
              <w:instrText xml:space="preserve"> HYPERLINK "https://unstats.un.org/sdgs/metadata/files/Metadata-04-02-02.pdf" </w:instrText>
            </w:r>
            <w:r>
              <w:rPr>
                <w:rFonts w:eastAsia="SimSun" w:cstheme="minorHAnsi"/>
                <w:color w:val="auto"/>
                <w:u w:val="none"/>
              </w:rPr>
              <w:fldChar w:fldCharType="separate"/>
            </w:r>
            <w:r>
              <w:rPr>
                <w:rStyle w:val="18"/>
                <w:rFonts w:eastAsia="SimSun" w:cstheme="minorHAnsi"/>
              </w:rPr>
              <w:t>SDG Indicators — SDG Indicators (un.org)</w:t>
            </w:r>
            <w:r>
              <w:rPr>
                <w:rFonts w:eastAsia="SimSun" w:cstheme="minorHAnsi"/>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6D8"/>
    <w:rsid w:val="007A078A"/>
    <w:rsid w:val="007A2617"/>
    <w:rsid w:val="007A28BA"/>
    <w:rsid w:val="007B2E39"/>
    <w:rsid w:val="007B75E1"/>
    <w:rsid w:val="007C2733"/>
    <w:rsid w:val="007C63C4"/>
    <w:rsid w:val="007E4EE0"/>
    <w:rsid w:val="007E6342"/>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1A57"/>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2054EED"/>
    <w:rsid w:val="2A4E5C7A"/>
    <w:rsid w:val="57AF4405"/>
    <w:rsid w:val="67F81DA1"/>
    <w:rsid w:val="7259702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51DC"/>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215978</Words>
  <Characters>1231080</Characters>
  <Lines>10259</Lines>
  <Paragraphs>2888</Paragraphs>
  <TotalTime>23</TotalTime>
  <ScaleCrop>false</ScaleCrop>
  <LinksUpToDate>false</LinksUpToDate>
  <CharactersWithSpaces>1444170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2022-11-15T18:40:17Z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77D93F30EFC34329A609BAD68EA8E9BE</vt:lpwstr>
  </property>
</Properties>
</file>