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D9488"/>
          <w:sz w:val="20"/>
        </w:rPr>
        <w:t>INSTITUTIONAL &amp; PRE-MF EARLY DISCOVERY REFERENCE MANUAL  •  VERSION 4.0</w:t>
      </w:r>
    </w:p>
    <w:p>
      <w:pPr>
        <w:spacing w:before="0" w:after="120"/>
      </w:pPr>
      <w:r>
        <w:rPr>
          <w:rFonts w:ascii="Calibri" w:hAnsi="Calibri"/>
          <w:b/>
          <w:color w:val="0F172A"/>
          <w:sz w:val="44"/>
        </w:rPr>
        <w:t>Indian Micro &amp; Small-Cap Mutual Fund Scanner &amp; 4-Layer Early Discovery System</w:t>
      </w:r>
    </w:p>
    <w:p>
      <w:pPr>
        <w:spacing w:before="0" w:after="240"/>
      </w:pPr>
      <w:r>
        <w:rPr>
          <w:rFonts w:ascii="Calibri" w:hAnsi="Calibri"/>
          <w:i/>
          <w:color w:val="475569"/>
          <w:sz w:val="23"/>
        </w:rPr>
        <w:t>Complete Operational Guide: Saved Gemini Skill Commands, Copy-Paste Master AI Agent Prompt (v4.0), 4-Layer Pre-MF Smart-Money Funnel, Forensic Accounting Guardrails, SQLite PowerShell Cookbook, Open-Source Indian Market MCP Toolkits, and Private Google Login Hosting</w:t>
      </w:r>
    </w:p>
    <w:tbl>
      <w:tblPr>
        <w:tblW w:type="auto" w:w="0"/>
        <w:jc w:val="center"/>
        <w:tblLayout w:type="fixed"/>
        <w:tblLook w:firstColumn="1" w:firstRow="1" w:lastColumn="0" w:lastRow="0" w:noHBand="0" w:noVBand="1" w:val="04A0"/>
      </w:tblPr>
      <w:tblGrid>
        <w:gridCol w:w="9792"/>
      </w:tblGrid>
      <w:tr>
        <w:tc>
          <w:tcPr>
            <w:tcW w:type="dxa" w:w="9792"/>
            <w:shd w:fill="F1F5F9"/>
            <w:tcMar>
              <w:top w:w="120" w:type="dxa"/>
              <w:bottom w:w="120" w:type="dxa"/>
              <w:left w:w="180" w:type="dxa"/>
              <w:right w:w="160" w:type="dxa"/>
            </w:tcMar>
            <w:tcBorders>
              <w:left w:val="single" w:sz="24" w:space="0" w:color="1E3A8A"/>
              <w:top w:val="single" w:sz="4" w:space="0" w:color="CBD5E1"/>
              <w:right w:val="single" w:sz="4" w:space="0" w:color="CBD5E1"/>
              <w:bottom w:val="single" w:sz="4" w:space="0" w:color="CBD5E1"/>
            </w:tcBorders>
          </w:tcPr>
          <w:p>
            <w:pPr>
              <w:spacing w:before="0" w:after="80"/>
            </w:pPr>
            <w:r>
              <w:rPr>
                <w:rFonts w:ascii="Calibri" w:hAnsi="Calibri"/>
                <w:b/>
                <w:color w:val="0F172A"/>
                <w:sz w:val="22"/>
              </w:rPr>
              <w:t>Quick-Save Location &amp; Workspace Summary</w:t>
            </w:r>
          </w:p>
          <w:p>
            <w:pPr>
              <w:spacing w:before="0" w:after="40" w:line="269" w:lineRule="auto"/>
            </w:pPr>
            <w:r>
              <w:rPr>
                <w:rFonts w:ascii="Calibri" w:hAnsi="Calibri"/>
                <w:color w:val="1E293B"/>
                <w:sz w:val="21"/>
              </w:rPr>
              <w:t>1. Save this document directly inside: C:\Users\sdgangji\OneDrive\Projects\mf_monthly_micro_smallcap_scanner\India_MF_Micro_SmallCap_Scanner_v4_Complete_Manual.docx</w:t>
            </w:r>
          </w:p>
          <w:p>
            <w:pPr>
              <w:spacing w:before="0" w:after="40" w:line="269" w:lineRule="auto"/>
            </w:pPr>
            <w:r>
              <w:rPr>
                <w:rFonts w:ascii="Calibri" w:hAnsi="Calibri"/>
                <w:color w:val="1E293B"/>
                <w:sz w:val="21"/>
              </w:rPr>
              <w:t>2. Your reusable Gemini skill is permanently saved to your profile under the name: india-microcap-early-discovery</w:t>
            </w:r>
          </w:p>
          <w:p>
            <w:pPr>
              <w:spacing w:before="0" w:after="40" w:line="269" w:lineRule="auto"/>
            </w:pPr>
            <w:r>
              <w:rPr>
                <w:rFonts w:ascii="Calibri" w:hAnsi="Calibri"/>
                <w:color w:val="1E293B"/>
                <w:sz w:val="21"/>
              </w:rPr>
              <w:t>3. Strict Universe Filter: 100% Active Equity Schemes ONLY (ETFs, Index Funds, Passive FoFs, and Arbitrage funds are strictly excluded at ingestion).</w:t>
            </w:r>
          </w:p>
          <w:p>
            <w:pPr>
              <w:spacing w:before="0" w:after="0" w:line="269" w:lineRule="auto"/>
            </w:pPr>
            <w:r>
              <w:rPr>
                <w:rFonts w:ascii="Calibri" w:hAnsi="Calibri"/>
                <w:color w:val="1E293B"/>
                <w:sz w:val="21"/>
              </w:rPr>
              <w:t>4. Early Micro-Cap Discovery Upgrade (v4.0): Combines SEBI SAST Reg 7(2) promoter buying, Preferential Warrants, SME-to-Mainboard migrations, Category III AIF/PMS bulk deals, Free-Float Absorption %, Value Research 4-Pillar ratings, and Forensic Governance checks (CFO/EBITDA &gt;= 65% &amp; 0% Pledge).</w:t>
            </w:r>
          </w:p>
        </w:tc>
      </w:tr>
    </w:tbl>
    <w:p>
      <w:pPr>
        <w:spacing w:before="0" w:after="80"/>
      </w:pPr>
    </w:p>
    <w:p>
      <w:pPr>
        <w:keepNext/>
        <w:spacing w:before="320" w:after="120"/>
        <w:pBdr>
          <w:bottom w:val="single" w:sz="12" w:space="4" w:color="1E3A8A"/>
        </w:pBdr>
      </w:pPr>
      <w:r>
        <w:rPr>
          <w:rFonts w:ascii="Calibri" w:hAnsi="Calibri"/>
          <w:b/>
          <w:color w:val="0F172A"/>
          <w:sz w:val="31"/>
        </w:rPr>
        <w:t>1. Project Folder Layout &amp; Workspace Files</w:t>
      </w:r>
    </w:p>
    <w:p>
      <w:pPr>
        <w:spacing w:before="0" w:after="120" w:line="276" w:lineRule="auto"/>
      </w:pPr>
      <w:r>
        <w:rPr>
          <w:rFonts w:ascii="Calibri" w:hAnsi="Calibri"/>
          <w:color w:val="1E293B"/>
          <w:sz w:val="22"/>
        </w:rPr>
        <w:t>Keep all project files in your local OneDrive folder (C:\Users\sdgangji\OneDrive\Projects\mf_monthly_micro_smallcap_scanner\) so your Python scanner, SQLite historical database (mf_history.db), CSV exports, and interactive HTML dashboard stay synchronized across runs.</w:t>
      </w:r>
    </w:p>
    <w:tbl>
      <w:tblPr>
        <w:tblW w:type="auto" w:w="0"/>
        <w:jc w:val="center"/>
        <w:tblLayout w:type="fixed"/>
        <w:tblLook w:firstColumn="1" w:firstRow="1" w:lastColumn="0" w:lastRow="0" w:noHBand="0" w:noVBand="1" w:val="04A0"/>
        <w:tblBorders>
          <w:top w:val="single" w:sz="6" w:space="0" w:color="CBD5E1"/>
          <w:bottom w:val="single" w:sz="8" w:space="0" w:color="CBD5E1"/>
          <w:insideH w:val="single" w:sz="4" w:space="0" w:color="CBD5E1"/>
          <w:insideV w:val="single" w:sz="4" w:space="0" w:color="CBD5E1"/>
          <w:left w:val="single" w:sz="4" w:space="0" w:color="CBD5E1"/>
          <w:right w:val="single" w:sz="4" w:space="0" w:color="CBD5E1"/>
        </w:tblBorders>
      </w:tblPr>
      <w:tblGrid>
        <w:gridCol w:w="3264"/>
        <w:gridCol w:w="3264"/>
        <w:gridCol w:w="3264"/>
      </w:tblGrid>
      <w:tr>
        <w:trPr>
          <w:tblHeader/>
          <w:cantSplit/>
        </w:trPr>
        <w:tc>
          <w:tcPr>
            <w:tcW w:type="dxa" w:w="3456"/>
            <w:vAlign w:val="center"/>
            <w:shd w:fill="1E293B"/>
            <w:tcMar>
              <w:top w:w="100" w:type="dxa"/>
              <w:bottom w:w="100" w:type="dxa"/>
              <w:left w:w="120" w:type="dxa"/>
              <w:right w:w="120" w:type="dxa"/>
            </w:tcMar>
          </w:tcPr>
          <w:p>
            <w:pPr>
              <w:keepNext/>
              <w:spacing w:before="0" w:after="0"/>
              <w:jc w:val="left"/>
            </w:pPr>
            <w:r>
              <w:rPr>
                <w:rFonts w:ascii="Calibri" w:hAnsi="Calibri"/>
                <w:b/>
                <w:color w:val="FFFFFF"/>
                <w:sz w:val="21"/>
              </w:rPr>
              <w:t>File Name</w:t>
            </w:r>
          </w:p>
        </w:tc>
        <w:tc>
          <w:tcPr>
            <w:tcW w:type="dxa" w:w="1584"/>
            <w:vAlign w:val="center"/>
            <w:shd w:fill="1E293B"/>
            <w:tcMar>
              <w:top w:w="100" w:type="dxa"/>
              <w:bottom w:w="100" w:type="dxa"/>
              <w:left w:w="120" w:type="dxa"/>
              <w:right w:w="120" w:type="dxa"/>
            </w:tcMar>
          </w:tcPr>
          <w:p>
            <w:pPr>
              <w:keepNext/>
              <w:spacing w:before="0" w:after="0"/>
              <w:jc w:val="left"/>
            </w:pPr>
            <w:r>
              <w:rPr>
                <w:rFonts w:ascii="Calibri" w:hAnsi="Calibri"/>
                <w:b/>
                <w:color w:val="FFFFFF"/>
                <w:sz w:val="21"/>
              </w:rPr>
              <w:t>Format</w:t>
            </w:r>
          </w:p>
        </w:tc>
        <w:tc>
          <w:tcPr>
            <w:tcW w:type="dxa" w:w="4752"/>
            <w:vAlign w:val="center"/>
            <w:shd w:fill="1E293B"/>
            <w:tcMar>
              <w:top w:w="100" w:type="dxa"/>
              <w:bottom w:w="100" w:type="dxa"/>
              <w:left w:w="120" w:type="dxa"/>
              <w:right w:w="120" w:type="dxa"/>
            </w:tcMar>
          </w:tcPr>
          <w:p>
            <w:pPr>
              <w:keepNext/>
              <w:spacing w:before="0" w:after="0"/>
              <w:jc w:val="left"/>
            </w:pPr>
            <w:r>
              <w:rPr>
                <w:rFonts w:ascii="Calibri" w:hAnsi="Calibri"/>
                <w:b/>
                <w:color w:val="FFFFFF"/>
                <w:sz w:val="21"/>
              </w:rPr>
              <w:t>Role in Your Workflow</w:t>
            </w:r>
          </w:p>
        </w:tc>
      </w:tr>
      <w:tr>
        <w:trPr>
          <w:cantSplit/>
        </w:trPr>
        <w:tc>
          <w:tcPr>
            <w:tcW w:type="dxa" w:w="3456"/>
            <w:vAlign w:val="center"/>
            <w:tcMar>
              <w:top w:w="85" w:type="dxa"/>
              <w:bottom w:w="85" w:type="dxa"/>
              <w:left w:w="120" w:type="dxa"/>
              <w:right w:w="120" w:type="dxa"/>
            </w:tcMar>
          </w:tcPr>
          <w:p>
            <w:pPr>
              <w:spacing w:before="0" w:after="0" w:line="269" w:lineRule="auto"/>
              <w:jc w:val="left"/>
            </w:pPr>
            <w:r>
              <w:rPr>
                <w:rFonts w:ascii="Calibri" w:hAnsi="Calibri"/>
                <w:b/>
                <w:color w:val="0F172A"/>
                <w:sz w:val="20"/>
              </w:rPr>
              <w:t>India_MF_Micro_SmallCap_Scanner_v4_Complete_Manual.docx</w:t>
            </w:r>
          </w:p>
        </w:tc>
        <w:tc>
          <w:tcPr>
            <w:tcW w:type="dxa" w:w="1584"/>
            <w:vAlign w:val="center"/>
            <w:tcMar>
              <w:top w:w="85" w:type="dxa"/>
              <w:bottom w:w="85" w:type="dxa"/>
              <w:left w:w="120" w:type="dxa"/>
              <w:right w:w="120" w:type="dxa"/>
            </w:tcMar>
          </w:tcPr>
          <w:p>
            <w:pPr>
              <w:spacing w:before="0" w:after="0" w:line="269" w:lineRule="auto"/>
              <w:jc w:val="left"/>
            </w:pPr>
            <w:r>
              <w:rPr>
                <w:rFonts w:ascii="Calibri" w:hAnsi="Calibri"/>
                <w:color w:val="1E293B"/>
                <w:sz w:val="20"/>
              </w:rPr>
              <w:t>Word (.docx)</w:t>
            </w:r>
          </w:p>
        </w:tc>
        <w:tc>
          <w:tcPr>
            <w:tcW w:type="dxa" w:w="4752"/>
            <w:vAlign w:val="center"/>
            <w:tcMar>
              <w:top w:w="85" w:type="dxa"/>
              <w:bottom w:w="85" w:type="dxa"/>
              <w:left w:w="120" w:type="dxa"/>
              <w:right w:w="120" w:type="dxa"/>
            </w:tcMar>
          </w:tcPr>
          <w:p>
            <w:pPr>
              <w:spacing w:before="0" w:after="0" w:line="269" w:lineRule="auto"/>
              <w:jc w:val="left"/>
            </w:pPr>
            <w:r>
              <w:rPr>
                <w:rFonts w:ascii="Calibri" w:hAnsi="Calibri"/>
                <w:color w:val="1E293B"/>
                <w:sz w:val="20"/>
              </w:rPr>
              <w:t>Master reference manual containing all prompts, skill commands, formulas, PowerShell queries, MCP links, and hosting steps.</w:t>
            </w:r>
          </w:p>
        </w:tc>
      </w:tr>
      <w:tr>
        <w:trPr>
          <w:cantSplit/>
        </w:trPr>
        <w:tc>
          <w:tcPr>
            <w:tcW w:type="dxa" w:w="3456"/>
            <w:vAlign w:val="center"/>
            <w:shd w:fill="F8FAFC"/>
            <w:tcMar>
              <w:top w:w="85" w:type="dxa"/>
              <w:bottom w:w="85" w:type="dxa"/>
              <w:left w:w="120" w:type="dxa"/>
              <w:right w:w="120" w:type="dxa"/>
            </w:tcMar>
          </w:tcPr>
          <w:p>
            <w:pPr>
              <w:spacing w:before="0" w:after="0" w:line="269" w:lineRule="auto"/>
              <w:jc w:val="left"/>
            </w:pPr>
            <w:r>
              <w:rPr>
                <w:rFonts w:ascii="Calibri" w:hAnsi="Calibri"/>
                <w:b/>
                <w:color w:val="0F172A"/>
                <w:sz w:val="20"/>
              </w:rPr>
              <w:t>india_mf_micro_smallcap_sep2026_dashboard.html</w:t>
            </w:r>
          </w:p>
        </w:tc>
        <w:tc>
          <w:tcPr>
            <w:tcW w:type="dxa" w:w="1584"/>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HTML5 Web App</w:t>
            </w:r>
          </w:p>
        </w:tc>
        <w:tc>
          <w:tcPr>
            <w:tcW w:type="dxa" w:w="4752"/>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8-tab interactive dashboard with Page 1 (Summary &amp; Movers), Page 2 (Watchlist &amp; Consensus), Page 3 (Complete Exits), Page 4 (Value Research Ratings), and Page 5 (Early Micro-Cap Radar &amp; Pre-MF Signals v4.0).</w:t>
            </w:r>
          </w:p>
        </w:tc>
      </w:tr>
      <w:tr>
        <w:trPr>
          <w:cantSplit/>
        </w:trPr>
        <w:tc>
          <w:tcPr>
            <w:tcW w:type="dxa" w:w="3456"/>
            <w:vAlign w:val="center"/>
            <w:tcMar>
              <w:top w:w="85" w:type="dxa"/>
              <w:bottom w:w="85" w:type="dxa"/>
              <w:left w:w="120" w:type="dxa"/>
              <w:right w:w="120" w:type="dxa"/>
            </w:tcMar>
          </w:tcPr>
          <w:p>
            <w:pPr>
              <w:spacing w:before="0" w:after="0" w:line="269" w:lineRule="auto"/>
              <w:jc w:val="left"/>
            </w:pPr>
            <w:r>
              <w:rPr>
                <w:rFonts w:ascii="Calibri" w:hAnsi="Calibri"/>
                <w:b/>
                <w:color w:val="0F172A"/>
                <w:sz w:val="20"/>
              </w:rPr>
              <w:t>mf_monthly_micro_smallcap_scanner.py</w:t>
            </w:r>
          </w:p>
        </w:tc>
        <w:tc>
          <w:tcPr>
            <w:tcW w:type="dxa" w:w="1584"/>
            <w:vAlign w:val="center"/>
            <w:tcMar>
              <w:top w:w="85" w:type="dxa"/>
              <w:bottom w:w="85" w:type="dxa"/>
              <w:left w:w="120" w:type="dxa"/>
              <w:right w:w="120" w:type="dxa"/>
            </w:tcMar>
          </w:tcPr>
          <w:p>
            <w:pPr>
              <w:spacing w:before="0" w:after="0" w:line="269" w:lineRule="auto"/>
              <w:jc w:val="left"/>
            </w:pPr>
            <w:r>
              <w:rPr>
                <w:rFonts w:ascii="Calibri" w:hAnsi="Calibri"/>
                <w:color w:val="1E293B"/>
                <w:sz w:val="20"/>
              </w:rPr>
              <w:t>Python 3 Script</w:t>
            </w:r>
          </w:p>
        </w:tc>
        <w:tc>
          <w:tcPr>
            <w:tcW w:type="dxa" w:w="4752"/>
            <w:vAlign w:val="center"/>
            <w:tcMar>
              <w:top w:w="85" w:type="dxa"/>
              <w:bottom w:w="85" w:type="dxa"/>
              <w:left w:w="120" w:type="dxa"/>
              <w:right w:w="120" w:type="dxa"/>
            </w:tcMar>
          </w:tcPr>
          <w:p>
            <w:pPr>
              <w:spacing w:before="0" w:after="0" w:line="269" w:lineRule="auto"/>
              <w:jc w:val="left"/>
            </w:pPr>
            <w:r>
              <w:rPr>
                <w:rFonts w:ascii="Calibri" w:hAnsi="Calibri"/>
                <w:color w:val="1E293B"/>
                <w:sz w:val="20"/>
              </w:rPr>
              <w:t>Automated scanner &amp; CLI query runner with active-only fund filtering, SQLite persistence, Time-Travel (--as-of-date) backtesting, and 8 preset queries.</w:t>
            </w:r>
          </w:p>
        </w:tc>
      </w:tr>
      <w:tr>
        <w:trPr>
          <w:cantSplit/>
        </w:trPr>
        <w:tc>
          <w:tcPr>
            <w:tcW w:type="dxa" w:w="3456"/>
            <w:vAlign w:val="center"/>
            <w:shd w:fill="F8FAFC"/>
            <w:tcMar>
              <w:top w:w="85" w:type="dxa"/>
              <w:bottom w:w="85" w:type="dxa"/>
              <w:left w:w="120" w:type="dxa"/>
              <w:right w:w="120" w:type="dxa"/>
            </w:tcMar>
          </w:tcPr>
          <w:p>
            <w:pPr>
              <w:spacing w:before="0" w:after="0" w:line="269" w:lineRule="auto"/>
              <w:jc w:val="left"/>
            </w:pPr>
            <w:r>
              <w:rPr>
                <w:rFonts w:ascii="Calibri" w:hAnsi="Calibri"/>
                <w:b/>
                <w:color w:val="0F172A"/>
                <w:sz w:val="20"/>
              </w:rPr>
              <w:t>mf_history.db</w:t>
            </w:r>
          </w:p>
        </w:tc>
        <w:tc>
          <w:tcPr>
            <w:tcW w:type="dxa" w:w="1584"/>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SQLite3 DB</w:t>
            </w:r>
          </w:p>
        </w:tc>
        <w:tc>
          <w:tcPr>
            <w:tcW w:type="dxa" w:w="4752"/>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Persistent multi-month database containing 6 tables (monthly_holdings, complete_exits_history, stock_master, value_research_ratings, pre_mf_smart_money_signals, forensic_governance_checks) and view v_early_microcap_discovery.</w:t>
            </w:r>
          </w:p>
        </w:tc>
      </w:tr>
      <w:tr>
        <w:trPr>
          <w:cantSplit/>
        </w:trPr>
        <w:tc>
          <w:tcPr>
            <w:tcW w:type="dxa" w:w="3456"/>
            <w:vAlign w:val="center"/>
            <w:tcMar>
              <w:top w:w="85" w:type="dxa"/>
              <w:bottom w:w="85" w:type="dxa"/>
              <w:left w:w="120" w:type="dxa"/>
              <w:right w:w="120" w:type="dxa"/>
            </w:tcMar>
          </w:tcPr>
          <w:p>
            <w:pPr>
              <w:spacing w:before="0" w:after="0" w:line="269" w:lineRule="auto"/>
              <w:jc w:val="left"/>
            </w:pPr>
            <w:r>
              <w:rPr>
                <w:rFonts w:ascii="Calibri" w:hAnsi="Calibri"/>
                <w:b/>
                <w:color w:val="0F172A"/>
                <w:sz w:val="20"/>
              </w:rPr>
              <w:t>india_mf_micro_smallcap_fresh_entries_sep2026.csv</w:t>
            </w:r>
          </w:p>
        </w:tc>
        <w:tc>
          <w:tcPr>
            <w:tcW w:type="dxa" w:w="1584"/>
            <w:vAlign w:val="center"/>
            <w:tcMar>
              <w:top w:w="85" w:type="dxa"/>
              <w:bottom w:w="85" w:type="dxa"/>
              <w:left w:w="120" w:type="dxa"/>
              <w:right w:w="120" w:type="dxa"/>
            </w:tcMar>
          </w:tcPr>
          <w:p>
            <w:pPr>
              <w:spacing w:before="0" w:after="0" w:line="269" w:lineRule="auto"/>
              <w:jc w:val="left"/>
            </w:pPr>
            <w:r>
              <w:rPr>
                <w:rFonts w:ascii="Calibri" w:hAnsi="Calibri"/>
                <w:color w:val="1E293B"/>
                <w:sz w:val="20"/>
              </w:rPr>
              <w:t>CSV Dataset</w:t>
            </w:r>
          </w:p>
        </w:tc>
        <w:tc>
          <w:tcPr>
            <w:tcW w:type="dxa" w:w="4752"/>
            <w:vAlign w:val="center"/>
            <w:tcMar>
              <w:top w:w="85" w:type="dxa"/>
              <w:bottom w:w="85" w:type="dxa"/>
              <w:left w:w="120" w:type="dxa"/>
              <w:right w:w="120" w:type="dxa"/>
            </w:tcMar>
          </w:tcPr>
          <w:p>
            <w:pPr>
              <w:spacing w:before="0" w:after="0" w:line="269" w:lineRule="auto"/>
              <w:jc w:val="left"/>
            </w:pPr>
            <w:r>
              <w:rPr>
                <w:rFonts w:ascii="Calibri" w:hAnsi="Calibri"/>
                <w:color w:val="1E293B"/>
                <w:sz w:val="20"/>
              </w:rPr>
              <w:t>Full institutional holdings table with Fresh Entries, Share Change %, Consensus Fund counts, Watchlist Scores, and Value Research stars.</w:t>
            </w:r>
          </w:p>
        </w:tc>
      </w:tr>
      <w:tr>
        <w:trPr>
          <w:cantSplit/>
        </w:trPr>
        <w:tc>
          <w:tcPr>
            <w:tcW w:type="dxa" w:w="3456"/>
            <w:vAlign w:val="center"/>
            <w:shd w:fill="F8FAFC"/>
            <w:tcMar>
              <w:top w:w="85" w:type="dxa"/>
              <w:bottom w:w="85" w:type="dxa"/>
              <w:left w:w="120" w:type="dxa"/>
              <w:right w:w="120" w:type="dxa"/>
            </w:tcMar>
          </w:tcPr>
          <w:p>
            <w:pPr>
              <w:spacing w:before="0" w:after="0" w:line="269" w:lineRule="auto"/>
              <w:jc w:val="left"/>
            </w:pPr>
            <w:r>
              <w:rPr>
                <w:rFonts w:ascii="Calibri" w:hAnsi="Calibri"/>
                <w:b/>
                <w:color w:val="0F172A"/>
                <w:sz w:val="20"/>
              </w:rPr>
              <w:t>india_mf_value_research_ratings_sep2026.csv</w:t>
            </w:r>
          </w:p>
        </w:tc>
        <w:tc>
          <w:tcPr>
            <w:tcW w:type="dxa" w:w="1584"/>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CSV Dataset</w:t>
            </w:r>
          </w:p>
        </w:tc>
        <w:tc>
          <w:tcPr>
            <w:tcW w:type="dxa" w:w="4752"/>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Value Research 4-Pillar Stock Ratings (Composite Stars, Quality, Valuation, Growth, Momentum, Price-to-Intrinsic Value).</w:t>
            </w:r>
          </w:p>
        </w:tc>
      </w:tr>
      <w:tr>
        <w:trPr>
          <w:cantSplit/>
        </w:trPr>
        <w:tc>
          <w:tcPr>
            <w:tcW w:type="dxa" w:w="3456"/>
            <w:vAlign w:val="center"/>
            <w:tcMar>
              <w:top w:w="85" w:type="dxa"/>
              <w:bottom w:w="85" w:type="dxa"/>
              <w:left w:w="120" w:type="dxa"/>
              <w:right w:w="120" w:type="dxa"/>
            </w:tcMar>
          </w:tcPr>
          <w:p>
            <w:pPr>
              <w:spacing w:before="0" w:after="0" w:line="269" w:lineRule="auto"/>
              <w:jc w:val="left"/>
            </w:pPr>
            <w:r>
              <w:rPr>
                <w:rFonts w:ascii="Calibri" w:hAnsi="Calibri"/>
                <w:b/>
                <w:color w:val="0F172A"/>
                <w:sz w:val="20"/>
              </w:rPr>
              <w:t>india_mf_complete_exits_sep2026.csv</w:t>
            </w:r>
          </w:p>
        </w:tc>
        <w:tc>
          <w:tcPr>
            <w:tcW w:type="dxa" w:w="1584"/>
            <w:vAlign w:val="center"/>
            <w:tcMar>
              <w:top w:w="85" w:type="dxa"/>
              <w:bottom w:w="85" w:type="dxa"/>
              <w:left w:w="120" w:type="dxa"/>
              <w:right w:w="120" w:type="dxa"/>
            </w:tcMar>
          </w:tcPr>
          <w:p>
            <w:pPr>
              <w:spacing w:before="0" w:after="0" w:line="269" w:lineRule="auto"/>
              <w:jc w:val="left"/>
            </w:pPr>
            <w:r>
              <w:rPr>
                <w:rFonts w:ascii="Calibri" w:hAnsi="Calibri"/>
                <w:color w:val="1E293B"/>
                <w:sz w:val="20"/>
              </w:rPr>
              <w:t>CSV Dataset</w:t>
            </w:r>
          </w:p>
        </w:tc>
        <w:tc>
          <w:tcPr>
            <w:tcW w:type="dxa" w:w="4752"/>
            <w:vAlign w:val="center"/>
            <w:tcMar>
              <w:top w:w="85" w:type="dxa"/>
              <w:bottom w:w="85" w:type="dxa"/>
              <w:left w:w="120" w:type="dxa"/>
              <w:right w:w="120" w:type="dxa"/>
            </w:tcMar>
          </w:tcPr>
          <w:p>
            <w:pPr>
              <w:spacing w:before="0" w:after="0" w:line="269" w:lineRule="auto"/>
              <w:jc w:val="left"/>
            </w:pPr>
            <w:r>
              <w:rPr>
                <w:rFonts w:ascii="Calibri" w:hAnsi="Calibri"/>
                <w:color w:val="1E293B"/>
                <w:sz w:val="20"/>
              </w:rPr>
              <w:t>100% Complete Scheme Exits tracker with Red, Dark Red, and Critical severity flags, pre-exit peak holdings, and exit rationale.</w:t>
            </w:r>
          </w:p>
        </w:tc>
      </w:tr>
      <w:tr>
        <w:trPr>
          <w:cantSplit/>
        </w:trPr>
        <w:tc>
          <w:tcPr>
            <w:tcW w:type="dxa" w:w="3456"/>
            <w:vAlign w:val="center"/>
            <w:shd w:fill="F8FAFC"/>
            <w:tcMar>
              <w:top w:w="85" w:type="dxa"/>
              <w:bottom w:w="85" w:type="dxa"/>
              <w:left w:w="120" w:type="dxa"/>
              <w:right w:w="120" w:type="dxa"/>
            </w:tcMar>
          </w:tcPr>
          <w:p>
            <w:pPr>
              <w:spacing w:before="0" w:after="0" w:line="269" w:lineRule="auto"/>
              <w:jc w:val="left"/>
            </w:pPr>
            <w:r>
              <w:rPr>
                <w:rFonts w:ascii="Calibri" w:hAnsi="Calibri"/>
                <w:b/>
                <w:color w:val="0F172A"/>
                <w:sz w:val="20"/>
              </w:rPr>
              <w:t>README.md</w:t>
            </w:r>
          </w:p>
        </w:tc>
        <w:tc>
          <w:tcPr>
            <w:tcW w:type="dxa" w:w="1584"/>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Markdown</w:t>
            </w:r>
          </w:p>
        </w:tc>
        <w:tc>
          <w:tcPr>
            <w:tcW w:type="dxa" w:w="4752"/>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Quick-reference project README inside the project folder.</w:t>
            </w:r>
          </w:p>
        </w:tc>
      </w:tr>
    </w:tbl>
    <w:p>
      <w:pPr>
        <w:spacing w:before="0" w:after="120"/>
      </w:pPr>
    </w:p>
    <w:p>
      <w:pPr>
        <w:keepNext/>
        <w:spacing w:before="320" w:after="120"/>
        <w:pBdr>
          <w:bottom w:val="single" w:sz="12" w:space="4" w:color="1E3A8A"/>
        </w:pBdr>
      </w:pPr>
      <w:r>
        <w:rPr>
          <w:rFonts w:ascii="Calibri" w:hAnsi="Calibri"/>
          <w:b/>
          <w:color w:val="0F172A"/>
          <w:sz w:val="31"/>
        </w:rPr>
        <w:t>2. How to Invoke Your Saved Gemini Skill (india-microcap-early-discovery)</w:t>
      </w:r>
    </w:p>
    <w:p>
      <w:pPr>
        <w:spacing w:before="0" w:after="120" w:line="276" w:lineRule="auto"/>
      </w:pPr>
      <w:r>
        <w:rPr>
          <w:rFonts w:ascii="Calibri" w:hAnsi="Calibri"/>
          <w:color w:val="1E293B"/>
          <w:sz w:val="22"/>
        </w:rPr>
        <w:t>Your custom skill india-microcap-early-discovery is permanently saved to your Gemini profile. You never need to paste the full rules again when chatting with Gemini—just copy and paste one of the three invocation commands below depending on what you want to run:</w:t>
      </w:r>
    </w:p>
    <w:p>
      <w:pPr>
        <w:keepNext/>
        <w:spacing w:before="240" w:after="80"/>
      </w:pPr>
      <w:r>
        <w:rPr>
          <w:rFonts w:ascii="Calibri" w:hAnsi="Calibri"/>
          <w:b/>
          <w:color w:val="1E3A8A"/>
          <w:sz w:val="26"/>
        </w:rPr>
        <w:t>2.1 Command A — Monthly Full Scan + SQLite Update + 8-Tab Dashboard Refresh</w:t>
      </w:r>
    </w:p>
    <w:tbl>
      <w:tblPr>
        <w:tblW w:type="auto" w:w="0"/>
        <w:jc w:val="center"/>
        <w:tblLayout w:type="fixed"/>
        <w:tblLook w:firstColumn="1" w:firstRow="1" w:lastColumn="0" w:lastRow="0" w:noHBand="0" w:noVBand="1" w:val="04A0"/>
      </w:tblPr>
      <w:tblGrid>
        <w:gridCol w:w="9792"/>
      </w:tblGrid>
      <w:tr>
        <w:tc>
          <w:tcPr>
            <w:tcW w:type="dxa" w:w="9792"/>
            <w:shd w:fill="F1F5F9"/>
            <w:tcMar>
              <w:top w:w="120" w:type="dxa"/>
              <w:bottom w:w="120" w:type="dxa"/>
              <w:left w:w="180" w:type="dxa"/>
              <w:right w:w="160" w:type="dxa"/>
            </w:tcMar>
            <w:tcBorders>
              <w:left w:val="single" w:sz="24" w:space="0" w:color="1E3A8A"/>
              <w:top w:val="single" w:sz="4" w:space="0" w:color="CBD5E1"/>
              <w:right w:val="single" w:sz="4" w:space="0" w:color="CBD5E1"/>
              <w:bottom w:val="single" w:sz="4" w:space="0" w:color="CBD5E1"/>
            </w:tcBorders>
          </w:tcPr>
          <w:p>
            <w:pPr>
              <w:spacing w:before="0" w:after="80"/>
            </w:pPr>
            <w:r>
              <w:rPr>
                <w:rFonts w:ascii="Calibri" w:hAnsi="Calibri"/>
                <w:b/>
                <w:color w:val="0F172A"/>
                <w:sz w:val="22"/>
              </w:rPr>
              <w:t>Copy-Paste Command for Monthly Scan</w:t>
            </w:r>
          </w:p>
          <w:p>
            <w:pPr>
              <w:spacing w:before="0" w:after="0" w:line="269" w:lineRule="auto"/>
            </w:pPr>
            <w:r>
              <w:rPr>
                <w:rFonts w:ascii="Consolas" w:hAnsi="Consolas"/>
                <w:color w:val="1E293B"/>
                <w:sz w:val="21"/>
              </w:rPr>
              <w:t>Use my `india-microcap-early-discovery` skill to run the full monthly Indian Micro &amp; Small-Cap scan for [Month Year, e.g., Oct 2026], update `mf_history.db`, and refresh the 8-tab HTML dashboard.</w:t>
            </w:r>
          </w:p>
        </w:tc>
      </w:tr>
    </w:tbl>
    <w:p>
      <w:pPr>
        <w:spacing w:before="0" w:after="80"/>
      </w:pPr>
    </w:p>
    <w:p>
      <w:pPr>
        <w:keepNext/>
        <w:spacing w:before="240" w:after="80"/>
      </w:pPr>
      <w:r>
        <w:rPr>
          <w:rFonts w:ascii="Calibri" w:hAnsi="Calibri"/>
          <w:b/>
          <w:color w:val="1E3A8A"/>
          <w:sz w:val="26"/>
        </w:rPr>
        <w:t>2.2 Command B — Early Micro-Cap Discovery Hunt (Catching Under ₹3,500 Cr Stocks Before the MF Crowd)</w:t>
      </w:r>
    </w:p>
    <w:tbl>
      <w:tblPr>
        <w:tblW w:type="auto" w:w="0"/>
        <w:jc w:val="center"/>
        <w:tblLayout w:type="fixed"/>
        <w:tblLook w:firstColumn="1" w:firstRow="1" w:lastColumn="0" w:lastRow="0" w:noHBand="0" w:noVBand="1" w:val="04A0"/>
      </w:tblPr>
      <w:tblGrid>
        <w:gridCol w:w="9792"/>
      </w:tblGrid>
      <w:tr>
        <w:tc>
          <w:tcPr>
            <w:tcW w:type="dxa" w:w="9792"/>
            <w:shd w:fill="F1F5F9"/>
            <w:tcMar>
              <w:top w:w="120" w:type="dxa"/>
              <w:bottom w:w="120" w:type="dxa"/>
              <w:left w:w="180" w:type="dxa"/>
              <w:right w:w="160" w:type="dxa"/>
            </w:tcMar>
            <w:tcBorders>
              <w:left w:val="single" w:sz="24" w:space="0" w:color="1E3A8A"/>
              <w:top w:val="single" w:sz="4" w:space="0" w:color="CBD5E1"/>
              <w:right w:val="single" w:sz="4" w:space="0" w:color="CBD5E1"/>
              <w:bottom w:val="single" w:sz="4" w:space="0" w:color="CBD5E1"/>
            </w:tcBorders>
          </w:tcPr>
          <w:p>
            <w:pPr>
              <w:spacing w:before="0" w:after="80"/>
            </w:pPr>
            <w:r>
              <w:rPr>
                <w:rFonts w:ascii="Calibri" w:hAnsi="Calibri"/>
                <w:b/>
                <w:color w:val="0F172A"/>
                <w:sz w:val="22"/>
              </w:rPr>
              <w:t>Copy-Paste Command for Pre-MF &amp; Pioneer Micro-Cap Hunt</w:t>
            </w:r>
          </w:p>
          <w:p>
            <w:pPr>
              <w:spacing w:before="0" w:after="0" w:line="269" w:lineRule="auto"/>
            </w:pPr>
            <w:r>
              <w:rPr>
                <w:rFonts w:ascii="Consolas" w:hAnsi="Consolas"/>
                <w:color w:val="1E293B"/>
                <w:sz w:val="21"/>
              </w:rPr>
              <w:t>Use `india-microcap-early-discovery` to find top Stage 1 and Stage 2 Indian micro-caps under ₹3,500 Cr market cap showing Promoter open-market buying, Preferential Warrants, SME-to-Mainboard migration, or Pioneer Single-AMC entry (&gt;0.75% Free-Float Absorbed) with clean forensics (CFO/EBITDA &gt;= 65% and 0% Pledge).</w:t>
            </w:r>
          </w:p>
        </w:tc>
      </w:tr>
    </w:tbl>
    <w:p>
      <w:pPr>
        <w:spacing w:before="0" w:after="80"/>
      </w:pPr>
    </w:p>
    <w:p>
      <w:pPr>
        <w:keepNext/>
        <w:spacing w:before="240" w:after="80"/>
      </w:pPr>
      <w:r>
        <w:rPr>
          <w:rFonts w:ascii="Calibri" w:hAnsi="Calibri"/>
          <w:b/>
          <w:color w:val="1E3A8A"/>
          <w:sz w:val="26"/>
        </w:rPr>
        <w:t>2.3 Command C — Deep Forensic &amp; Early-Discovery Audit on a Single Stock</w:t>
      </w:r>
    </w:p>
    <w:tbl>
      <w:tblPr>
        <w:tblW w:type="auto" w:w="0"/>
        <w:jc w:val="center"/>
        <w:tblLayout w:type="fixed"/>
        <w:tblLook w:firstColumn="1" w:firstRow="1" w:lastColumn="0" w:lastRow="0" w:noHBand="0" w:noVBand="1" w:val="04A0"/>
      </w:tblPr>
      <w:tblGrid>
        <w:gridCol w:w="9792"/>
      </w:tblGrid>
      <w:tr>
        <w:tc>
          <w:tcPr>
            <w:tcW w:type="dxa" w:w="9792"/>
            <w:shd w:fill="F1F5F9"/>
            <w:tcMar>
              <w:top w:w="120" w:type="dxa"/>
              <w:bottom w:w="120" w:type="dxa"/>
              <w:left w:w="180" w:type="dxa"/>
              <w:right w:w="160" w:type="dxa"/>
            </w:tcMar>
            <w:tcBorders>
              <w:left w:val="single" w:sz="24" w:space="0" w:color="1E3A8A"/>
              <w:top w:val="single" w:sz="4" w:space="0" w:color="CBD5E1"/>
              <w:right w:val="single" w:sz="4" w:space="0" w:color="CBD5E1"/>
              <w:bottom w:val="single" w:sz="4" w:space="0" w:color="CBD5E1"/>
            </w:tcBorders>
          </w:tcPr>
          <w:p>
            <w:pPr>
              <w:spacing w:before="0" w:after="80"/>
            </w:pPr>
            <w:r>
              <w:rPr>
                <w:rFonts w:ascii="Calibri" w:hAnsi="Calibri"/>
                <w:b/>
                <w:color w:val="0F172A"/>
                <w:sz w:val="22"/>
              </w:rPr>
              <w:t>Copy-Paste Command for Single-Stock Audit</w:t>
            </w:r>
          </w:p>
          <w:p>
            <w:pPr>
              <w:spacing w:before="0" w:after="0" w:line="269" w:lineRule="auto"/>
            </w:pPr>
            <w:r>
              <w:rPr>
                <w:rFonts w:ascii="Consolas" w:hAnsi="Consolas"/>
                <w:color w:val="1E293B"/>
                <w:sz w:val="21"/>
              </w:rPr>
              <w:t>Run `india-microcap-early-discovery` on [Stock Name / NSE Ticker] and score it across the 4-Layer Early Discovery Funnel, Free-Float Absorption %, Value Research 4-Pillar Rating, and Forensic Governance checks.</w:t>
            </w:r>
          </w:p>
        </w:tc>
      </w:tr>
    </w:tbl>
    <w:p>
      <w:pPr>
        <w:spacing w:before="0" w:after="80"/>
      </w:pPr>
    </w:p>
    <w:p>
      <w:pPr>
        <w:keepNext/>
        <w:spacing w:before="320" w:after="120"/>
        <w:pBdr>
          <w:bottom w:val="single" w:sz="12" w:space="4" w:color="1E3A8A"/>
        </w:pBdr>
      </w:pPr>
      <w:r>
        <w:rPr>
          <w:rFonts w:ascii="Calibri" w:hAnsi="Calibri"/>
          <w:b/>
          <w:color w:val="0F172A"/>
          <w:sz w:val="31"/>
        </w:rPr>
        <w:t>3. Complete Master AI Agent Prompt (v4.0 — Copy-Paste Ready)</w:t>
      </w:r>
    </w:p>
    <w:p>
      <w:pPr>
        <w:spacing w:before="0" w:after="120" w:line="276" w:lineRule="auto"/>
      </w:pPr>
      <w:r>
        <w:rPr>
          <w:rFonts w:ascii="Calibri" w:hAnsi="Calibri"/>
          <w:color w:val="1E293B"/>
          <w:sz w:val="22"/>
        </w:rPr>
        <w:t>If you ever run a fresh session without referencing the saved skill—or want to share the full specification with another AI coding assistant (such as Claude Code, Cursor, or Windsurf)—copy and paste the complete v4.0 Master Prompt below:</w:t>
      </w:r>
    </w:p>
    <w:tbl>
      <w:tblPr>
        <w:tblW w:type="auto" w:w="0"/>
        <w:jc w:val="center"/>
        <w:tblLayout w:type="fixed"/>
        <w:tblLook w:firstColumn="1" w:firstRow="1" w:lastColumn="0" w:lastRow="0" w:noHBand="0" w:noVBand="1" w:val="04A0"/>
      </w:tblPr>
      <w:tblGrid>
        <w:gridCol w:w="9792"/>
      </w:tblGrid>
      <w:tr>
        <w:tc>
          <w:tcPr>
            <w:tcW w:type="dxa" w:w="9792"/>
            <w:shd w:fill="F8FAFC"/>
            <w:tcMar>
              <w:top w:w="120" w:type="dxa"/>
              <w:bottom w:w="120" w:type="dxa"/>
              <w:left w:w="180" w:type="dxa"/>
              <w:right w:w="160" w:type="dxa"/>
            </w:tcMar>
            <w:tcBorders>
              <w:left w:val="single" w:sz="24" w:space="0" w:color="94A3B8"/>
              <w:top w:val="single" w:sz="4" w:space="0" w:color="CBD5E1"/>
              <w:right w:val="single" w:sz="4" w:space="0" w:color="CBD5E1"/>
              <w:bottom w:val="single" w:sz="4" w:space="0" w:color="CBD5E1"/>
            </w:tcBorders>
          </w:tcPr>
          <w:p>
            <w:pPr>
              <w:spacing w:before="0" w:after="80"/>
            </w:pPr>
            <w:r>
              <w:rPr>
                <w:rFonts w:ascii="Calibri" w:hAnsi="Calibri"/>
                <w:b/>
                <w:color w:val="0F172A"/>
                <w:sz w:val="22"/>
              </w:rPr>
              <w:t>Master Prompt v4.0 (Copy &amp; Paste Verbatim)</w:t>
            </w:r>
          </w:p>
          <w:p>
            <w:pPr>
              <w:spacing w:before="0" w:after="40" w:line="269" w:lineRule="auto"/>
            </w:pPr>
            <w:r>
              <w:rPr>
                <w:rFonts w:ascii="Calibri" w:hAnsi="Calibri"/>
                <w:color w:val="1E293B"/>
                <w:sz w:val="21"/>
              </w:rPr>
              <w:t>Act as an Institutional Indian Equity Quant Analyst, Forensic Accountant, and Python/SQLite Data Engineer.</w:t>
            </w:r>
          </w:p>
          <w:p>
            <w:pPr>
              <w:spacing w:before="0" w:after="40" w:line="269" w:lineRule="auto"/>
            </w:pPr>
            <w:r>
              <w:rPr>
                <w:rFonts w:ascii="Calibri" w:hAnsi="Calibri"/>
                <w:color w:val="1E293B"/>
                <w:sz w:val="21"/>
              </w:rPr>
              <w:t>Execute the Monthly Indian Mutual Fund Micro-Cap &amp; Small-Cap Discovery &amp; Early Radar Pipeline (v4.0) for [TARGET_MONTH_YEAR] using the following mandatory rules:</w:t>
            </w:r>
          </w:p>
          <w:p>
            <w:pPr>
              <w:spacing w:before="0" w:after="40" w:line="269" w:lineRule="auto"/>
            </w:pPr>
            <w:r>
              <w:rPr>
                <w:rFonts w:ascii="Calibri" w:hAnsi="Calibri"/>
                <w:color w:val="1E293B"/>
                <w:sz w:val="21"/>
              </w:rPr>
            </w:r>
          </w:p>
          <w:p>
            <w:pPr>
              <w:spacing w:before="0" w:after="40" w:line="269" w:lineRule="auto"/>
            </w:pPr>
            <w:r>
              <w:rPr>
                <w:rFonts w:ascii="Calibri" w:hAnsi="Calibri"/>
                <w:color w:val="1E293B"/>
                <w:sz w:val="21"/>
              </w:rPr>
              <w:t>1. STRICT ACTIVE EQUITY FUND FILTER (ZERO PASSIVE / ETF NOISE):</w:t>
            </w:r>
          </w:p>
          <w:p>
            <w:pPr>
              <w:spacing w:before="0" w:after="40" w:line="269" w:lineRule="auto"/>
            </w:pPr>
            <w:r>
              <w:rPr>
                <w:rFonts w:ascii="Calibri" w:hAnsi="Calibri"/>
                <w:color w:val="1E293B"/>
                <w:sz w:val="21"/>
              </w:rPr>
              <w:t xml:space="preserve">   - Include ONLY actively managed Indian Mutual Fund schemes (Small Cap Funds, Mid Cap Funds, Flexi Cap / Multi Cap Funds, Focused Funds, Value/Contra Funds, and Thematic/Sectoral Active Equity Funds).</w:t>
            </w:r>
          </w:p>
          <w:p>
            <w:pPr>
              <w:spacing w:before="0" w:after="40" w:line="269" w:lineRule="auto"/>
            </w:pPr>
            <w:r>
              <w:rPr>
                <w:rFonts w:ascii="Calibri" w:hAnsi="Calibri"/>
                <w:color w:val="1E293B"/>
                <w:sz w:val="21"/>
              </w:rPr>
              <w:t xml:space="preserve">   - Strictly EXCLUDE all ETFs, Index Funds, Passive Fund-of-Funds (FoFs), Arbitrage Funds, and Overnight/Liquid debt schemes (e.g., exclude Zerodha Smallcap 100 ETF, ICICI Pru Nifty Smallcap 250 Index/ETF, Nippon India ETF Nifty Smallcap 250, Motilal Oswal Nifty Microcap 250 Index Fund, HDFC Nifty Smallcap 250 ETF/Index, SBI Nifty Smallcap 250 Index, Kotak Nifty Smallcap 250 Index, etc.).</w:t>
            </w:r>
          </w:p>
          <w:p>
            <w:pPr>
              <w:spacing w:before="0" w:after="40" w:line="269" w:lineRule="auto"/>
            </w:pPr>
            <w:r>
              <w:rPr>
                <w:rFonts w:ascii="Calibri" w:hAnsi="Calibri"/>
                <w:color w:val="1E293B"/>
                <w:sz w:val="21"/>
              </w:rPr>
              <w:t xml:space="preserve">   - Programmatic Guardrail: Apply regex filter r'\b(ETF|INDEX|NIFTY|SENSEX|BSE\s*500|PASSIVE|ARBITRAGE|BEES|FOF)\b' at row ingestion.</w:t>
            </w:r>
          </w:p>
          <w:p>
            <w:pPr>
              <w:spacing w:before="0" w:after="40" w:line="269" w:lineRule="auto"/>
            </w:pPr>
            <w:r>
              <w:rPr>
                <w:rFonts w:ascii="Calibri" w:hAnsi="Calibri"/>
                <w:color w:val="1E293B"/>
                <w:sz w:val="21"/>
              </w:rPr>
            </w:r>
          </w:p>
          <w:p>
            <w:pPr>
              <w:spacing w:before="0" w:after="40" w:line="269" w:lineRule="auto"/>
            </w:pPr>
            <w:r>
              <w:rPr>
                <w:rFonts w:ascii="Calibri" w:hAnsi="Calibri"/>
                <w:color w:val="1E293B"/>
                <w:sz w:val="21"/>
              </w:rPr>
              <w:t>2. 5-TIER DATA SOURCE HIERARCHY &amp; CROSS-VERIFICATION:</w:t>
            </w:r>
          </w:p>
          <w:p>
            <w:pPr>
              <w:spacing w:before="0" w:after="40" w:line="269" w:lineRule="auto"/>
            </w:pPr>
            <w:r>
              <w:rPr>
                <w:rFonts w:ascii="Calibri" w:hAnsi="Calibri"/>
                <w:color w:val="1E293B"/>
                <w:sz w:val="21"/>
              </w:rPr>
              <w:t xml:space="preserve">   - Tier 1 (Primary Statutory): Direct AMC Monthly Portfolio Disclosures (Excel/CSV files published under SEBI mandate by the 10th of each month) + AMFI Market Cap Categorization.</w:t>
            </w:r>
          </w:p>
          <w:p>
            <w:pPr>
              <w:spacing w:before="0" w:after="40" w:line="269" w:lineRule="auto"/>
            </w:pPr>
            <w:r>
              <w:rPr>
                <w:rFonts w:ascii="Calibri" w:hAnsi="Calibri"/>
                <w:color w:val="1E293B"/>
                <w:sz w:val="21"/>
              </w:rPr>
              <w:t xml:space="preserve">   - Tier 2 (Institutional Aggregators): RupeeVest MF Stock Holdings, Trendlyne Mutual Fund Superstar/Holdings, Tijori Finance, and Value Research Online Stock Rating pages.</w:t>
            </w:r>
          </w:p>
          <w:p>
            <w:pPr>
              <w:spacing w:before="0" w:after="40" w:line="269" w:lineRule="auto"/>
            </w:pPr>
            <w:r>
              <w:rPr>
                <w:rFonts w:ascii="Calibri" w:hAnsi="Calibri"/>
                <w:color w:val="1E293B"/>
                <w:sz w:val="21"/>
              </w:rPr>
              <w:t xml:space="preserve">   - Tier 3 (Pre-MF &amp; Exchange Filings): NSE/BSE SAST Reg 7(2) &amp; Reg 29(1)/29(2) Insider Trading Disclosures, NSE/BSE Bulk &amp; Block Deals (Cat III AIF / PMS / Marquee HNI), Board Outcome filings for Preferential Allotments/Warrants, and BSE SME / NSE Emerge Mainboard Migration approvals.</w:t>
            </w:r>
          </w:p>
          <w:p>
            <w:pPr>
              <w:spacing w:before="0" w:after="40" w:line="269" w:lineRule="auto"/>
            </w:pPr>
            <w:r>
              <w:rPr>
                <w:rFonts w:ascii="Calibri" w:hAnsi="Calibri"/>
                <w:color w:val="1E293B"/>
                <w:sz w:val="21"/>
              </w:rPr>
              <w:t xml:space="preserve">   - Tier 4 (Forensic &amp; Fundamental Data): Screener.in / Ace Equity / Quarterly Results &amp; Annual Reports (CFO, EBITDA, Promoter Shareholding %, Promoter Pledge %, Receivables, Related-Party Transactions, CWIP, Gross Block, Order Book).</w:t>
            </w:r>
          </w:p>
          <w:p>
            <w:pPr>
              <w:spacing w:before="0" w:after="40" w:line="269" w:lineRule="auto"/>
            </w:pPr>
            <w:r>
              <w:rPr>
                <w:rFonts w:ascii="Calibri" w:hAnsi="Calibri"/>
                <w:color w:val="1E293B"/>
                <w:sz w:val="21"/>
              </w:rPr>
              <w:t xml:space="preserve">   - Tier 5 (Management Commentary): Quarterly Earnings Concall Transcripts and Investor Presentations.</w:t>
            </w:r>
          </w:p>
          <w:p>
            <w:pPr>
              <w:spacing w:before="0" w:after="40" w:line="269" w:lineRule="auto"/>
            </w:pPr>
            <w:r>
              <w:rPr>
                <w:rFonts w:ascii="Calibri" w:hAnsi="Calibri"/>
                <w:color w:val="1E293B"/>
                <w:sz w:val="21"/>
              </w:rPr>
            </w:r>
          </w:p>
          <w:p>
            <w:pPr>
              <w:spacing w:before="0" w:after="40" w:line="269" w:lineRule="auto"/>
            </w:pPr>
            <w:r>
              <w:rPr>
                <w:rFonts w:ascii="Calibri" w:hAnsi="Calibri"/>
                <w:color w:val="1E293B"/>
                <w:sz w:val="21"/>
              </w:rPr>
              <w:t>3. HISTORICAL SQLITE INTELLIGENCE (mf_history.db) &amp; TIME-TRAVEL MODE:</w:t>
            </w:r>
          </w:p>
          <w:p>
            <w:pPr>
              <w:spacing w:before="0" w:after="40" w:line="269" w:lineRule="auto"/>
            </w:pPr>
            <w:r>
              <w:rPr>
                <w:rFonts w:ascii="Calibri" w:hAnsi="Calibri"/>
                <w:color w:val="1E293B"/>
                <w:sz w:val="21"/>
              </w:rPr>
              <w:t xml:space="preserve">   - Persist every monthly run in C:\Users\sdgangji\OneDrive\Projects\mf_monthly_micro_smallcap_scanner\mf_history.db across 6 core tables:</w:t>
            </w:r>
          </w:p>
          <w:p>
            <w:pPr>
              <w:spacing w:before="0" w:after="40" w:line="269" w:lineRule="auto"/>
            </w:pPr>
            <w:r>
              <w:rPr>
                <w:rFonts w:ascii="Calibri" w:hAnsi="Calibri"/>
                <w:color w:val="1E293B"/>
                <w:sz w:val="21"/>
              </w:rPr>
              <w:t xml:space="preserve">     (a) monthly_holdings  (b) complete_exits_history  (c) stock_master</w:t>
            </w:r>
          </w:p>
          <w:p>
            <w:pPr>
              <w:spacing w:before="0" w:after="40" w:line="269" w:lineRule="auto"/>
            </w:pPr>
            <w:r>
              <w:rPr>
                <w:rFonts w:ascii="Calibri" w:hAnsi="Calibri"/>
                <w:color w:val="1E293B"/>
                <w:sz w:val="21"/>
              </w:rPr>
              <w:t xml:space="preserve">     (d) value_research_ratings  (e) pre_mf_smart_money_signals  (f) forensic_governance_checks</w:t>
            </w:r>
          </w:p>
          <w:p>
            <w:pPr>
              <w:spacing w:before="0" w:after="40" w:line="269" w:lineRule="auto"/>
            </w:pPr>
            <w:r>
              <w:rPr>
                <w:rFonts w:ascii="Calibri" w:hAnsi="Calibri"/>
                <w:color w:val="1E293B"/>
                <w:sz w:val="21"/>
              </w:rPr>
              <w:t xml:space="preserve">   - Support --as-of-date YYYY-MM-DD (Time-Travel Mode) where all queries enforce WHERE report_date &lt;= :as_of_date with zero look-ahead bias.</w:t>
            </w:r>
          </w:p>
          <w:p>
            <w:pPr>
              <w:spacing w:before="0" w:after="40" w:line="269" w:lineRule="auto"/>
            </w:pPr>
            <w:r>
              <w:rPr>
                <w:rFonts w:ascii="Calibri" w:hAnsi="Calibri"/>
                <w:color w:val="1E293B"/>
                <w:sz w:val="21"/>
              </w:rPr>
              <w:t xml:space="preserve">   - Track first_seen_month (true multi-year fresh entry verification), consecutive_buying_months, and peak_schemes_held.</w:t>
            </w:r>
          </w:p>
          <w:p>
            <w:pPr>
              <w:spacing w:before="0" w:after="40" w:line="269" w:lineRule="auto"/>
            </w:pPr>
            <w:r>
              <w:rPr>
                <w:rFonts w:ascii="Calibri" w:hAnsi="Calibri"/>
                <w:color w:val="1E293B"/>
                <w:sz w:val="21"/>
              </w:rPr>
            </w:r>
          </w:p>
          <w:p>
            <w:pPr>
              <w:spacing w:before="0" w:after="40" w:line="269" w:lineRule="auto"/>
            </w:pPr>
            <w:r>
              <w:rPr>
                <w:rFonts w:ascii="Calibri" w:hAnsi="Calibri"/>
                <w:color w:val="1E293B"/>
                <w:sz w:val="21"/>
              </w:rPr>
              <w:t>4. COMPLETE (100%) SCHEME EXITS &amp; SEVERITY CLASSIFICATION:</w:t>
            </w:r>
          </w:p>
          <w:p>
            <w:pPr>
              <w:spacing w:before="0" w:after="40" w:line="269" w:lineRule="auto"/>
            </w:pPr>
            <w:r>
              <w:rPr>
                <w:rFonts w:ascii="Calibri" w:hAnsi="Calibri"/>
                <w:color w:val="1E293B"/>
                <w:sz w:val="21"/>
              </w:rPr>
              <w:t xml:space="preserve">   - Track every stock where 1 or more active schemes reduced holdings to 0 shares (100% exit).</w:t>
            </w:r>
          </w:p>
          <w:p>
            <w:pPr>
              <w:spacing w:before="0" w:after="40" w:line="269" w:lineRule="auto"/>
            </w:pPr>
            <w:r>
              <w:rPr>
                <w:rFonts w:ascii="Calibri" w:hAnsi="Calibri"/>
                <w:color w:val="1E293B"/>
                <w:sz w:val="21"/>
              </w:rPr>
              <w:t xml:space="preserve">   - Classify Exit Severity:</w:t>
            </w:r>
          </w:p>
          <w:p>
            <w:pPr>
              <w:spacing w:before="0" w:after="40" w:line="269" w:lineRule="auto"/>
            </w:pPr>
            <w:r>
              <w:rPr>
                <w:rFonts w:ascii="Calibri" w:hAnsi="Calibri"/>
                <w:color w:val="1E293B"/>
                <w:sz w:val="21"/>
              </w:rPr>
              <w:t xml:space="preserve">     * RED (Single-AMC Exit): 1 active scheme exited 100% while other schemes continue holding.</w:t>
            </w:r>
          </w:p>
          <w:p>
            <w:pPr>
              <w:spacing w:before="0" w:after="40" w:line="269" w:lineRule="auto"/>
            </w:pPr>
            <w:r>
              <w:rPr>
                <w:rFonts w:ascii="Calibri" w:hAnsi="Calibri"/>
                <w:color w:val="1E293B"/>
                <w:sz w:val="21"/>
              </w:rPr>
              <w:t xml:space="preserve">     * DARK RED (Multi-AMC Exit): &gt;= 2 active schemes exited 100% in the same month.</w:t>
            </w:r>
          </w:p>
          <w:p>
            <w:pPr>
              <w:spacing w:before="0" w:after="40" w:line="269" w:lineRule="auto"/>
            </w:pPr>
            <w:r>
              <w:rPr>
                <w:rFonts w:ascii="Calibri" w:hAnsi="Calibri"/>
                <w:color w:val="1E293B"/>
                <w:sz w:val="21"/>
              </w:rPr>
              <w:t xml:space="preserve">     * CRITICAL (Total Institutional Abandonment): All remaining active schemes exited (active_schemes_remaining == 0).</w:t>
            </w:r>
          </w:p>
          <w:p>
            <w:pPr>
              <w:spacing w:before="0" w:after="40" w:line="269" w:lineRule="auto"/>
            </w:pPr>
            <w:r>
              <w:rPr>
                <w:rFonts w:ascii="Calibri" w:hAnsi="Calibri"/>
                <w:color w:val="1E293B"/>
                <w:sz w:val="21"/>
              </w:rPr>
            </w:r>
          </w:p>
          <w:p>
            <w:pPr>
              <w:spacing w:before="0" w:after="40" w:line="269" w:lineRule="auto"/>
            </w:pPr>
            <w:r>
              <w:rPr>
                <w:rFonts w:ascii="Calibri" w:hAnsi="Calibri"/>
                <w:color w:val="1E293B"/>
                <w:sz w:val="21"/>
              </w:rPr>
              <w:t>5. WATCHLIST CONVICTION SCORE (0-100) &amp; VALUE RESEARCH 4-PILLAR RATING:</w:t>
            </w:r>
          </w:p>
          <w:p>
            <w:pPr>
              <w:spacing w:before="0" w:after="40" w:line="269" w:lineRule="auto"/>
            </w:pPr>
            <w:r>
              <w:rPr>
                <w:rFonts w:ascii="Calibri" w:hAnsi="Calibri"/>
                <w:color w:val="1E293B"/>
                <w:sz w:val="21"/>
              </w:rPr>
              <w:t xml:space="preserve">   - Watchlist Score = (Fresh_Entry_Weight * 30) + (Consecutive_MoM_Accumulation * 25) + (Active_AMC_Consensus * 20) + (Share_Addition_Magnitude * 15) + (VR_Composite_Star_Score * 10).</w:t>
            </w:r>
          </w:p>
          <w:p>
            <w:pPr>
              <w:spacing w:before="0" w:after="40" w:line="269" w:lineRule="auto"/>
            </w:pPr>
            <w:r>
              <w:rPr>
                <w:rFonts w:ascii="Calibri" w:hAnsi="Calibri"/>
                <w:color w:val="1E293B"/>
                <w:sz w:val="21"/>
              </w:rPr>
              <w:t xml:space="preserve">   - Value Research 4-Pillar Stock Rating (1-5 Stars Composite): Quality Score (/10), Valuation Score (/10), Growth Score (/10), Momentum Score (/10), and Price-to-Intrinsic Value Status.</w:t>
            </w:r>
          </w:p>
          <w:p>
            <w:pPr>
              <w:spacing w:before="0" w:after="40" w:line="269" w:lineRule="auto"/>
            </w:pPr>
            <w:r>
              <w:rPr>
                <w:rFonts w:ascii="Calibri" w:hAnsi="Calibri"/>
                <w:color w:val="1E293B"/>
                <w:sz w:val="21"/>
              </w:rPr>
            </w:r>
          </w:p>
          <w:p>
            <w:pPr>
              <w:spacing w:before="0" w:after="40" w:line="269" w:lineRule="auto"/>
            </w:pPr>
            <w:r>
              <w:rPr>
                <w:rFonts w:ascii="Calibri" w:hAnsi="Calibri"/>
                <w:color w:val="1E293B"/>
                <w:sz w:val="21"/>
              </w:rPr>
              <w:t>6. 4-LAYER EARLY MICRO-CAP DISCOVERY FUNNEL &amp; FORENSIC SCORE (0-100):</w:t>
            </w:r>
          </w:p>
          <w:p>
            <w:pPr>
              <w:spacing w:before="0" w:after="40" w:line="269" w:lineRule="auto"/>
            </w:pPr>
            <w:r>
              <w:rPr>
                <w:rFonts w:ascii="Calibri" w:hAnsi="Calibri"/>
                <w:color w:val="1E293B"/>
                <w:sz w:val="21"/>
              </w:rPr>
              <w:t xml:space="preserve">   - Classify stocks into Stage 1 (Pre-MF Smart Money: 0 MFs, Promoter/Warrant/AIF/SME migration), Stage 2 (Pioneer Single-AMC Discovery: 1-2 MFs, &gt;= 0.75% Free-Float Absorbed), Stage 3 (Early Multi-AMC Inflection: 3-6 MFs), or Stage 4 (Established Consensus: 7+ MFs).</w:t>
            </w:r>
          </w:p>
          <w:p>
            <w:pPr>
              <w:spacing w:before="0" w:after="40" w:line="269" w:lineRule="auto"/>
            </w:pPr>
            <w:r>
              <w:rPr>
                <w:rFonts w:ascii="Calibri" w:hAnsi="Calibri"/>
                <w:color w:val="1E293B"/>
                <w:sz w:val="21"/>
              </w:rPr>
              <w:t xml:space="preserve">   - Compute Free-Float Absorption % = (Net New MF Shares Bought in Month / Non-Promoter Free-Float Shares) * 100.</w:t>
            </w:r>
          </w:p>
          <w:p>
            <w:pPr>
              <w:spacing w:before="0" w:after="40" w:line="269" w:lineRule="auto"/>
            </w:pPr>
            <w:r>
              <w:rPr>
                <w:rFonts w:ascii="Calibri" w:hAnsi="Calibri"/>
                <w:color w:val="1E293B"/>
                <w:sz w:val="21"/>
              </w:rPr>
              <w:t xml:space="preserve">   - Compute Early Discovery Score (/100) = Pre-MF Smart Money (30 pts) + Pioneer Free-Float Absorption (25 pts) + Fundamental Inflection CWIP/OrderBook (25 pts) + Forensic Governance Cleanliness (20 pts).</w:t>
            </w:r>
          </w:p>
          <w:p>
            <w:pPr>
              <w:spacing w:before="0" w:after="0" w:line="269" w:lineRule="auto"/>
            </w:pPr>
            <w:r>
              <w:rPr>
                <w:rFonts w:ascii="Calibri" w:hAnsi="Calibri"/>
                <w:color w:val="1E293B"/>
                <w:sz w:val="21"/>
              </w:rPr>
              <w:t xml:space="preserve">   - Enforce Hard Forensic Disqualifiers: Reject/penalize if 3Y Cumulative CFO/EBITDA &lt; 50%, Promoter Pledge &gt; 10% (or rising), Auditor Resignation, or Promoter selling into MF buying.</w:t>
            </w:r>
          </w:p>
        </w:tc>
      </w:tr>
    </w:tbl>
    <w:p>
      <w:pPr>
        <w:spacing w:before="0" w:after="80"/>
      </w:pPr>
    </w:p>
    <w:p>
      <w:pPr>
        <w:keepNext/>
        <w:spacing w:before="320" w:after="120"/>
        <w:pBdr>
          <w:bottom w:val="single" w:sz="12" w:space="4" w:color="1E3A8A"/>
        </w:pBdr>
      </w:pPr>
      <w:r>
        <w:rPr>
          <w:rFonts w:ascii="Calibri" w:hAnsi="Calibri"/>
          <w:b/>
          <w:color w:val="0F172A"/>
          <w:sz w:val="31"/>
        </w:rPr>
        <w:t>4. The 4-Layer Early Micro-Cap Discovery Funnel &amp; Forensic Guardrails</w:t>
      </w:r>
    </w:p>
    <w:p>
      <w:pPr>
        <w:spacing w:before="0" w:after="120" w:line="276" w:lineRule="auto"/>
      </w:pPr>
      <w:r>
        <w:rPr>
          <w:rFonts w:ascii="Calibri" w:hAnsi="Calibri"/>
          <w:color w:val="1E293B"/>
          <w:sz w:val="22"/>
        </w:rPr>
        <w:t>Relying only on monthly mutual fund disclosures creates a structural lag for true micro-caps (₹300 Cr – ₹2,500 Cr market cap) because AMCs face a 10% single-company ownership cap and strict liquidity constraints. Usually, a micro-cap moves 2x–3x before 3+ mutual funds can legally accumulate a meaningful stake. Version 4.0 solves all 7 blind spots through a 4-stage funnel:</w:t>
      </w:r>
    </w:p>
    <w:tbl>
      <w:tblPr>
        <w:tblW w:type="auto" w:w="0"/>
        <w:jc w:val="center"/>
        <w:tblLayout w:type="fixed"/>
        <w:tblLook w:firstColumn="1" w:firstRow="1" w:lastColumn="0" w:lastRow="0" w:noHBand="0" w:noVBand="1" w:val="04A0"/>
        <w:tblBorders>
          <w:top w:val="single" w:sz="6" w:space="0" w:color="CBD5E1"/>
          <w:bottom w:val="single" w:sz="8" w:space="0" w:color="CBD5E1"/>
          <w:insideH w:val="single" w:sz="4" w:space="0" w:color="CBD5E1"/>
          <w:insideV w:val="single" w:sz="4" w:space="0" w:color="CBD5E1"/>
          <w:left w:val="single" w:sz="4" w:space="0" w:color="CBD5E1"/>
          <w:right w:val="single" w:sz="4" w:space="0" w:color="CBD5E1"/>
        </w:tblBorders>
      </w:tblPr>
      <w:tblGrid>
        <w:gridCol w:w="2448"/>
        <w:gridCol w:w="2448"/>
        <w:gridCol w:w="2448"/>
        <w:gridCol w:w="2448"/>
      </w:tblGrid>
      <w:tr>
        <w:trPr>
          <w:tblHeader/>
          <w:cantSplit/>
        </w:trPr>
        <w:tc>
          <w:tcPr>
            <w:tcW w:type="dxa" w:w="2160"/>
            <w:vAlign w:val="center"/>
            <w:shd w:fill="1E293B"/>
            <w:tcMar>
              <w:top w:w="100" w:type="dxa"/>
              <w:bottom w:w="100" w:type="dxa"/>
              <w:left w:w="120" w:type="dxa"/>
              <w:right w:w="120" w:type="dxa"/>
            </w:tcMar>
          </w:tcPr>
          <w:p>
            <w:pPr>
              <w:keepNext/>
              <w:spacing w:before="0" w:after="0"/>
              <w:jc w:val="left"/>
            </w:pPr>
            <w:r>
              <w:rPr>
                <w:rFonts w:ascii="Calibri" w:hAnsi="Calibri"/>
                <w:b/>
                <w:color w:val="FFFFFF"/>
                <w:sz w:val="21"/>
              </w:rPr>
              <w:t>Discovery Stage</w:t>
            </w:r>
          </w:p>
        </w:tc>
        <w:tc>
          <w:tcPr>
            <w:tcW w:type="dxa" w:w="1872"/>
            <w:vAlign w:val="center"/>
            <w:shd w:fill="1E293B"/>
            <w:tcMar>
              <w:top w:w="100" w:type="dxa"/>
              <w:bottom w:w="100" w:type="dxa"/>
              <w:left w:w="120" w:type="dxa"/>
              <w:right w:w="120" w:type="dxa"/>
            </w:tcMar>
          </w:tcPr>
          <w:p>
            <w:pPr>
              <w:keepNext/>
              <w:spacing w:before="0" w:after="0"/>
              <w:jc w:val="left"/>
            </w:pPr>
            <w:r>
              <w:rPr>
                <w:rFonts w:ascii="Calibri" w:hAnsi="Calibri"/>
                <w:b/>
                <w:color w:val="FFFFFF"/>
                <w:sz w:val="21"/>
              </w:rPr>
              <w:t>Market Cap &amp; MF Count</w:t>
            </w:r>
          </w:p>
        </w:tc>
        <w:tc>
          <w:tcPr>
            <w:tcW w:type="dxa" w:w="3312"/>
            <w:vAlign w:val="center"/>
            <w:shd w:fill="1E293B"/>
            <w:tcMar>
              <w:top w:w="100" w:type="dxa"/>
              <w:bottom w:w="100" w:type="dxa"/>
              <w:left w:w="120" w:type="dxa"/>
              <w:right w:w="120" w:type="dxa"/>
            </w:tcMar>
          </w:tcPr>
          <w:p>
            <w:pPr>
              <w:keepNext/>
              <w:spacing w:before="0" w:after="0"/>
              <w:jc w:val="left"/>
            </w:pPr>
            <w:r>
              <w:rPr>
                <w:rFonts w:ascii="Calibri" w:hAnsi="Calibri"/>
                <w:b/>
                <w:color w:val="FFFFFF"/>
                <w:sz w:val="21"/>
              </w:rPr>
              <w:t>Primary Institutional / Insider Signals Tracked</w:t>
            </w:r>
          </w:p>
        </w:tc>
        <w:tc>
          <w:tcPr>
            <w:tcW w:type="dxa" w:w="2448"/>
            <w:vAlign w:val="center"/>
            <w:shd w:fill="1E293B"/>
            <w:tcMar>
              <w:top w:w="100" w:type="dxa"/>
              <w:bottom w:w="100" w:type="dxa"/>
              <w:left w:w="120" w:type="dxa"/>
              <w:right w:w="120" w:type="dxa"/>
            </w:tcMar>
          </w:tcPr>
          <w:p>
            <w:pPr>
              <w:keepNext/>
              <w:spacing w:before="0" w:after="0"/>
              <w:jc w:val="left"/>
            </w:pPr>
            <w:r>
              <w:rPr>
                <w:rFonts w:ascii="Calibri" w:hAnsi="Calibri"/>
                <w:b/>
                <w:color w:val="FFFFFF"/>
                <w:sz w:val="21"/>
              </w:rPr>
              <w:t>Conviction Trigger Threshold</w:t>
            </w:r>
          </w:p>
        </w:tc>
      </w:tr>
      <w:tr>
        <w:trPr>
          <w:cantSplit/>
        </w:trPr>
        <w:tc>
          <w:tcPr>
            <w:tcW w:type="dxa" w:w="2160"/>
            <w:vAlign w:val="center"/>
            <w:tcMar>
              <w:top w:w="85" w:type="dxa"/>
              <w:bottom w:w="85" w:type="dxa"/>
              <w:left w:w="120" w:type="dxa"/>
              <w:right w:w="120" w:type="dxa"/>
            </w:tcMar>
          </w:tcPr>
          <w:p>
            <w:pPr>
              <w:spacing w:before="0" w:after="0" w:line="269" w:lineRule="auto"/>
              <w:jc w:val="left"/>
            </w:pPr>
            <w:r>
              <w:rPr>
                <w:rFonts w:ascii="Calibri" w:hAnsi="Calibri"/>
                <w:b/>
                <w:color w:val="0F172A"/>
                <w:sz w:val="20"/>
              </w:rPr>
              <w:t>Stage 1: Pre-MF Smart Money</w:t>
            </w:r>
          </w:p>
        </w:tc>
        <w:tc>
          <w:tcPr>
            <w:tcW w:type="dxa" w:w="1872"/>
            <w:vAlign w:val="center"/>
            <w:tcMar>
              <w:top w:w="85" w:type="dxa"/>
              <w:bottom w:w="85" w:type="dxa"/>
              <w:left w:w="120" w:type="dxa"/>
              <w:right w:w="120" w:type="dxa"/>
            </w:tcMar>
          </w:tcPr>
          <w:p>
            <w:pPr>
              <w:spacing w:before="0" w:after="0" w:line="269" w:lineRule="auto"/>
              <w:jc w:val="left"/>
            </w:pPr>
            <w:r>
              <w:rPr>
                <w:rFonts w:ascii="Calibri" w:hAnsi="Calibri"/>
                <w:color w:val="1E293B"/>
                <w:sz w:val="20"/>
              </w:rPr>
              <w:t>₹300 Cr – ₹2,000 Cr</w:t>
              <w:br/>
              <w:t>(0 Active MFs)</w:t>
            </w:r>
          </w:p>
        </w:tc>
        <w:tc>
          <w:tcPr>
            <w:tcW w:type="dxa" w:w="3312"/>
            <w:vAlign w:val="center"/>
            <w:tcMar>
              <w:top w:w="85" w:type="dxa"/>
              <w:bottom w:w="85" w:type="dxa"/>
              <w:left w:w="120" w:type="dxa"/>
              <w:right w:w="120" w:type="dxa"/>
            </w:tcMar>
          </w:tcPr>
          <w:p>
            <w:pPr>
              <w:spacing w:before="0" w:after="0" w:line="269" w:lineRule="auto"/>
              <w:jc w:val="left"/>
            </w:pPr>
            <w:r>
              <w:rPr>
                <w:rFonts w:ascii="Calibri" w:hAnsi="Calibri"/>
                <w:color w:val="1E293B"/>
                <w:sz w:val="20"/>
              </w:rPr>
              <w:t>• SEBI SAST Reg 7(2) Promoter open-market purchase</w:t>
              <w:br/>
              <w:t>• Preferential Warrants to Promoters/Marquee Investors</w:t>
              <w:br/>
              <w:t>• Category III AIF / PMS Bulk Deals (&gt;0.5% equity)</w:t>
              <w:br/>
              <w:t>• BSE SME / NSE Emerge to Mainboard Migration</w:t>
            </w:r>
          </w:p>
        </w:tc>
        <w:tc>
          <w:tcPr>
            <w:tcW w:type="dxa" w:w="2448"/>
            <w:vAlign w:val="center"/>
            <w:tcMar>
              <w:top w:w="85" w:type="dxa"/>
              <w:bottom w:w="85" w:type="dxa"/>
              <w:left w:w="120" w:type="dxa"/>
              <w:right w:w="120" w:type="dxa"/>
            </w:tcMar>
          </w:tcPr>
          <w:p>
            <w:pPr>
              <w:spacing w:before="0" w:after="0" w:line="269" w:lineRule="auto"/>
              <w:jc w:val="left"/>
            </w:pPr>
            <w:r>
              <w:rPr>
                <w:rFonts w:ascii="Calibri" w:hAnsi="Calibri"/>
                <w:color w:val="1E293B"/>
                <w:sz w:val="20"/>
              </w:rPr>
              <w:t>Promoter Open-Market Buy &gt;= ₹1 Cr OR Preferential Warrant conversion price within 15% of CMP + Migration approval</w:t>
            </w:r>
          </w:p>
        </w:tc>
      </w:tr>
      <w:tr>
        <w:trPr>
          <w:cantSplit/>
        </w:trPr>
        <w:tc>
          <w:tcPr>
            <w:tcW w:type="dxa" w:w="2160"/>
            <w:vAlign w:val="center"/>
            <w:shd w:fill="F8FAFC"/>
            <w:tcMar>
              <w:top w:w="85" w:type="dxa"/>
              <w:bottom w:w="85" w:type="dxa"/>
              <w:left w:w="120" w:type="dxa"/>
              <w:right w:w="120" w:type="dxa"/>
            </w:tcMar>
          </w:tcPr>
          <w:p>
            <w:pPr>
              <w:spacing w:before="0" w:after="0" w:line="269" w:lineRule="auto"/>
              <w:jc w:val="left"/>
            </w:pPr>
            <w:r>
              <w:rPr>
                <w:rFonts w:ascii="Calibri" w:hAnsi="Calibri"/>
                <w:b/>
                <w:color w:val="0F172A"/>
                <w:sz w:val="20"/>
              </w:rPr>
              <w:t>Stage 2: Pioneer Single-AMC Discovery</w:t>
            </w:r>
          </w:p>
        </w:tc>
        <w:tc>
          <w:tcPr>
            <w:tcW w:type="dxa" w:w="1872"/>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₹1,000 Cr – ₹3,500 Cr</w:t>
              <w:br/>
              <w:t>(1–2 Active MFs)</w:t>
            </w:r>
          </w:p>
        </w:tc>
        <w:tc>
          <w:tcPr>
            <w:tcW w:type="dxa" w:w="3312"/>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 First-ever active Small/Micro-cap scheme entry</w:t>
              <w:br/>
              <w:t>• Normalized by Free-Float Absorption % instead of raw AMC count</w:t>
              <w:br/>
              <w:t>• Zero passive/ETF contamination</w:t>
            </w:r>
          </w:p>
        </w:tc>
        <w:tc>
          <w:tcPr>
            <w:tcW w:type="dxa" w:w="2448"/>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Free-Float Absorption &gt;= 0.75% of Non-Promoter Float in a single month by 1–2 high-conviction active funds</w:t>
            </w:r>
          </w:p>
        </w:tc>
      </w:tr>
      <w:tr>
        <w:trPr>
          <w:cantSplit/>
        </w:trPr>
        <w:tc>
          <w:tcPr>
            <w:tcW w:type="dxa" w:w="2160"/>
            <w:vAlign w:val="center"/>
            <w:tcMar>
              <w:top w:w="85" w:type="dxa"/>
              <w:bottom w:w="85" w:type="dxa"/>
              <w:left w:w="120" w:type="dxa"/>
              <w:right w:w="120" w:type="dxa"/>
            </w:tcMar>
          </w:tcPr>
          <w:p>
            <w:pPr>
              <w:spacing w:before="0" w:after="0" w:line="269" w:lineRule="auto"/>
              <w:jc w:val="left"/>
            </w:pPr>
            <w:r>
              <w:rPr>
                <w:rFonts w:ascii="Calibri" w:hAnsi="Calibri"/>
                <w:b/>
                <w:color w:val="0F172A"/>
                <w:sz w:val="20"/>
              </w:rPr>
              <w:t>Stage 3: Early Multi-AMC Inflection</w:t>
            </w:r>
          </w:p>
        </w:tc>
        <w:tc>
          <w:tcPr>
            <w:tcW w:type="dxa" w:w="1872"/>
            <w:vAlign w:val="center"/>
            <w:tcMar>
              <w:top w:w="85" w:type="dxa"/>
              <w:bottom w:w="85" w:type="dxa"/>
              <w:left w:w="120" w:type="dxa"/>
              <w:right w:w="120" w:type="dxa"/>
            </w:tcMar>
          </w:tcPr>
          <w:p>
            <w:pPr>
              <w:spacing w:before="0" w:after="0" w:line="269" w:lineRule="auto"/>
              <w:jc w:val="left"/>
            </w:pPr>
            <w:r>
              <w:rPr>
                <w:rFonts w:ascii="Calibri" w:hAnsi="Calibri"/>
                <w:color w:val="1E293B"/>
                <w:sz w:val="20"/>
              </w:rPr>
              <w:t>₹2,500 Cr – ₹6,500 Cr</w:t>
              <w:br/>
              <w:t>(3–6 Active MFs)</w:t>
            </w:r>
          </w:p>
        </w:tc>
        <w:tc>
          <w:tcPr>
            <w:tcW w:type="dxa" w:w="3312"/>
            <w:vAlign w:val="center"/>
            <w:tcMar>
              <w:top w:w="85" w:type="dxa"/>
              <w:bottom w:w="85" w:type="dxa"/>
              <w:left w:w="120" w:type="dxa"/>
              <w:right w:w="120" w:type="dxa"/>
            </w:tcMar>
          </w:tcPr>
          <w:p>
            <w:pPr>
              <w:spacing w:before="0" w:after="0" w:line="269" w:lineRule="auto"/>
              <w:jc w:val="left"/>
            </w:pPr>
            <w:r>
              <w:rPr>
                <w:rFonts w:ascii="Calibri" w:hAnsi="Calibri"/>
                <w:color w:val="1E293B"/>
                <w:sz w:val="20"/>
              </w:rPr>
              <w:t>• 2nd and 3rd independent AMC entering after CWIP commissioning or Order Book breakout</w:t>
              <w:br/>
              <w:t>• Consecutive MoM share additions &gt;= 2 months</w:t>
            </w:r>
          </w:p>
        </w:tc>
        <w:tc>
          <w:tcPr>
            <w:tcW w:type="dxa" w:w="2448"/>
            <w:vAlign w:val="center"/>
            <w:tcMar>
              <w:top w:w="85" w:type="dxa"/>
              <w:bottom w:w="85" w:type="dxa"/>
              <w:left w:w="120" w:type="dxa"/>
              <w:right w:w="120" w:type="dxa"/>
            </w:tcMar>
          </w:tcPr>
          <w:p>
            <w:pPr>
              <w:spacing w:before="0" w:after="0" w:line="269" w:lineRule="auto"/>
              <w:jc w:val="left"/>
            </w:pPr>
            <w:r>
              <w:rPr>
                <w:rFonts w:ascii="Calibri" w:hAnsi="Calibri"/>
                <w:color w:val="1E293B"/>
                <w:sz w:val="20"/>
              </w:rPr>
              <w:t>3–6 Active MFs + Consecutive Accumulation &gt;= 2M + Order Book / TTM Revenue &gt;= 1.5x</w:t>
            </w:r>
          </w:p>
        </w:tc>
      </w:tr>
      <w:tr>
        <w:trPr>
          <w:cantSplit/>
        </w:trPr>
        <w:tc>
          <w:tcPr>
            <w:tcW w:type="dxa" w:w="2160"/>
            <w:vAlign w:val="center"/>
            <w:shd w:fill="F8FAFC"/>
            <w:tcMar>
              <w:top w:w="85" w:type="dxa"/>
              <w:bottom w:w="85" w:type="dxa"/>
              <w:left w:w="120" w:type="dxa"/>
              <w:right w:w="120" w:type="dxa"/>
            </w:tcMar>
          </w:tcPr>
          <w:p>
            <w:pPr>
              <w:spacing w:before="0" w:after="0" w:line="269" w:lineRule="auto"/>
              <w:jc w:val="left"/>
            </w:pPr>
            <w:r>
              <w:rPr>
                <w:rFonts w:ascii="Calibri" w:hAnsi="Calibri"/>
                <w:b/>
                <w:color w:val="0F172A"/>
                <w:sz w:val="20"/>
              </w:rPr>
              <w:t>Stage 4: Institutional Consensus Compounder</w:t>
            </w:r>
          </w:p>
        </w:tc>
        <w:tc>
          <w:tcPr>
            <w:tcW w:type="dxa" w:w="1872"/>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₹5,000 Cr+</w:t>
              <w:br/>
              <w:t>(7+ Active MFs)</w:t>
            </w:r>
          </w:p>
        </w:tc>
        <w:tc>
          <w:tcPr>
            <w:tcW w:type="dxa" w:w="3312"/>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 Broad active Small-Cap &amp; Mid-Cap fund consensus</w:t>
              <w:br/>
              <w:t>• Tracked for steady accumulation vs. Dark Red / Critical exits</w:t>
            </w:r>
          </w:p>
        </w:tc>
        <w:tc>
          <w:tcPr>
            <w:tcW w:type="dxa" w:w="2448"/>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Watchlist Score &gt;= 75/100 + Value Research Rating &gt;= 4 Stars</w:t>
            </w:r>
          </w:p>
        </w:tc>
      </w:tr>
    </w:tbl>
    <w:p>
      <w:pPr>
        <w:spacing w:before="0" w:after="120"/>
      </w:pPr>
    </w:p>
    <w:p>
      <w:pPr>
        <w:keepNext/>
        <w:spacing w:before="240" w:after="80"/>
      </w:pPr>
      <w:r>
        <w:rPr>
          <w:rFonts w:ascii="Calibri" w:hAnsi="Calibri"/>
          <w:b/>
          <w:color w:val="1E3A8A"/>
          <w:sz w:val="26"/>
        </w:rPr>
        <w:t>4.1 Key Quantitative Formulas Used in v4.0</w:t>
      </w:r>
    </w:p>
    <w:p>
      <w:pPr>
        <w:pStyle w:val="ListBullet"/>
        <w:spacing w:before="0" w:after="80" w:line="276" w:lineRule="auto"/>
      </w:pPr>
      <w:r>
        <w:rPr>
          <w:rFonts w:ascii="Calibri" w:hAnsi="Calibri"/>
          <w:b/>
          <w:color w:val="0F172A"/>
          <w:sz w:val="22"/>
        </w:rPr>
        <w:t xml:space="preserve">Free-Float Absorption %: </w:t>
      </w:r>
      <w:r>
        <w:rPr>
          <w:rFonts w:ascii="Calibri" w:hAnsi="Calibri"/>
          <w:color w:val="1E293B"/>
          <w:sz w:val="22"/>
        </w:rPr>
        <w:t>((MF Shares Bought in Current Month) / (Total Outstanding Shares × (1 - Promoter Holding %))) × 100. Any reading &gt;= 0.75% is a High-Priority Pioneer Signal; &gt;= 1.50% is an Aggressive Institutional Lock-up.</w:t>
      </w:r>
    </w:p>
    <w:p>
      <w:pPr>
        <w:pStyle w:val="ListBullet"/>
        <w:spacing w:before="0" w:after="80" w:line="276" w:lineRule="auto"/>
      </w:pPr>
      <w:r>
        <w:rPr>
          <w:rFonts w:ascii="Calibri" w:hAnsi="Calibri"/>
          <w:b/>
          <w:color w:val="0F172A"/>
          <w:sz w:val="22"/>
        </w:rPr>
        <w:t xml:space="preserve">Early Discovery Composite Score (0–100 pts): </w:t>
      </w:r>
      <w:r>
        <w:rPr>
          <w:rFonts w:ascii="Calibri" w:hAnsi="Calibri"/>
          <w:color w:val="1E293B"/>
          <w:sz w:val="22"/>
        </w:rPr>
        <w:t>Pre-MF Smart Money Signal (30 pts max: +12 Promoter Open-Market Buy, +8 Preferential Warrant/SME Migration, +10 Cat-III AIF/PMS Bulk Deal) + Pioneer MF Free-Float Absorption (25 pts max) + Fundamental Inflection CWIP/Order Book (25 pts max: Gross Block expansion &gt;= 25% or Order Book/Rev &gt;= 1.5x + ROCE &gt;= 18%) + Forensic Governance Cleanliness (20 pts max).</w:t>
      </w:r>
    </w:p>
    <w:p>
      <w:pPr>
        <w:pStyle w:val="ListBullet"/>
        <w:spacing w:before="0" w:after="80" w:line="276" w:lineRule="auto"/>
      </w:pPr>
      <w:r>
        <w:rPr>
          <w:rFonts w:ascii="Calibri" w:hAnsi="Calibri"/>
          <w:b/>
          <w:color w:val="0F172A"/>
          <w:sz w:val="22"/>
        </w:rPr>
        <w:t xml:space="preserve">Forensic Quality Gate (Mandatory Pre-Filter): </w:t>
      </w:r>
      <w:r>
        <w:rPr>
          <w:rFonts w:ascii="Calibri" w:hAnsi="Calibri"/>
          <w:color w:val="1E293B"/>
          <w:sz w:val="22"/>
        </w:rPr>
        <w:t>3-Year Cumulative CFO / EBITDA &gt;= 65% (Gold standard &gt;= 75%), Promoter Pledge == 0.0%, Receivable Days &lt;= 90 days, and Zero Auditor Resignations.</w:t>
      </w:r>
    </w:p>
    <w:p>
      <w:pPr>
        <w:keepNext/>
        <w:spacing w:before="240" w:after="80"/>
      </w:pPr>
      <w:r>
        <w:rPr>
          <w:rFonts w:ascii="Calibri" w:hAnsi="Calibri"/>
          <w:b/>
          <w:color w:val="1E3A8A"/>
          <w:sz w:val="26"/>
        </w:rPr>
        <w:t>4.2 Top 10 Early-Discovery Micro-Caps Currently in mf_history.db (Sep 2026 Baseline)</w:t>
      </w:r>
    </w:p>
    <w:tbl>
      <w:tblPr>
        <w:tblW w:type="auto" w:w="0"/>
        <w:jc w:val="center"/>
        <w:tblLayout w:type="fixed"/>
        <w:tblLook w:firstColumn="1" w:firstRow="1" w:lastColumn="0" w:lastRow="0" w:noHBand="0" w:noVBand="1" w:val="04A0"/>
        <w:tblBorders>
          <w:top w:val="single" w:sz="6" w:space="0" w:color="CBD5E1"/>
          <w:bottom w:val="single" w:sz="8" w:space="0" w:color="CBD5E1"/>
          <w:insideH w:val="single" w:sz="4" w:space="0" w:color="CBD5E1"/>
          <w:insideV w:val="single" w:sz="4" w:space="0" w:color="CBD5E1"/>
          <w:left w:val="single" w:sz="4" w:space="0" w:color="CBD5E1"/>
          <w:right w:val="single" w:sz="4" w:space="0" w:color="CBD5E1"/>
        </w:tblBorders>
      </w:tblPr>
      <w:tblGrid>
        <w:gridCol w:w="1224"/>
        <w:gridCol w:w="1224"/>
        <w:gridCol w:w="1224"/>
        <w:gridCol w:w="1224"/>
        <w:gridCol w:w="1224"/>
        <w:gridCol w:w="1224"/>
        <w:gridCol w:w="1224"/>
        <w:gridCol w:w="1224"/>
      </w:tblGrid>
      <w:tr>
        <w:trPr>
          <w:tblHeader/>
          <w:cantSplit/>
        </w:trPr>
        <w:tc>
          <w:tcPr>
            <w:tcW w:type="dxa" w:w="1368"/>
            <w:vAlign w:val="center"/>
            <w:shd w:fill="1E293B"/>
            <w:tcMar>
              <w:top w:w="100" w:type="dxa"/>
              <w:bottom w:w="100" w:type="dxa"/>
              <w:left w:w="120" w:type="dxa"/>
              <w:right w:w="120" w:type="dxa"/>
            </w:tcMar>
          </w:tcPr>
          <w:p>
            <w:pPr>
              <w:keepNext/>
              <w:spacing w:before="0" w:after="0"/>
              <w:jc w:val="left"/>
            </w:pPr>
            <w:r>
              <w:rPr>
                <w:rFonts w:ascii="Calibri" w:hAnsi="Calibri"/>
                <w:b/>
                <w:color w:val="FFFFFF"/>
                <w:sz w:val="21"/>
              </w:rPr>
              <w:t>Ticker</w:t>
            </w:r>
          </w:p>
        </w:tc>
        <w:tc>
          <w:tcPr>
            <w:tcW w:type="dxa" w:w="2232"/>
            <w:vAlign w:val="center"/>
            <w:shd w:fill="1E293B"/>
            <w:tcMar>
              <w:top w:w="100" w:type="dxa"/>
              <w:bottom w:w="100" w:type="dxa"/>
              <w:left w:w="120" w:type="dxa"/>
              <w:right w:w="120" w:type="dxa"/>
            </w:tcMar>
          </w:tcPr>
          <w:p>
            <w:pPr>
              <w:keepNext/>
              <w:spacing w:before="0" w:after="0"/>
              <w:jc w:val="left"/>
            </w:pPr>
            <w:r>
              <w:rPr>
                <w:rFonts w:ascii="Calibri" w:hAnsi="Calibri"/>
                <w:b/>
                <w:color w:val="FFFFFF"/>
                <w:sz w:val="21"/>
              </w:rPr>
              <w:t>Company Name</w:t>
            </w:r>
          </w:p>
        </w:tc>
        <w:tc>
          <w:tcPr>
            <w:tcW w:type="dxa" w:w="1656"/>
            <w:vAlign w:val="center"/>
            <w:shd w:fill="1E293B"/>
            <w:tcMar>
              <w:top w:w="100" w:type="dxa"/>
              <w:bottom w:w="100" w:type="dxa"/>
              <w:left w:w="120" w:type="dxa"/>
              <w:right w:w="120" w:type="dxa"/>
            </w:tcMar>
          </w:tcPr>
          <w:p>
            <w:pPr>
              <w:keepNext/>
              <w:spacing w:before="0" w:after="0"/>
              <w:jc w:val="left"/>
            </w:pPr>
            <w:r>
              <w:rPr>
                <w:rFonts w:ascii="Calibri" w:hAnsi="Calibri"/>
                <w:b/>
                <w:color w:val="FFFFFF"/>
                <w:sz w:val="21"/>
              </w:rPr>
              <w:t>Stage</w:t>
            </w:r>
          </w:p>
        </w:tc>
        <w:tc>
          <w:tcPr>
            <w:tcW w:type="dxa" w:w="1152"/>
            <w:vAlign w:val="center"/>
            <w:shd w:fill="1E293B"/>
            <w:tcMar>
              <w:top w:w="100" w:type="dxa"/>
              <w:bottom w:w="100" w:type="dxa"/>
              <w:left w:w="120" w:type="dxa"/>
              <w:right w:w="120" w:type="dxa"/>
            </w:tcMar>
          </w:tcPr>
          <w:p>
            <w:pPr>
              <w:keepNext/>
              <w:spacing w:before="0" w:after="0"/>
              <w:jc w:val="right"/>
            </w:pPr>
            <w:r>
              <w:rPr>
                <w:rFonts w:ascii="Calibri" w:hAnsi="Calibri"/>
                <w:b/>
                <w:color w:val="FFFFFF"/>
                <w:sz w:val="21"/>
              </w:rPr>
              <w:t>Mkt Cap (₹ Cr)</w:t>
            </w:r>
          </w:p>
        </w:tc>
        <w:tc>
          <w:tcPr>
            <w:tcW w:type="dxa" w:w="864"/>
            <w:vAlign w:val="center"/>
            <w:shd w:fill="1E293B"/>
            <w:tcMar>
              <w:top w:w="100" w:type="dxa"/>
              <w:bottom w:w="100" w:type="dxa"/>
              <w:left w:w="120" w:type="dxa"/>
              <w:right w:w="120" w:type="dxa"/>
            </w:tcMar>
          </w:tcPr>
          <w:p>
            <w:pPr>
              <w:keepNext/>
              <w:spacing w:before="0" w:after="0"/>
              <w:jc w:val="right"/>
            </w:pPr>
            <w:r>
              <w:rPr>
                <w:rFonts w:ascii="Calibri" w:hAnsi="Calibri"/>
                <w:b/>
                <w:color w:val="FFFFFF"/>
                <w:sz w:val="21"/>
              </w:rPr>
              <w:t>Active MFs</w:t>
            </w:r>
          </w:p>
        </w:tc>
        <w:tc>
          <w:tcPr>
            <w:tcW w:type="dxa" w:w="936"/>
            <w:vAlign w:val="center"/>
            <w:shd w:fill="1E293B"/>
            <w:tcMar>
              <w:top w:w="100" w:type="dxa"/>
              <w:bottom w:w="100" w:type="dxa"/>
              <w:left w:w="120" w:type="dxa"/>
              <w:right w:w="120" w:type="dxa"/>
            </w:tcMar>
          </w:tcPr>
          <w:p>
            <w:pPr>
              <w:keepNext/>
              <w:spacing w:before="0" w:after="0"/>
              <w:jc w:val="right"/>
            </w:pPr>
            <w:r>
              <w:rPr>
                <w:rFonts w:ascii="Calibri" w:hAnsi="Calibri"/>
                <w:b/>
                <w:color w:val="FFFFFF"/>
                <w:sz w:val="21"/>
              </w:rPr>
              <w:t>Free-Float Absorbed</w:t>
            </w:r>
          </w:p>
        </w:tc>
        <w:tc>
          <w:tcPr>
            <w:tcW w:type="dxa" w:w="792"/>
            <w:vAlign w:val="center"/>
            <w:shd w:fill="1E293B"/>
            <w:tcMar>
              <w:top w:w="100" w:type="dxa"/>
              <w:bottom w:w="100" w:type="dxa"/>
              <w:left w:w="120" w:type="dxa"/>
              <w:right w:w="120" w:type="dxa"/>
            </w:tcMar>
          </w:tcPr>
          <w:p>
            <w:pPr>
              <w:keepNext/>
              <w:spacing w:before="0" w:after="0"/>
              <w:jc w:val="right"/>
            </w:pPr>
            <w:r>
              <w:rPr>
                <w:rFonts w:ascii="Calibri" w:hAnsi="Calibri"/>
                <w:b/>
                <w:color w:val="FFFFFF"/>
                <w:sz w:val="21"/>
              </w:rPr>
              <w:t>CFO / EBITDA</w:t>
            </w:r>
          </w:p>
        </w:tc>
        <w:tc>
          <w:tcPr>
            <w:tcW w:type="dxa" w:w="792"/>
            <w:vAlign w:val="center"/>
            <w:shd w:fill="1E293B"/>
            <w:tcMar>
              <w:top w:w="100" w:type="dxa"/>
              <w:bottom w:w="100" w:type="dxa"/>
              <w:left w:w="120" w:type="dxa"/>
              <w:right w:w="120" w:type="dxa"/>
            </w:tcMar>
          </w:tcPr>
          <w:p>
            <w:pPr>
              <w:keepNext/>
              <w:spacing w:before="0" w:after="0"/>
              <w:jc w:val="right"/>
            </w:pPr>
            <w:r>
              <w:rPr>
                <w:rFonts w:ascii="Calibri" w:hAnsi="Calibri"/>
                <w:b/>
                <w:color w:val="FFFFFF"/>
                <w:sz w:val="21"/>
              </w:rPr>
              <w:t>Early Score</w:t>
            </w:r>
          </w:p>
        </w:tc>
      </w:tr>
      <w:tr>
        <w:trPr>
          <w:cantSplit/>
        </w:trPr>
        <w:tc>
          <w:tcPr>
            <w:tcW w:type="dxa" w:w="1368"/>
            <w:vAlign w:val="center"/>
            <w:tcMar>
              <w:top w:w="85" w:type="dxa"/>
              <w:bottom w:w="85" w:type="dxa"/>
              <w:left w:w="120" w:type="dxa"/>
              <w:right w:w="120" w:type="dxa"/>
            </w:tcMar>
          </w:tcPr>
          <w:p>
            <w:pPr>
              <w:spacing w:before="0" w:after="0" w:line="269" w:lineRule="auto"/>
              <w:jc w:val="left"/>
            </w:pPr>
            <w:r>
              <w:rPr>
                <w:rFonts w:ascii="Calibri" w:hAnsi="Calibri"/>
                <w:b/>
                <w:color w:val="0F172A"/>
                <w:sz w:val="20"/>
              </w:rPr>
              <w:t>ZTECH</w:t>
            </w:r>
          </w:p>
        </w:tc>
        <w:tc>
          <w:tcPr>
            <w:tcW w:type="dxa" w:w="2232"/>
            <w:vAlign w:val="center"/>
            <w:tcMar>
              <w:top w:w="85" w:type="dxa"/>
              <w:bottom w:w="85" w:type="dxa"/>
              <w:left w:w="120" w:type="dxa"/>
              <w:right w:w="120" w:type="dxa"/>
            </w:tcMar>
          </w:tcPr>
          <w:p>
            <w:pPr>
              <w:spacing w:before="0" w:after="0" w:line="269" w:lineRule="auto"/>
              <w:jc w:val="left"/>
            </w:pPr>
            <w:r>
              <w:rPr>
                <w:rFonts w:ascii="Calibri" w:hAnsi="Calibri"/>
                <w:color w:val="1E293B"/>
                <w:sz w:val="20"/>
              </w:rPr>
              <w:t>Z-Tech (India) Ltd</w:t>
            </w:r>
          </w:p>
        </w:tc>
        <w:tc>
          <w:tcPr>
            <w:tcW w:type="dxa" w:w="1656"/>
            <w:vAlign w:val="center"/>
            <w:tcMar>
              <w:top w:w="85" w:type="dxa"/>
              <w:bottom w:w="85" w:type="dxa"/>
              <w:left w:w="120" w:type="dxa"/>
              <w:right w:w="120" w:type="dxa"/>
            </w:tcMar>
          </w:tcPr>
          <w:p>
            <w:pPr>
              <w:spacing w:before="0" w:after="0" w:line="269" w:lineRule="auto"/>
              <w:jc w:val="left"/>
            </w:pPr>
            <w:r>
              <w:rPr>
                <w:rFonts w:ascii="Calibri" w:hAnsi="Calibri"/>
                <w:color w:val="1E293B"/>
                <w:sz w:val="20"/>
              </w:rPr>
              <w:t>Stage 1: Pre-MF</w:t>
            </w:r>
          </w:p>
        </w:tc>
        <w:tc>
          <w:tcPr>
            <w:tcW w:type="dxa" w:w="1152"/>
            <w:vAlign w:val="center"/>
            <w:tcMar>
              <w:top w:w="85" w:type="dxa"/>
              <w:bottom w:w="85" w:type="dxa"/>
              <w:left w:w="120" w:type="dxa"/>
              <w:right w:w="120" w:type="dxa"/>
            </w:tcMar>
          </w:tcPr>
          <w:p>
            <w:pPr>
              <w:spacing w:before="0" w:after="0" w:line="269" w:lineRule="auto"/>
              <w:jc w:val="right"/>
            </w:pPr>
            <w:r>
              <w:rPr>
                <w:rFonts w:ascii="Calibri" w:hAnsi="Calibri"/>
                <w:color w:val="1E293B"/>
                <w:sz w:val="20"/>
              </w:rPr>
              <w:t>980</w:t>
            </w:r>
          </w:p>
        </w:tc>
        <w:tc>
          <w:tcPr>
            <w:tcW w:type="dxa" w:w="864"/>
            <w:vAlign w:val="center"/>
            <w:tcMar>
              <w:top w:w="85" w:type="dxa"/>
              <w:bottom w:w="85" w:type="dxa"/>
              <w:left w:w="120" w:type="dxa"/>
              <w:right w:w="120" w:type="dxa"/>
            </w:tcMar>
          </w:tcPr>
          <w:p>
            <w:pPr>
              <w:spacing w:before="0" w:after="0" w:line="269" w:lineRule="auto"/>
              <w:jc w:val="right"/>
            </w:pPr>
            <w:r>
              <w:rPr>
                <w:rFonts w:ascii="Calibri" w:hAnsi="Calibri"/>
                <w:color w:val="1E293B"/>
                <w:sz w:val="20"/>
              </w:rPr>
              <w:t>0</w:t>
            </w:r>
          </w:p>
        </w:tc>
        <w:tc>
          <w:tcPr>
            <w:tcW w:type="dxa" w:w="936"/>
            <w:vAlign w:val="center"/>
            <w:tcMar>
              <w:top w:w="85" w:type="dxa"/>
              <w:bottom w:w="85" w:type="dxa"/>
              <w:left w:w="120" w:type="dxa"/>
              <w:right w:w="120" w:type="dxa"/>
            </w:tcMar>
          </w:tcPr>
          <w:p>
            <w:pPr>
              <w:spacing w:before="0" w:after="0" w:line="269" w:lineRule="auto"/>
              <w:jc w:val="right"/>
            </w:pPr>
            <w:r>
              <w:rPr>
                <w:rFonts w:ascii="Calibri" w:hAnsi="Calibri"/>
                <w:color w:val="1E293B"/>
                <w:sz w:val="20"/>
              </w:rPr>
              <w:t>0.42% (AIF)</w:t>
            </w:r>
          </w:p>
        </w:tc>
        <w:tc>
          <w:tcPr>
            <w:tcW w:type="dxa" w:w="792"/>
            <w:vAlign w:val="center"/>
            <w:tcMar>
              <w:top w:w="85" w:type="dxa"/>
              <w:bottom w:w="85" w:type="dxa"/>
              <w:left w:w="120" w:type="dxa"/>
              <w:right w:w="120" w:type="dxa"/>
            </w:tcMar>
          </w:tcPr>
          <w:p>
            <w:pPr>
              <w:spacing w:before="0" w:after="0" w:line="269" w:lineRule="auto"/>
              <w:jc w:val="right"/>
            </w:pPr>
            <w:r>
              <w:rPr>
                <w:rFonts w:ascii="Calibri" w:hAnsi="Calibri"/>
                <w:color w:val="1E293B"/>
                <w:sz w:val="20"/>
              </w:rPr>
              <w:t>78.4%</w:t>
            </w:r>
          </w:p>
        </w:tc>
        <w:tc>
          <w:tcPr>
            <w:tcW w:type="dxa" w:w="792"/>
            <w:vAlign w:val="center"/>
            <w:tcMar>
              <w:top w:w="85" w:type="dxa"/>
              <w:bottom w:w="85" w:type="dxa"/>
              <w:left w:w="120" w:type="dxa"/>
              <w:right w:w="120" w:type="dxa"/>
            </w:tcMar>
          </w:tcPr>
          <w:p>
            <w:pPr>
              <w:spacing w:before="0" w:after="0" w:line="269" w:lineRule="auto"/>
              <w:jc w:val="right"/>
            </w:pPr>
            <w:r>
              <w:rPr>
                <w:rFonts w:ascii="Calibri" w:hAnsi="Calibri"/>
                <w:color w:val="1E293B"/>
                <w:sz w:val="20"/>
              </w:rPr>
              <w:t>92.0 / 100</w:t>
            </w:r>
          </w:p>
        </w:tc>
      </w:tr>
      <w:tr>
        <w:trPr>
          <w:cantSplit/>
        </w:trPr>
        <w:tc>
          <w:tcPr>
            <w:tcW w:type="dxa" w:w="1368"/>
            <w:vAlign w:val="center"/>
            <w:shd w:fill="F8FAFC"/>
            <w:tcMar>
              <w:top w:w="85" w:type="dxa"/>
              <w:bottom w:w="85" w:type="dxa"/>
              <w:left w:w="120" w:type="dxa"/>
              <w:right w:w="120" w:type="dxa"/>
            </w:tcMar>
          </w:tcPr>
          <w:p>
            <w:pPr>
              <w:spacing w:before="0" w:after="0" w:line="269" w:lineRule="auto"/>
              <w:jc w:val="left"/>
            </w:pPr>
            <w:r>
              <w:rPr>
                <w:rFonts w:ascii="Calibri" w:hAnsi="Calibri"/>
                <w:b/>
                <w:color w:val="0F172A"/>
                <w:sz w:val="20"/>
              </w:rPr>
              <w:t>AIMTRON</w:t>
            </w:r>
          </w:p>
        </w:tc>
        <w:tc>
          <w:tcPr>
            <w:tcW w:type="dxa" w:w="2232"/>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Aimtron Electronics Ltd</w:t>
            </w:r>
          </w:p>
        </w:tc>
        <w:tc>
          <w:tcPr>
            <w:tcW w:type="dxa" w:w="1656"/>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Stage 2: Pioneer</w:t>
            </w:r>
          </w:p>
        </w:tc>
        <w:tc>
          <w:tcPr>
            <w:tcW w:type="dxa" w:w="1152"/>
            <w:vAlign w:val="center"/>
            <w:shd w:fill="F8FAFC"/>
            <w:tcMar>
              <w:top w:w="85" w:type="dxa"/>
              <w:bottom w:w="85" w:type="dxa"/>
              <w:left w:w="120" w:type="dxa"/>
              <w:right w:w="120" w:type="dxa"/>
            </w:tcMar>
          </w:tcPr>
          <w:p>
            <w:pPr>
              <w:spacing w:before="0" w:after="0" w:line="269" w:lineRule="auto"/>
              <w:jc w:val="right"/>
            </w:pPr>
            <w:r>
              <w:rPr>
                <w:rFonts w:ascii="Calibri" w:hAnsi="Calibri"/>
                <w:color w:val="1E293B"/>
                <w:sz w:val="20"/>
              </w:rPr>
              <w:t>1,420</w:t>
            </w:r>
          </w:p>
        </w:tc>
        <w:tc>
          <w:tcPr>
            <w:tcW w:type="dxa" w:w="864"/>
            <w:vAlign w:val="center"/>
            <w:shd w:fill="F8FAFC"/>
            <w:tcMar>
              <w:top w:w="85" w:type="dxa"/>
              <w:bottom w:w="85" w:type="dxa"/>
              <w:left w:w="120" w:type="dxa"/>
              <w:right w:w="120" w:type="dxa"/>
            </w:tcMar>
          </w:tcPr>
          <w:p>
            <w:pPr>
              <w:spacing w:before="0" w:after="0" w:line="269" w:lineRule="auto"/>
              <w:jc w:val="right"/>
            </w:pPr>
            <w:r>
              <w:rPr>
                <w:rFonts w:ascii="Calibri" w:hAnsi="Calibri"/>
                <w:color w:val="1E293B"/>
                <w:sz w:val="20"/>
              </w:rPr>
              <w:t>1</w:t>
            </w:r>
          </w:p>
        </w:tc>
        <w:tc>
          <w:tcPr>
            <w:tcW w:type="dxa" w:w="936"/>
            <w:vAlign w:val="center"/>
            <w:shd w:fill="F8FAFC"/>
            <w:tcMar>
              <w:top w:w="85" w:type="dxa"/>
              <w:bottom w:w="85" w:type="dxa"/>
              <w:left w:w="120" w:type="dxa"/>
              <w:right w:w="120" w:type="dxa"/>
            </w:tcMar>
          </w:tcPr>
          <w:p>
            <w:pPr>
              <w:spacing w:before="0" w:after="0" w:line="269" w:lineRule="auto"/>
              <w:jc w:val="right"/>
            </w:pPr>
            <w:r>
              <w:rPr>
                <w:rFonts w:ascii="Calibri" w:hAnsi="Calibri"/>
                <w:color w:val="1E293B"/>
                <w:sz w:val="20"/>
              </w:rPr>
              <w:t>1.48%</w:t>
            </w:r>
          </w:p>
        </w:tc>
        <w:tc>
          <w:tcPr>
            <w:tcW w:type="dxa" w:w="792"/>
            <w:vAlign w:val="center"/>
            <w:shd w:fill="F8FAFC"/>
            <w:tcMar>
              <w:top w:w="85" w:type="dxa"/>
              <w:bottom w:w="85" w:type="dxa"/>
              <w:left w:w="120" w:type="dxa"/>
              <w:right w:w="120" w:type="dxa"/>
            </w:tcMar>
          </w:tcPr>
          <w:p>
            <w:pPr>
              <w:spacing w:before="0" w:after="0" w:line="269" w:lineRule="auto"/>
              <w:jc w:val="right"/>
            </w:pPr>
            <w:r>
              <w:rPr>
                <w:rFonts w:ascii="Calibri" w:hAnsi="Calibri"/>
                <w:color w:val="1E293B"/>
                <w:sz w:val="20"/>
              </w:rPr>
              <w:t>74.2%</w:t>
            </w:r>
          </w:p>
        </w:tc>
        <w:tc>
          <w:tcPr>
            <w:tcW w:type="dxa" w:w="792"/>
            <w:vAlign w:val="center"/>
            <w:shd w:fill="F8FAFC"/>
            <w:tcMar>
              <w:top w:w="85" w:type="dxa"/>
              <w:bottom w:w="85" w:type="dxa"/>
              <w:left w:w="120" w:type="dxa"/>
              <w:right w:w="120" w:type="dxa"/>
            </w:tcMar>
          </w:tcPr>
          <w:p>
            <w:pPr>
              <w:spacing w:before="0" w:after="0" w:line="269" w:lineRule="auto"/>
              <w:jc w:val="right"/>
            </w:pPr>
            <w:r>
              <w:rPr>
                <w:rFonts w:ascii="Calibri" w:hAnsi="Calibri"/>
                <w:color w:val="1E293B"/>
                <w:sz w:val="20"/>
              </w:rPr>
              <w:t>90.0 / 100</w:t>
            </w:r>
          </w:p>
        </w:tc>
      </w:tr>
      <w:tr>
        <w:trPr>
          <w:cantSplit/>
        </w:trPr>
        <w:tc>
          <w:tcPr>
            <w:tcW w:type="dxa" w:w="1368"/>
            <w:vAlign w:val="center"/>
            <w:tcMar>
              <w:top w:w="85" w:type="dxa"/>
              <w:bottom w:w="85" w:type="dxa"/>
              <w:left w:w="120" w:type="dxa"/>
              <w:right w:w="120" w:type="dxa"/>
            </w:tcMar>
          </w:tcPr>
          <w:p>
            <w:pPr>
              <w:spacing w:before="0" w:after="0" w:line="269" w:lineRule="auto"/>
              <w:jc w:val="left"/>
            </w:pPr>
            <w:r>
              <w:rPr>
                <w:rFonts w:ascii="Calibri" w:hAnsi="Calibri"/>
                <w:b/>
                <w:color w:val="0F172A"/>
                <w:sz w:val="20"/>
              </w:rPr>
              <w:t>DIFFNKG</w:t>
            </w:r>
          </w:p>
        </w:tc>
        <w:tc>
          <w:tcPr>
            <w:tcW w:type="dxa" w:w="2232"/>
            <w:vAlign w:val="center"/>
            <w:tcMar>
              <w:top w:w="85" w:type="dxa"/>
              <w:bottom w:w="85" w:type="dxa"/>
              <w:left w:w="120" w:type="dxa"/>
              <w:right w:w="120" w:type="dxa"/>
            </w:tcMar>
          </w:tcPr>
          <w:p>
            <w:pPr>
              <w:spacing w:before="0" w:after="0" w:line="269" w:lineRule="auto"/>
              <w:jc w:val="left"/>
            </w:pPr>
            <w:r>
              <w:rPr>
                <w:rFonts w:ascii="Calibri" w:hAnsi="Calibri"/>
                <w:color w:val="1E293B"/>
                <w:sz w:val="20"/>
              </w:rPr>
              <w:t>Diffusion Engineers Ltd</w:t>
            </w:r>
          </w:p>
        </w:tc>
        <w:tc>
          <w:tcPr>
            <w:tcW w:type="dxa" w:w="1656"/>
            <w:vAlign w:val="center"/>
            <w:tcMar>
              <w:top w:w="85" w:type="dxa"/>
              <w:bottom w:w="85" w:type="dxa"/>
              <w:left w:w="120" w:type="dxa"/>
              <w:right w:w="120" w:type="dxa"/>
            </w:tcMar>
          </w:tcPr>
          <w:p>
            <w:pPr>
              <w:spacing w:before="0" w:after="0" w:line="269" w:lineRule="auto"/>
              <w:jc w:val="left"/>
            </w:pPr>
            <w:r>
              <w:rPr>
                <w:rFonts w:ascii="Calibri" w:hAnsi="Calibri"/>
                <w:color w:val="1E293B"/>
                <w:sz w:val="20"/>
              </w:rPr>
              <w:t>Stage 2: Pioneer</w:t>
            </w:r>
          </w:p>
        </w:tc>
        <w:tc>
          <w:tcPr>
            <w:tcW w:type="dxa" w:w="1152"/>
            <w:vAlign w:val="center"/>
            <w:tcMar>
              <w:top w:w="85" w:type="dxa"/>
              <w:bottom w:w="85" w:type="dxa"/>
              <w:left w:w="120" w:type="dxa"/>
              <w:right w:w="120" w:type="dxa"/>
            </w:tcMar>
          </w:tcPr>
          <w:p>
            <w:pPr>
              <w:spacing w:before="0" w:after="0" w:line="269" w:lineRule="auto"/>
              <w:jc w:val="right"/>
            </w:pPr>
            <w:r>
              <w:rPr>
                <w:rFonts w:ascii="Calibri" w:hAnsi="Calibri"/>
                <w:color w:val="1E293B"/>
                <w:sz w:val="20"/>
              </w:rPr>
              <w:t>1,540</w:t>
            </w:r>
          </w:p>
        </w:tc>
        <w:tc>
          <w:tcPr>
            <w:tcW w:type="dxa" w:w="864"/>
            <w:vAlign w:val="center"/>
            <w:tcMar>
              <w:top w:w="85" w:type="dxa"/>
              <w:bottom w:w="85" w:type="dxa"/>
              <w:left w:w="120" w:type="dxa"/>
              <w:right w:w="120" w:type="dxa"/>
            </w:tcMar>
          </w:tcPr>
          <w:p>
            <w:pPr>
              <w:spacing w:before="0" w:after="0" w:line="269" w:lineRule="auto"/>
              <w:jc w:val="right"/>
            </w:pPr>
            <w:r>
              <w:rPr>
                <w:rFonts w:ascii="Calibri" w:hAnsi="Calibri"/>
                <w:color w:val="1E293B"/>
                <w:sz w:val="20"/>
              </w:rPr>
              <w:t>1</w:t>
            </w:r>
          </w:p>
        </w:tc>
        <w:tc>
          <w:tcPr>
            <w:tcW w:type="dxa" w:w="936"/>
            <w:vAlign w:val="center"/>
            <w:tcMar>
              <w:top w:w="85" w:type="dxa"/>
              <w:bottom w:w="85" w:type="dxa"/>
              <w:left w:w="120" w:type="dxa"/>
              <w:right w:w="120" w:type="dxa"/>
            </w:tcMar>
          </w:tcPr>
          <w:p>
            <w:pPr>
              <w:spacing w:before="0" w:after="0" w:line="269" w:lineRule="auto"/>
              <w:jc w:val="right"/>
            </w:pPr>
            <w:r>
              <w:rPr>
                <w:rFonts w:ascii="Calibri" w:hAnsi="Calibri"/>
                <w:color w:val="1E293B"/>
                <w:sz w:val="20"/>
              </w:rPr>
              <w:t>1.62%</w:t>
            </w:r>
          </w:p>
        </w:tc>
        <w:tc>
          <w:tcPr>
            <w:tcW w:type="dxa" w:w="792"/>
            <w:vAlign w:val="center"/>
            <w:tcMar>
              <w:top w:w="85" w:type="dxa"/>
              <w:bottom w:w="85" w:type="dxa"/>
              <w:left w:w="120" w:type="dxa"/>
              <w:right w:w="120" w:type="dxa"/>
            </w:tcMar>
          </w:tcPr>
          <w:p>
            <w:pPr>
              <w:spacing w:before="0" w:after="0" w:line="269" w:lineRule="auto"/>
              <w:jc w:val="right"/>
            </w:pPr>
            <w:r>
              <w:rPr>
                <w:rFonts w:ascii="Calibri" w:hAnsi="Calibri"/>
                <w:color w:val="1E293B"/>
                <w:sz w:val="20"/>
              </w:rPr>
              <w:t>81.5%</w:t>
            </w:r>
          </w:p>
        </w:tc>
        <w:tc>
          <w:tcPr>
            <w:tcW w:type="dxa" w:w="792"/>
            <w:vAlign w:val="center"/>
            <w:tcMar>
              <w:top w:w="85" w:type="dxa"/>
              <w:bottom w:w="85" w:type="dxa"/>
              <w:left w:w="120" w:type="dxa"/>
              <w:right w:w="120" w:type="dxa"/>
            </w:tcMar>
          </w:tcPr>
          <w:p>
            <w:pPr>
              <w:spacing w:before="0" w:after="0" w:line="269" w:lineRule="auto"/>
              <w:jc w:val="right"/>
            </w:pPr>
            <w:r>
              <w:rPr>
                <w:rFonts w:ascii="Calibri" w:hAnsi="Calibri"/>
                <w:color w:val="1E293B"/>
                <w:sz w:val="20"/>
              </w:rPr>
              <w:t>89.0 / 100</w:t>
            </w:r>
          </w:p>
        </w:tc>
      </w:tr>
      <w:tr>
        <w:trPr>
          <w:cantSplit/>
        </w:trPr>
        <w:tc>
          <w:tcPr>
            <w:tcW w:type="dxa" w:w="1368"/>
            <w:vAlign w:val="center"/>
            <w:shd w:fill="F8FAFC"/>
            <w:tcMar>
              <w:top w:w="85" w:type="dxa"/>
              <w:bottom w:w="85" w:type="dxa"/>
              <w:left w:w="120" w:type="dxa"/>
              <w:right w:w="120" w:type="dxa"/>
            </w:tcMar>
          </w:tcPr>
          <w:p>
            <w:pPr>
              <w:spacing w:before="0" w:after="0" w:line="269" w:lineRule="auto"/>
              <w:jc w:val="left"/>
            </w:pPr>
            <w:r>
              <w:rPr>
                <w:rFonts w:ascii="Calibri" w:hAnsi="Calibri"/>
                <w:b/>
                <w:color w:val="0F172A"/>
                <w:sz w:val="20"/>
              </w:rPr>
              <w:t>INTERARCH</w:t>
            </w:r>
          </w:p>
        </w:tc>
        <w:tc>
          <w:tcPr>
            <w:tcW w:type="dxa" w:w="2232"/>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Interarch Building Products</w:t>
            </w:r>
          </w:p>
        </w:tc>
        <w:tc>
          <w:tcPr>
            <w:tcW w:type="dxa" w:w="1656"/>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Stage 2: Pioneer</w:t>
            </w:r>
          </w:p>
        </w:tc>
        <w:tc>
          <w:tcPr>
            <w:tcW w:type="dxa" w:w="1152"/>
            <w:vAlign w:val="center"/>
            <w:shd w:fill="F8FAFC"/>
            <w:tcMar>
              <w:top w:w="85" w:type="dxa"/>
              <w:bottom w:w="85" w:type="dxa"/>
              <w:left w:w="120" w:type="dxa"/>
              <w:right w:w="120" w:type="dxa"/>
            </w:tcMar>
          </w:tcPr>
          <w:p>
            <w:pPr>
              <w:spacing w:before="0" w:after="0" w:line="269" w:lineRule="auto"/>
              <w:jc w:val="right"/>
            </w:pPr>
            <w:r>
              <w:rPr>
                <w:rFonts w:ascii="Calibri" w:hAnsi="Calibri"/>
                <w:color w:val="1E293B"/>
                <w:sz w:val="20"/>
              </w:rPr>
              <w:t>2,890</w:t>
            </w:r>
          </w:p>
        </w:tc>
        <w:tc>
          <w:tcPr>
            <w:tcW w:type="dxa" w:w="864"/>
            <w:vAlign w:val="center"/>
            <w:shd w:fill="F8FAFC"/>
            <w:tcMar>
              <w:top w:w="85" w:type="dxa"/>
              <w:bottom w:w="85" w:type="dxa"/>
              <w:left w:w="120" w:type="dxa"/>
              <w:right w:w="120" w:type="dxa"/>
            </w:tcMar>
          </w:tcPr>
          <w:p>
            <w:pPr>
              <w:spacing w:before="0" w:after="0" w:line="269" w:lineRule="auto"/>
              <w:jc w:val="right"/>
            </w:pPr>
            <w:r>
              <w:rPr>
                <w:rFonts w:ascii="Calibri" w:hAnsi="Calibri"/>
                <w:color w:val="1E293B"/>
                <w:sz w:val="20"/>
              </w:rPr>
              <w:t>2</w:t>
            </w:r>
          </w:p>
        </w:tc>
        <w:tc>
          <w:tcPr>
            <w:tcW w:type="dxa" w:w="936"/>
            <w:vAlign w:val="center"/>
            <w:shd w:fill="F8FAFC"/>
            <w:tcMar>
              <w:top w:w="85" w:type="dxa"/>
              <w:bottom w:w="85" w:type="dxa"/>
              <w:left w:w="120" w:type="dxa"/>
              <w:right w:w="120" w:type="dxa"/>
            </w:tcMar>
          </w:tcPr>
          <w:p>
            <w:pPr>
              <w:spacing w:before="0" w:after="0" w:line="269" w:lineRule="auto"/>
              <w:jc w:val="right"/>
            </w:pPr>
            <w:r>
              <w:rPr>
                <w:rFonts w:ascii="Calibri" w:hAnsi="Calibri"/>
                <w:color w:val="1E293B"/>
                <w:sz w:val="20"/>
              </w:rPr>
              <w:t>2.15%</w:t>
            </w:r>
          </w:p>
        </w:tc>
        <w:tc>
          <w:tcPr>
            <w:tcW w:type="dxa" w:w="792"/>
            <w:vAlign w:val="center"/>
            <w:shd w:fill="F8FAFC"/>
            <w:tcMar>
              <w:top w:w="85" w:type="dxa"/>
              <w:bottom w:w="85" w:type="dxa"/>
              <w:left w:w="120" w:type="dxa"/>
              <w:right w:w="120" w:type="dxa"/>
            </w:tcMar>
          </w:tcPr>
          <w:p>
            <w:pPr>
              <w:spacing w:before="0" w:after="0" w:line="269" w:lineRule="auto"/>
              <w:jc w:val="right"/>
            </w:pPr>
            <w:r>
              <w:rPr>
                <w:rFonts w:ascii="Calibri" w:hAnsi="Calibri"/>
                <w:color w:val="1E293B"/>
                <w:sz w:val="20"/>
              </w:rPr>
              <w:t>86.0%</w:t>
            </w:r>
          </w:p>
        </w:tc>
        <w:tc>
          <w:tcPr>
            <w:tcW w:type="dxa" w:w="792"/>
            <w:vAlign w:val="center"/>
            <w:shd w:fill="F8FAFC"/>
            <w:tcMar>
              <w:top w:w="85" w:type="dxa"/>
              <w:bottom w:w="85" w:type="dxa"/>
              <w:left w:w="120" w:type="dxa"/>
              <w:right w:w="120" w:type="dxa"/>
            </w:tcMar>
          </w:tcPr>
          <w:p>
            <w:pPr>
              <w:spacing w:before="0" w:after="0" w:line="269" w:lineRule="auto"/>
              <w:jc w:val="right"/>
            </w:pPr>
            <w:r>
              <w:rPr>
                <w:rFonts w:ascii="Calibri" w:hAnsi="Calibri"/>
                <w:color w:val="1E293B"/>
                <w:sz w:val="20"/>
              </w:rPr>
              <w:t>88.0 / 100</w:t>
            </w:r>
          </w:p>
        </w:tc>
      </w:tr>
      <w:tr>
        <w:trPr>
          <w:cantSplit/>
        </w:trPr>
        <w:tc>
          <w:tcPr>
            <w:tcW w:type="dxa" w:w="1368"/>
            <w:vAlign w:val="center"/>
            <w:tcMar>
              <w:top w:w="85" w:type="dxa"/>
              <w:bottom w:w="85" w:type="dxa"/>
              <w:left w:w="120" w:type="dxa"/>
              <w:right w:w="120" w:type="dxa"/>
            </w:tcMar>
          </w:tcPr>
          <w:p>
            <w:pPr>
              <w:spacing w:before="0" w:after="0" w:line="269" w:lineRule="auto"/>
              <w:jc w:val="left"/>
            </w:pPr>
            <w:r>
              <w:rPr>
                <w:rFonts w:ascii="Calibri" w:hAnsi="Calibri"/>
                <w:b/>
                <w:color w:val="0F172A"/>
                <w:sz w:val="20"/>
              </w:rPr>
              <w:t>GALAPREC</w:t>
            </w:r>
          </w:p>
        </w:tc>
        <w:tc>
          <w:tcPr>
            <w:tcW w:type="dxa" w:w="2232"/>
            <w:vAlign w:val="center"/>
            <w:tcMar>
              <w:top w:w="85" w:type="dxa"/>
              <w:bottom w:w="85" w:type="dxa"/>
              <w:left w:w="120" w:type="dxa"/>
              <w:right w:w="120" w:type="dxa"/>
            </w:tcMar>
          </w:tcPr>
          <w:p>
            <w:pPr>
              <w:spacing w:before="0" w:after="0" w:line="269" w:lineRule="auto"/>
              <w:jc w:val="left"/>
            </w:pPr>
            <w:r>
              <w:rPr>
                <w:rFonts w:ascii="Calibri" w:hAnsi="Calibri"/>
                <w:color w:val="1E293B"/>
                <w:sz w:val="20"/>
              </w:rPr>
              <w:t>Gala Precision Engineering</w:t>
            </w:r>
          </w:p>
        </w:tc>
        <w:tc>
          <w:tcPr>
            <w:tcW w:type="dxa" w:w="1656"/>
            <w:vAlign w:val="center"/>
            <w:tcMar>
              <w:top w:w="85" w:type="dxa"/>
              <w:bottom w:w="85" w:type="dxa"/>
              <w:left w:w="120" w:type="dxa"/>
              <w:right w:w="120" w:type="dxa"/>
            </w:tcMar>
          </w:tcPr>
          <w:p>
            <w:pPr>
              <w:spacing w:before="0" w:after="0" w:line="269" w:lineRule="auto"/>
              <w:jc w:val="left"/>
            </w:pPr>
            <w:r>
              <w:rPr>
                <w:rFonts w:ascii="Calibri" w:hAnsi="Calibri"/>
                <w:color w:val="1E293B"/>
                <w:sz w:val="20"/>
              </w:rPr>
              <w:t>Stage 2: Pioneer</w:t>
            </w:r>
          </w:p>
        </w:tc>
        <w:tc>
          <w:tcPr>
            <w:tcW w:type="dxa" w:w="1152"/>
            <w:vAlign w:val="center"/>
            <w:tcMar>
              <w:top w:w="85" w:type="dxa"/>
              <w:bottom w:w="85" w:type="dxa"/>
              <w:left w:w="120" w:type="dxa"/>
              <w:right w:w="120" w:type="dxa"/>
            </w:tcMar>
          </w:tcPr>
          <w:p>
            <w:pPr>
              <w:spacing w:before="0" w:after="0" w:line="269" w:lineRule="auto"/>
              <w:jc w:val="right"/>
            </w:pPr>
            <w:r>
              <w:rPr>
                <w:rFonts w:ascii="Calibri" w:hAnsi="Calibri"/>
                <w:color w:val="1E293B"/>
                <w:sz w:val="20"/>
              </w:rPr>
              <w:t>1,680</w:t>
            </w:r>
          </w:p>
        </w:tc>
        <w:tc>
          <w:tcPr>
            <w:tcW w:type="dxa" w:w="864"/>
            <w:vAlign w:val="center"/>
            <w:tcMar>
              <w:top w:w="85" w:type="dxa"/>
              <w:bottom w:w="85" w:type="dxa"/>
              <w:left w:w="120" w:type="dxa"/>
              <w:right w:w="120" w:type="dxa"/>
            </w:tcMar>
          </w:tcPr>
          <w:p>
            <w:pPr>
              <w:spacing w:before="0" w:after="0" w:line="269" w:lineRule="auto"/>
              <w:jc w:val="right"/>
            </w:pPr>
            <w:r>
              <w:rPr>
                <w:rFonts w:ascii="Calibri" w:hAnsi="Calibri"/>
                <w:color w:val="1E293B"/>
                <w:sz w:val="20"/>
              </w:rPr>
              <w:t>1</w:t>
            </w:r>
          </w:p>
        </w:tc>
        <w:tc>
          <w:tcPr>
            <w:tcW w:type="dxa" w:w="936"/>
            <w:vAlign w:val="center"/>
            <w:tcMar>
              <w:top w:w="85" w:type="dxa"/>
              <w:bottom w:w="85" w:type="dxa"/>
              <w:left w:w="120" w:type="dxa"/>
              <w:right w:w="120" w:type="dxa"/>
            </w:tcMar>
          </w:tcPr>
          <w:p>
            <w:pPr>
              <w:spacing w:before="0" w:after="0" w:line="269" w:lineRule="auto"/>
              <w:jc w:val="right"/>
            </w:pPr>
            <w:r>
              <w:rPr>
                <w:rFonts w:ascii="Calibri" w:hAnsi="Calibri"/>
                <w:color w:val="1E293B"/>
                <w:sz w:val="20"/>
              </w:rPr>
              <w:t>1.85%</w:t>
            </w:r>
          </w:p>
        </w:tc>
        <w:tc>
          <w:tcPr>
            <w:tcW w:type="dxa" w:w="792"/>
            <w:vAlign w:val="center"/>
            <w:tcMar>
              <w:top w:w="85" w:type="dxa"/>
              <w:bottom w:w="85" w:type="dxa"/>
              <w:left w:w="120" w:type="dxa"/>
              <w:right w:w="120" w:type="dxa"/>
            </w:tcMar>
          </w:tcPr>
          <w:p>
            <w:pPr>
              <w:spacing w:before="0" w:after="0" w:line="269" w:lineRule="auto"/>
              <w:jc w:val="right"/>
            </w:pPr>
            <w:r>
              <w:rPr>
                <w:rFonts w:ascii="Calibri" w:hAnsi="Calibri"/>
                <w:color w:val="1E293B"/>
                <w:sz w:val="20"/>
              </w:rPr>
              <w:t>79.3%</w:t>
            </w:r>
          </w:p>
        </w:tc>
        <w:tc>
          <w:tcPr>
            <w:tcW w:type="dxa" w:w="792"/>
            <w:vAlign w:val="center"/>
            <w:tcMar>
              <w:top w:w="85" w:type="dxa"/>
              <w:bottom w:w="85" w:type="dxa"/>
              <w:left w:w="120" w:type="dxa"/>
              <w:right w:w="120" w:type="dxa"/>
            </w:tcMar>
          </w:tcPr>
          <w:p>
            <w:pPr>
              <w:spacing w:before="0" w:after="0" w:line="269" w:lineRule="auto"/>
              <w:jc w:val="right"/>
            </w:pPr>
            <w:r>
              <w:rPr>
                <w:rFonts w:ascii="Calibri" w:hAnsi="Calibri"/>
                <w:color w:val="1E293B"/>
                <w:sz w:val="20"/>
              </w:rPr>
              <w:t>86.0 / 100</w:t>
            </w:r>
          </w:p>
        </w:tc>
      </w:tr>
      <w:tr>
        <w:trPr>
          <w:cantSplit/>
        </w:trPr>
        <w:tc>
          <w:tcPr>
            <w:tcW w:type="dxa" w:w="1368"/>
            <w:vAlign w:val="center"/>
            <w:shd w:fill="F8FAFC"/>
            <w:tcMar>
              <w:top w:w="85" w:type="dxa"/>
              <w:bottom w:w="85" w:type="dxa"/>
              <w:left w:w="120" w:type="dxa"/>
              <w:right w:w="120" w:type="dxa"/>
            </w:tcMar>
          </w:tcPr>
          <w:p>
            <w:pPr>
              <w:spacing w:before="0" w:after="0" w:line="269" w:lineRule="auto"/>
              <w:jc w:val="left"/>
            </w:pPr>
            <w:r>
              <w:rPr>
                <w:rFonts w:ascii="Calibri" w:hAnsi="Calibri"/>
                <w:b/>
                <w:color w:val="0F172A"/>
                <w:sz w:val="20"/>
              </w:rPr>
              <w:t>ORIENTTECH</w:t>
            </w:r>
          </w:p>
        </w:tc>
        <w:tc>
          <w:tcPr>
            <w:tcW w:type="dxa" w:w="2232"/>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Orient Technologies Ltd</w:t>
            </w:r>
          </w:p>
        </w:tc>
        <w:tc>
          <w:tcPr>
            <w:tcW w:type="dxa" w:w="1656"/>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Stage 2: Pioneer</w:t>
            </w:r>
          </w:p>
        </w:tc>
        <w:tc>
          <w:tcPr>
            <w:tcW w:type="dxa" w:w="1152"/>
            <w:vAlign w:val="center"/>
            <w:shd w:fill="F8FAFC"/>
            <w:tcMar>
              <w:top w:w="85" w:type="dxa"/>
              <w:bottom w:w="85" w:type="dxa"/>
              <w:left w:w="120" w:type="dxa"/>
              <w:right w:w="120" w:type="dxa"/>
            </w:tcMar>
          </w:tcPr>
          <w:p>
            <w:pPr>
              <w:spacing w:before="0" w:after="0" w:line="269" w:lineRule="auto"/>
              <w:jc w:val="right"/>
            </w:pPr>
            <w:r>
              <w:rPr>
                <w:rFonts w:ascii="Calibri" w:hAnsi="Calibri"/>
                <w:color w:val="1E293B"/>
                <w:sz w:val="20"/>
              </w:rPr>
              <w:t>1,560</w:t>
            </w:r>
          </w:p>
        </w:tc>
        <w:tc>
          <w:tcPr>
            <w:tcW w:type="dxa" w:w="864"/>
            <w:vAlign w:val="center"/>
            <w:shd w:fill="F8FAFC"/>
            <w:tcMar>
              <w:top w:w="85" w:type="dxa"/>
              <w:bottom w:w="85" w:type="dxa"/>
              <w:left w:w="120" w:type="dxa"/>
              <w:right w:w="120" w:type="dxa"/>
            </w:tcMar>
          </w:tcPr>
          <w:p>
            <w:pPr>
              <w:spacing w:before="0" w:after="0" w:line="269" w:lineRule="auto"/>
              <w:jc w:val="right"/>
            </w:pPr>
            <w:r>
              <w:rPr>
                <w:rFonts w:ascii="Calibri" w:hAnsi="Calibri"/>
                <w:color w:val="1E293B"/>
                <w:sz w:val="20"/>
              </w:rPr>
              <w:t>1</w:t>
            </w:r>
          </w:p>
        </w:tc>
        <w:tc>
          <w:tcPr>
            <w:tcW w:type="dxa" w:w="936"/>
            <w:vAlign w:val="center"/>
            <w:shd w:fill="F8FAFC"/>
            <w:tcMar>
              <w:top w:w="85" w:type="dxa"/>
              <w:bottom w:w="85" w:type="dxa"/>
              <w:left w:w="120" w:type="dxa"/>
              <w:right w:w="120" w:type="dxa"/>
            </w:tcMar>
          </w:tcPr>
          <w:p>
            <w:pPr>
              <w:spacing w:before="0" w:after="0" w:line="269" w:lineRule="auto"/>
              <w:jc w:val="right"/>
            </w:pPr>
            <w:r>
              <w:rPr>
                <w:rFonts w:ascii="Calibri" w:hAnsi="Calibri"/>
                <w:color w:val="1E293B"/>
                <w:sz w:val="20"/>
              </w:rPr>
              <w:t>1.74%</w:t>
            </w:r>
          </w:p>
        </w:tc>
        <w:tc>
          <w:tcPr>
            <w:tcW w:type="dxa" w:w="792"/>
            <w:vAlign w:val="center"/>
            <w:shd w:fill="F8FAFC"/>
            <w:tcMar>
              <w:top w:w="85" w:type="dxa"/>
              <w:bottom w:w="85" w:type="dxa"/>
              <w:left w:w="120" w:type="dxa"/>
              <w:right w:w="120" w:type="dxa"/>
            </w:tcMar>
          </w:tcPr>
          <w:p>
            <w:pPr>
              <w:spacing w:before="0" w:after="0" w:line="269" w:lineRule="auto"/>
              <w:jc w:val="right"/>
            </w:pPr>
            <w:r>
              <w:rPr>
                <w:rFonts w:ascii="Calibri" w:hAnsi="Calibri"/>
                <w:color w:val="1E293B"/>
                <w:sz w:val="20"/>
              </w:rPr>
              <w:t>76.8%</w:t>
            </w:r>
          </w:p>
        </w:tc>
        <w:tc>
          <w:tcPr>
            <w:tcW w:type="dxa" w:w="792"/>
            <w:vAlign w:val="center"/>
            <w:shd w:fill="F8FAFC"/>
            <w:tcMar>
              <w:top w:w="85" w:type="dxa"/>
              <w:bottom w:w="85" w:type="dxa"/>
              <w:left w:w="120" w:type="dxa"/>
              <w:right w:w="120" w:type="dxa"/>
            </w:tcMar>
          </w:tcPr>
          <w:p>
            <w:pPr>
              <w:spacing w:before="0" w:after="0" w:line="269" w:lineRule="auto"/>
              <w:jc w:val="right"/>
            </w:pPr>
            <w:r>
              <w:rPr>
                <w:rFonts w:ascii="Calibri" w:hAnsi="Calibri"/>
                <w:color w:val="1E293B"/>
                <w:sz w:val="20"/>
              </w:rPr>
              <w:t>84.0 / 100</w:t>
            </w:r>
          </w:p>
        </w:tc>
      </w:tr>
      <w:tr>
        <w:trPr>
          <w:cantSplit/>
        </w:trPr>
        <w:tc>
          <w:tcPr>
            <w:tcW w:type="dxa" w:w="1368"/>
            <w:vAlign w:val="center"/>
            <w:tcMar>
              <w:top w:w="85" w:type="dxa"/>
              <w:bottom w:w="85" w:type="dxa"/>
              <w:left w:w="120" w:type="dxa"/>
              <w:right w:w="120" w:type="dxa"/>
            </w:tcMar>
          </w:tcPr>
          <w:p>
            <w:pPr>
              <w:spacing w:before="0" w:after="0" w:line="269" w:lineRule="auto"/>
              <w:jc w:val="left"/>
            </w:pPr>
            <w:r>
              <w:rPr>
                <w:rFonts w:ascii="Calibri" w:hAnsi="Calibri"/>
                <w:b/>
                <w:color w:val="0F172A"/>
                <w:sz w:val="20"/>
              </w:rPr>
              <w:t>KPEL</w:t>
            </w:r>
          </w:p>
        </w:tc>
        <w:tc>
          <w:tcPr>
            <w:tcW w:type="dxa" w:w="2232"/>
            <w:vAlign w:val="center"/>
            <w:tcMar>
              <w:top w:w="85" w:type="dxa"/>
              <w:bottom w:w="85" w:type="dxa"/>
              <w:left w:w="120" w:type="dxa"/>
              <w:right w:w="120" w:type="dxa"/>
            </w:tcMar>
          </w:tcPr>
          <w:p>
            <w:pPr>
              <w:spacing w:before="0" w:after="0" w:line="269" w:lineRule="auto"/>
              <w:jc w:val="left"/>
            </w:pPr>
            <w:r>
              <w:rPr>
                <w:rFonts w:ascii="Calibri" w:hAnsi="Calibri"/>
                <w:color w:val="1E293B"/>
                <w:sz w:val="20"/>
              </w:rPr>
              <w:t>KP Energy Ltd</w:t>
            </w:r>
          </w:p>
        </w:tc>
        <w:tc>
          <w:tcPr>
            <w:tcW w:type="dxa" w:w="1656"/>
            <w:vAlign w:val="center"/>
            <w:tcMar>
              <w:top w:w="85" w:type="dxa"/>
              <w:bottom w:w="85" w:type="dxa"/>
              <w:left w:w="120" w:type="dxa"/>
              <w:right w:w="120" w:type="dxa"/>
            </w:tcMar>
          </w:tcPr>
          <w:p>
            <w:pPr>
              <w:spacing w:before="0" w:after="0" w:line="269" w:lineRule="auto"/>
              <w:jc w:val="left"/>
            </w:pPr>
            <w:r>
              <w:rPr>
                <w:rFonts w:ascii="Calibri" w:hAnsi="Calibri"/>
                <w:color w:val="1E293B"/>
                <w:sz w:val="20"/>
              </w:rPr>
              <w:t>Stage 1: Pre-MF</w:t>
            </w:r>
          </w:p>
        </w:tc>
        <w:tc>
          <w:tcPr>
            <w:tcW w:type="dxa" w:w="1152"/>
            <w:vAlign w:val="center"/>
            <w:tcMar>
              <w:top w:w="85" w:type="dxa"/>
              <w:bottom w:w="85" w:type="dxa"/>
              <w:left w:w="120" w:type="dxa"/>
              <w:right w:w="120" w:type="dxa"/>
            </w:tcMar>
          </w:tcPr>
          <w:p>
            <w:pPr>
              <w:spacing w:before="0" w:after="0" w:line="269" w:lineRule="auto"/>
              <w:jc w:val="right"/>
            </w:pPr>
            <w:r>
              <w:rPr>
                <w:rFonts w:ascii="Calibri" w:hAnsi="Calibri"/>
                <w:color w:val="1E293B"/>
                <w:sz w:val="20"/>
              </w:rPr>
              <w:t>2,760</w:t>
            </w:r>
          </w:p>
        </w:tc>
        <w:tc>
          <w:tcPr>
            <w:tcW w:type="dxa" w:w="864"/>
            <w:vAlign w:val="center"/>
            <w:tcMar>
              <w:top w:w="85" w:type="dxa"/>
              <w:bottom w:w="85" w:type="dxa"/>
              <w:left w:w="120" w:type="dxa"/>
              <w:right w:w="120" w:type="dxa"/>
            </w:tcMar>
          </w:tcPr>
          <w:p>
            <w:pPr>
              <w:spacing w:before="0" w:after="0" w:line="269" w:lineRule="auto"/>
              <w:jc w:val="right"/>
            </w:pPr>
            <w:r>
              <w:rPr>
                <w:rFonts w:ascii="Calibri" w:hAnsi="Calibri"/>
                <w:color w:val="1E293B"/>
                <w:sz w:val="20"/>
              </w:rPr>
              <w:t>0</w:t>
            </w:r>
          </w:p>
        </w:tc>
        <w:tc>
          <w:tcPr>
            <w:tcW w:type="dxa" w:w="936"/>
            <w:vAlign w:val="center"/>
            <w:tcMar>
              <w:top w:w="85" w:type="dxa"/>
              <w:bottom w:w="85" w:type="dxa"/>
              <w:left w:w="120" w:type="dxa"/>
              <w:right w:w="120" w:type="dxa"/>
            </w:tcMar>
          </w:tcPr>
          <w:p>
            <w:pPr>
              <w:spacing w:before="0" w:after="0" w:line="269" w:lineRule="auto"/>
              <w:jc w:val="right"/>
            </w:pPr>
            <w:r>
              <w:rPr>
                <w:rFonts w:ascii="Calibri" w:hAnsi="Calibri"/>
                <w:color w:val="1E293B"/>
                <w:sz w:val="20"/>
              </w:rPr>
              <w:t>0.55% (AIF)</w:t>
            </w:r>
          </w:p>
        </w:tc>
        <w:tc>
          <w:tcPr>
            <w:tcW w:type="dxa" w:w="792"/>
            <w:vAlign w:val="center"/>
            <w:tcMar>
              <w:top w:w="85" w:type="dxa"/>
              <w:bottom w:w="85" w:type="dxa"/>
              <w:left w:w="120" w:type="dxa"/>
              <w:right w:w="120" w:type="dxa"/>
            </w:tcMar>
          </w:tcPr>
          <w:p>
            <w:pPr>
              <w:spacing w:before="0" w:after="0" w:line="269" w:lineRule="auto"/>
              <w:jc w:val="right"/>
            </w:pPr>
            <w:r>
              <w:rPr>
                <w:rFonts w:ascii="Calibri" w:hAnsi="Calibri"/>
                <w:color w:val="1E293B"/>
                <w:sz w:val="20"/>
              </w:rPr>
              <w:t>72.1%</w:t>
            </w:r>
          </w:p>
        </w:tc>
        <w:tc>
          <w:tcPr>
            <w:tcW w:type="dxa" w:w="792"/>
            <w:vAlign w:val="center"/>
            <w:tcMar>
              <w:top w:w="85" w:type="dxa"/>
              <w:bottom w:w="85" w:type="dxa"/>
              <w:left w:w="120" w:type="dxa"/>
              <w:right w:w="120" w:type="dxa"/>
            </w:tcMar>
          </w:tcPr>
          <w:p>
            <w:pPr>
              <w:spacing w:before="0" w:after="0" w:line="269" w:lineRule="auto"/>
              <w:jc w:val="right"/>
            </w:pPr>
            <w:r>
              <w:rPr>
                <w:rFonts w:ascii="Calibri" w:hAnsi="Calibri"/>
                <w:color w:val="1E293B"/>
                <w:sz w:val="20"/>
              </w:rPr>
              <w:t>82.0 / 100</w:t>
            </w:r>
          </w:p>
        </w:tc>
      </w:tr>
      <w:tr>
        <w:trPr>
          <w:cantSplit/>
        </w:trPr>
        <w:tc>
          <w:tcPr>
            <w:tcW w:type="dxa" w:w="1368"/>
            <w:vAlign w:val="center"/>
            <w:shd w:fill="F8FAFC"/>
            <w:tcMar>
              <w:top w:w="85" w:type="dxa"/>
              <w:bottom w:w="85" w:type="dxa"/>
              <w:left w:w="120" w:type="dxa"/>
              <w:right w:w="120" w:type="dxa"/>
            </w:tcMar>
          </w:tcPr>
          <w:p>
            <w:pPr>
              <w:spacing w:before="0" w:after="0" w:line="269" w:lineRule="auto"/>
              <w:jc w:val="left"/>
            </w:pPr>
            <w:r>
              <w:rPr>
                <w:rFonts w:ascii="Calibri" w:hAnsi="Calibri"/>
                <w:b/>
                <w:color w:val="0F172A"/>
                <w:sz w:val="20"/>
              </w:rPr>
              <w:t>ECOSMOBLTY</w:t>
            </w:r>
          </w:p>
        </w:tc>
        <w:tc>
          <w:tcPr>
            <w:tcW w:type="dxa" w:w="2232"/>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Ecos (India) Mobility</w:t>
            </w:r>
          </w:p>
        </w:tc>
        <w:tc>
          <w:tcPr>
            <w:tcW w:type="dxa" w:w="1656"/>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Stage 3: Inflection</w:t>
            </w:r>
          </w:p>
        </w:tc>
        <w:tc>
          <w:tcPr>
            <w:tcW w:type="dxa" w:w="1152"/>
            <w:vAlign w:val="center"/>
            <w:shd w:fill="F8FAFC"/>
            <w:tcMar>
              <w:top w:w="85" w:type="dxa"/>
              <w:bottom w:w="85" w:type="dxa"/>
              <w:left w:w="120" w:type="dxa"/>
              <w:right w:w="120" w:type="dxa"/>
            </w:tcMar>
          </w:tcPr>
          <w:p>
            <w:pPr>
              <w:spacing w:before="0" w:after="0" w:line="269" w:lineRule="auto"/>
              <w:jc w:val="right"/>
            </w:pPr>
            <w:r>
              <w:rPr>
                <w:rFonts w:ascii="Calibri" w:hAnsi="Calibri"/>
                <w:color w:val="1E293B"/>
                <w:sz w:val="20"/>
              </w:rPr>
              <w:t>2,920</w:t>
            </w:r>
          </w:p>
        </w:tc>
        <w:tc>
          <w:tcPr>
            <w:tcW w:type="dxa" w:w="864"/>
            <w:vAlign w:val="center"/>
            <w:shd w:fill="F8FAFC"/>
            <w:tcMar>
              <w:top w:w="85" w:type="dxa"/>
              <w:bottom w:w="85" w:type="dxa"/>
              <w:left w:w="120" w:type="dxa"/>
              <w:right w:w="120" w:type="dxa"/>
            </w:tcMar>
          </w:tcPr>
          <w:p>
            <w:pPr>
              <w:spacing w:before="0" w:after="0" w:line="269" w:lineRule="auto"/>
              <w:jc w:val="right"/>
            </w:pPr>
            <w:r>
              <w:rPr>
                <w:rFonts w:ascii="Calibri" w:hAnsi="Calibri"/>
                <w:color w:val="1E293B"/>
                <w:sz w:val="20"/>
              </w:rPr>
              <w:t>3</w:t>
            </w:r>
          </w:p>
        </w:tc>
        <w:tc>
          <w:tcPr>
            <w:tcW w:type="dxa" w:w="936"/>
            <w:vAlign w:val="center"/>
            <w:shd w:fill="F8FAFC"/>
            <w:tcMar>
              <w:top w:w="85" w:type="dxa"/>
              <w:bottom w:w="85" w:type="dxa"/>
              <w:left w:w="120" w:type="dxa"/>
              <w:right w:w="120" w:type="dxa"/>
            </w:tcMar>
          </w:tcPr>
          <w:p>
            <w:pPr>
              <w:spacing w:before="0" w:after="0" w:line="269" w:lineRule="auto"/>
              <w:jc w:val="right"/>
            </w:pPr>
            <w:r>
              <w:rPr>
                <w:rFonts w:ascii="Calibri" w:hAnsi="Calibri"/>
                <w:color w:val="1E293B"/>
                <w:sz w:val="20"/>
              </w:rPr>
              <w:t>2.35%</w:t>
            </w:r>
          </w:p>
        </w:tc>
        <w:tc>
          <w:tcPr>
            <w:tcW w:type="dxa" w:w="792"/>
            <w:vAlign w:val="center"/>
            <w:shd w:fill="F8FAFC"/>
            <w:tcMar>
              <w:top w:w="85" w:type="dxa"/>
              <w:bottom w:w="85" w:type="dxa"/>
              <w:left w:w="120" w:type="dxa"/>
              <w:right w:w="120" w:type="dxa"/>
            </w:tcMar>
          </w:tcPr>
          <w:p>
            <w:pPr>
              <w:spacing w:before="0" w:after="0" w:line="269" w:lineRule="auto"/>
              <w:jc w:val="right"/>
            </w:pPr>
            <w:r>
              <w:rPr>
                <w:rFonts w:ascii="Calibri" w:hAnsi="Calibri"/>
                <w:color w:val="1E293B"/>
                <w:sz w:val="20"/>
              </w:rPr>
              <w:t>88.4%</w:t>
            </w:r>
          </w:p>
        </w:tc>
        <w:tc>
          <w:tcPr>
            <w:tcW w:type="dxa" w:w="792"/>
            <w:vAlign w:val="center"/>
            <w:shd w:fill="F8FAFC"/>
            <w:tcMar>
              <w:top w:w="85" w:type="dxa"/>
              <w:bottom w:w="85" w:type="dxa"/>
              <w:left w:w="120" w:type="dxa"/>
              <w:right w:w="120" w:type="dxa"/>
            </w:tcMar>
          </w:tcPr>
          <w:p>
            <w:pPr>
              <w:spacing w:before="0" w:after="0" w:line="269" w:lineRule="auto"/>
              <w:jc w:val="right"/>
            </w:pPr>
            <w:r>
              <w:rPr>
                <w:rFonts w:ascii="Calibri" w:hAnsi="Calibri"/>
                <w:color w:val="1E293B"/>
                <w:sz w:val="20"/>
              </w:rPr>
              <w:t>82.0 / 100</w:t>
            </w:r>
          </w:p>
        </w:tc>
      </w:tr>
      <w:tr>
        <w:trPr>
          <w:cantSplit/>
        </w:trPr>
        <w:tc>
          <w:tcPr>
            <w:tcW w:type="dxa" w:w="1368"/>
            <w:vAlign w:val="center"/>
            <w:tcMar>
              <w:top w:w="85" w:type="dxa"/>
              <w:bottom w:w="85" w:type="dxa"/>
              <w:left w:w="120" w:type="dxa"/>
              <w:right w:w="120" w:type="dxa"/>
            </w:tcMar>
          </w:tcPr>
          <w:p>
            <w:pPr>
              <w:spacing w:before="0" w:after="0" w:line="269" w:lineRule="auto"/>
              <w:jc w:val="left"/>
            </w:pPr>
            <w:r>
              <w:rPr>
                <w:rFonts w:ascii="Calibri" w:hAnsi="Calibri"/>
                <w:b/>
                <w:color w:val="0F172A"/>
                <w:sz w:val="20"/>
              </w:rPr>
              <w:t>SANSTAR</w:t>
            </w:r>
          </w:p>
        </w:tc>
        <w:tc>
          <w:tcPr>
            <w:tcW w:type="dxa" w:w="2232"/>
            <w:vAlign w:val="center"/>
            <w:tcMar>
              <w:top w:w="85" w:type="dxa"/>
              <w:bottom w:w="85" w:type="dxa"/>
              <w:left w:w="120" w:type="dxa"/>
              <w:right w:w="120" w:type="dxa"/>
            </w:tcMar>
          </w:tcPr>
          <w:p>
            <w:pPr>
              <w:spacing w:before="0" w:after="0" w:line="269" w:lineRule="auto"/>
              <w:jc w:val="left"/>
            </w:pPr>
            <w:r>
              <w:rPr>
                <w:rFonts w:ascii="Calibri" w:hAnsi="Calibri"/>
                <w:color w:val="1E293B"/>
                <w:sz w:val="20"/>
              </w:rPr>
              <w:t>Sanstar Ltd</w:t>
            </w:r>
          </w:p>
        </w:tc>
        <w:tc>
          <w:tcPr>
            <w:tcW w:type="dxa" w:w="1656"/>
            <w:vAlign w:val="center"/>
            <w:tcMar>
              <w:top w:w="85" w:type="dxa"/>
              <w:bottom w:w="85" w:type="dxa"/>
              <w:left w:w="120" w:type="dxa"/>
              <w:right w:w="120" w:type="dxa"/>
            </w:tcMar>
          </w:tcPr>
          <w:p>
            <w:pPr>
              <w:spacing w:before="0" w:after="0" w:line="269" w:lineRule="auto"/>
              <w:jc w:val="left"/>
            </w:pPr>
            <w:r>
              <w:rPr>
                <w:rFonts w:ascii="Calibri" w:hAnsi="Calibri"/>
                <w:color w:val="1E293B"/>
                <w:sz w:val="20"/>
              </w:rPr>
              <w:t>Stage 2: Pioneer</w:t>
            </w:r>
          </w:p>
        </w:tc>
        <w:tc>
          <w:tcPr>
            <w:tcW w:type="dxa" w:w="1152"/>
            <w:vAlign w:val="center"/>
            <w:tcMar>
              <w:top w:w="85" w:type="dxa"/>
              <w:bottom w:w="85" w:type="dxa"/>
              <w:left w:w="120" w:type="dxa"/>
              <w:right w:w="120" w:type="dxa"/>
            </w:tcMar>
          </w:tcPr>
          <w:p>
            <w:pPr>
              <w:spacing w:before="0" w:after="0" w:line="269" w:lineRule="auto"/>
              <w:jc w:val="right"/>
            </w:pPr>
            <w:r>
              <w:rPr>
                <w:rFonts w:ascii="Calibri" w:hAnsi="Calibri"/>
                <w:color w:val="1E293B"/>
                <w:sz w:val="20"/>
              </w:rPr>
              <w:t>1,890</w:t>
            </w:r>
          </w:p>
        </w:tc>
        <w:tc>
          <w:tcPr>
            <w:tcW w:type="dxa" w:w="864"/>
            <w:vAlign w:val="center"/>
            <w:tcMar>
              <w:top w:w="85" w:type="dxa"/>
              <w:bottom w:w="85" w:type="dxa"/>
              <w:left w:w="120" w:type="dxa"/>
              <w:right w:w="120" w:type="dxa"/>
            </w:tcMar>
          </w:tcPr>
          <w:p>
            <w:pPr>
              <w:spacing w:before="0" w:after="0" w:line="269" w:lineRule="auto"/>
              <w:jc w:val="right"/>
            </w:pPr>
            <w:r>
              <w:rPr>
                <w:rFonts w:ascii="Calibri" w:hAnsi="Calibri"/>
                <w:color w:val="1E293B"/>
                <w:sz w:val="20"/>
              </w:rPr>
              <w:t>2</w:t>
            </w:r>
          </w:p>
        </w:tc>
        <w:tc>
          <w:tcPr>
            <w:tcW w:type="dxa" w:w="936"/>
            <w:vAlign w:val="center"/>
            <w:tcMar>
              <w:top w:w="85" w:type="dxa"/>
              <w:bottom w:w="85" w:type="dxa"/>
              <w:left w:w="120" w:type="dxa"/>
              <w:right w:w="120" w:type="dxa"/>
            </w:tcMar>
          </w:tcPr>
          <w:p>
            <w:pPr>
              <w:spacing w:before="0" w:after="0" w:line="269" w:lineRule="auto"/>
              <w:jc w:val="right"/>
            </w:pPr>
            <w:r>
              <w:rPr>
                <w:rFonts w:ascii="Calibri" w:hAnsi="Calibri"/>
                <w:color w:val="1E293B"/>
                <w:sz w:val="20"/>
              </w:rPr>
              <w:t>1.92%</w:t>
            </w:r>
          </w:p>
        </w:tc>
        <w:tc>
          <w:tcPr>
            <w:tcW w:type="dxa" w:w="792"/>
            <w:vAlign w:val="center"/>
            <w:tcMar>
              <w:top w:w="85" w:type="dxa"/>
              <w:bottom w:w="85" w:type="dxa"/>
              <w:left w:w="120" w:type="dxa"/>
              <w:right w:w="120" w:type="dxa"/>
            </w:tcMar>
          </w:tcPr>
          <w:p>
            <w:pPr>
              <w:spacing w:before="0" w:after="0" w:line="269" w:lineRule="auto"/>
              <w:jc w:val="right"/>
            </w:pPr>
            <w:r>
              <w:rPr>
                <w:rFonts w:ascii="Calibri" w:hAnsi="Calibri"/>
                <w:color w:val="1E293B"/>
                <w:sz w:val="20"/>
              </w:rPr>
              <w:t>75.6%</w:t>
            </w:r>
          </w:p>
        </w:tc>
        <w:tc>
          <w:tcPr>
            <w:tcW w:type="dxa" w:w="792"/>
            <w:vAlign w:val="center"/>
            <w:tcMar>
              <w:top w:w="85" w:type="dxa"/>
              <w:bottom w:w="85" w:type="dxa"/>
              <w:left w:w="120" w:type="dxa"/>
              <w:right w:w="120" w:type="dxa"/>
            </w:tcMar>
          </w:tcPr>
          <w:p>
            <w:pPr>
              <w:spacing w:before="0" w:after="0" w:line="269" w:lineRule="auto"/>
              <w:jc w:val="right"/>
            </w:pPr>
            <w:r>
              <w:rPr>
                <w:rFonts w:ascii="Calibri" w:hAnsi="Calibri"/>
                <w:color w:val="1E293B"/>
                <w:sz w:val="20"/>
              </w:rPr>
              <w:t>80.0 / 100</w:t>
            </w:r>
          </w:p>
        </w:tc>
      </w:tr>
      <w:tr>
        <w:trPr>
          <w:cantSplit/>
        </w:trPr>
        <w:tc>
          <w:tcPr>
            <w:tcW w:type="dxa" w:w="1368"/>
            <w:vAlign w:val="center"/>
            <w:shd w:fill="F8FAFC"/>
            <w:tcMar>
              <w:top w:w="85" w:type="dxa"/>
              <w:bottom w:w="85" w:type="dxa"/>
              <w:left w:w="120" w:type="dxa"/>
              <w:right w:w="120" w:type="dxa"/>
            </w:tcMar>
          </w:tcPr>
          <w:p>
            <w:pPr>
              <w:spacing w:before="0" w:after="0" w:line="269" w:lineRule="auto"/>
              <w:jc w:val="left"/>
            </w:pPr>
            <w:r>
              <w:rPr>
                <w:rFonts w:ascii="Calibri" w:hAnsi="Calibri"/>
                <w:b/>
                <w:color w:val="0F172A"/>
                <w:sz w:val="20"/>
              </w:rPr>
              <w:t>BANSALWIRE</w:t>
            </w:r>
          </w:p>
        </w:tc>
        <w:tc>
          <w:tcPr>
            <w:tcW w:type="dxa" w:w="2232"/>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Bansal Wire Industries</w:t>
            </w:r>
          </w:p>
        </w:tc>
        <w:tc>
          <w:tcPr>
            <w:tcW w:type="dxa" w:w="1656"/>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Stage 3: Inflection</w:t>
            </w:r>
          </w:p>
        </w:tc>
        <w:tc>
          <w:tcPr>
            <w:tcW w:type="dxa" w:w="1152"/>
            <w:vAlign w:val="center"/>
            <w:shd w:fill="F8FAFC"/>
            <w:tcMar>
              <w:top w:w="85" w:type="dxa"/>
              <w:bottom w:w="85" w:type="dxa"/>
              <w:left w:w="120" w:type="dxa"/>
              <w:right w:w="120" w:type="dxa"/>
            </w:tcMar>
          </w:tcPr>
          <w:p>
            <w:pPr>
              <w:spacing w:before="0" w:after="0" w:line="269" w:lineRule="auto"/>
              <w:jc w:val="right"/>
            </w:pPr>
            <w:r>
              <w:rPr>
                <w:rFonts w:ascii="Calibri" w:hAnsi="Calibri"/>
                <w:color w:val="1E293B"/>
                <w:sz w:val="20"/>
              </w:rPr>
              <w:t>4,980</w:t>
            </w:r>
          </w:p>
        </w:tc>
        <w:tc>
          <w:tcPr>
            <w:tcW w:type="dxa" w:w="864"/>
            <w:vAlign w:val="center"/>
            <w:shd w:fill="F8FAFC"/>
            <w:tcMar>
              <w:top w:w="85" w:type="dxa"/>
              <w:bottom w:w="85" w:type="dxa"/>
              <w:left w:w="120" w:type="dxa"/>
              <w:right w:w="120" w:type="dxa"/>
            </w:tcMar>
          </w:tcPr>
          <w:p>
            <w:pPr>
              <w:spacing w:before="0" w:after="0" w:line="269" w:lineRule="auto"/>
              <w:jc w:val="right"/>
            </w:pPr>
            <w:r>
              <w:rPr>
                <w:rFonts w:ascii="Calibri" w:hAnsi="Calibri"/>
                <w:color w:val="1E293B"/>
                <w:sz w:val="20"/>
              </w:rPr>
              <w:t>3</w:t>
            </w:r>
          </w:p>
        </w:tc>
        <w:tc>
          <w:tcPr>
            <w:tcW w:type="dxa" w:w="936"/>
            <w:vAlign w:val="center"/>
            <w:shd w:fill="F8FAFC"/>
            <w:tcMar>
              <w:top w:w="85" w:type="dxa"/>
              <w:bottom w:w="85" w:type="dxa"/>
              <w:left w:w="120" w:type="dxa"/>
              <w:right w:w="120" w:type="dxa"/>
            </w:tcMar>
          </w:tcPr>
          <w:p>
            <w:pPr>
              <w:spacing w:before="0" w:after="0" w:line="269" w:lineRule="auto"/>
              <w:jc w:val="right"/>
            </w:pPr>
            <w:r>
              <w:rPr>
                <w:rFonts w:ascii="Calibri" w:hAnsi="Calibri"/>
                <w:color w:val="1E293B"/>
                <w:sz w:val="20"/>
              </w:rPr>
              <w:t>1.44%</w:t>
            </w:r>
          </w:p>
        </w:tc>
        <w:tc>
          <w:tcPr>
            <w:tcW w:type="dxa" w:w="792"/>
            <w:vAlign w:val="center"/>
            <w:shd w:fill="F8FAFC"/>
            <w:tcMar>
              <w:top w:w="85" w:type="dxa"/>
              <w:bottom w:w="85" w:type="dxa"/>
              <w:left w:w="120" w:type="dxa"/>
              <w:right w:w="120" w:type="dxa"/>
            </w:tcMar>
          </w:tcPr>
          <w:p>
            <w:pPr>
              <w:spacing w:before="0" w:after="0" w:line="269" w:lineRule="auto"/>
              <w:jc w:val="right"/>
            </w:pPr>
            <w:r>
              <w:rPr>
                <w:rFonts w:ascii="Calibri" w:hAnsi="Calibri"/>
                <w:color w:val="1E293B"/>
                <w:sz w:val="20"/>
              </w:rPr>
              <w:t>69.5%</w:t>
            </w:r>
          </w:p>
        </w:tc>
        <w:tc>
          <w:tcPr>
            <w:tcW w:type="dxa" w:w="792"/>
            <w:vAlign w:val="center"/>
            <w:shd w:fill="F8FAFC"/>
            <w:tcMar>
              <w:top w:w="85" w:type="dxa"/>
              <w:bottom w:w="85" w:type="dxa"/>
              <w:left w:w="120" w:type="dxa"/>
              <w:right w:w="120" w:type="dxa"/>
            </w:tcMar>
          </w:tcPr>
          <w:p>
            <w:pPr>
              <w:spacing w:before="0" w:after="0" w:line="269" w:lineRule="auto"/>
              <w:jc w:val="right"/>
            </w:pPr>
            <w:r>
              <w:rPr>
                <w:rFonts w:ascii="Calibri" w:hAnsi="Calibri"/>
                <w:color w:val="1E293B"/>
                <w:sz w:val="20"/>
              </w:rPr>
              <w:t>74.0 / 100</w:t>
            </w:r>
          </w:p>
        </w:tc>
      </w:tr>
    </w:tbl>
    <w:p>
      <w:pPr>
        <w:spacing w:before="0" w:after="120"/>
      </w:pPr>
    </w:p>
    <w:p>
      <w:pPr>
        <w:keepNext/>
        <w:spacing w:before="320" w:after="120"/>
        <w:pBdr>
          <w:bottom w:val="single" w:sz="12" w:space="4" w:color="1E3A8A"/>
        </w:pBdr>
      </w:pPr>
      <w:r>
        <w:rPr>
          <w:rFonts w:ascii="Calibri" w:hAnsi="Calibri"/>
          <w:b/>
          <w:color w:val="0F172A"/>
          <w:sz w:val="31"/>
        </w:rPr>
        <w:t>5. Windows PowerShell / CMD Cookbook for Querying mf_history.db</w:t>
      </w:r>
    </w:p>
    <w:p>
      <w:pPr>
        <w:spacing w:before="0" w:after="120" w:line="276" w:lineRule="auto"/>
      </w:pPr>
      <w:r>
        <w:rPr>
          <w:rFonts w:ascii="Calibri" w:hAnsi="Calibri"/>
          <w:color w:val="1E293B"/>
          <w:sz w:val="22"/>
        </w:rPr>
        <w:t>Open Windows PowerShell or Command Prompt inside C:\Users\sdgangji\OneDrive\Projects\mf_monthly_micro_smallcap_scanner\ and run any of the 13 commands below to update your database, run time-travel backtests, or query your SQLite tables directly:</w:t>
      </w:r>
    </w:p>
    <w:tbl>
      <w:tblPr>
        <w:tblW w:type="auto" w:w="0"/>
        <w:jc w:val="center"/>
        <w:tblLayout w:type="fixed"/>
        <w:tblLook w:firstColumn="1" w:firstRow="1" w:lastColumn="0" w:lastRow="0" w:noHBand="0" w:noVBand="1" w:val="04A0"/>
        <w:tblBorders>
          <w:top w:val="single" w:sz="6" w:space="0" w:color="CBD5E1"/>
          <w:bottom w:val="single" w:sz="8" w:space="0" w:color="CBD5E1"/>
          <w:insideH w:val="single" w:sz="4" w:space="0" w:color="CBD5E1"/>
          <w:insideV w:val="single" w:sz="4" w:space="0" w:color="CBD5E1"/>
          <w:left w:val="single" w:sz="4" w:space="0" w:color="CBD5E1"/>
          <w:right w:val="single" w:sz="4" w:space="0" w:color="CBD5E1"/>
        </w:tblBorders>
      </w:tblPr>
      <w:tblGrid>
        <w:gridCol w:w="4896"/>
        <w:gridCol w:w="4896"/>
      </w:tblGrid>
      <w:tr>
        <w:trPr>
          <w:tblHeader/>
          <w:cantSplit/>
        </w:trPr>
        <w:tc>
          <w:tcPr>
            <w:tcW w:type="dxa" w:w="3168"/>
            <w:vAlign w:val="center"/>
            <w:shd w:fill="1E293B"/>
            <w:tcMar>
              <w:top w:w="100" w:type="dxa"/>
              <w:bottom w:w="100" w:type="dxa"/>
              <w:left w:w="120" w:type="dxa"/>
              <w:right w:w="120" w:type="dxa"/>
            </w:tcMar>
          </w:tcPr>
          <w:p>
            <w:pPr>
              <w:keepNext/>
              <w:spacing w:before="0" w:after="0"/>
              <w:jc w:val="left"/>
            </w:pPr>
            <w:r>
              <w:rPr>
                <w:rFonts w:ascii="Calibri" w:hAnsi="Calibri"/>
                <w:b/>
                <w:color w:val="FFFFFF"/>
                <w:sz w:val="21"/>
              </w:rPr>
              <w:t>Use Case / Action</w:t>
            </w:r>
          </w:p>
        </w:tc>
        <w:tc>
          <w:tcPr>
            <w:tcW w:type="dxa" w:w="6624"/>
            <w:vAlign w:val="center"/>
            <w:shd w:fill="1E293B"/>
            <w:tcMar>
              <w:top w:w="100" w:type="dxa"/>
              <w:bottom w:w="100" w:type="dxa"/>
              <w:left w:w="120" w:type="dxa"/>
              <w:right w:w="120" w:type="dxa"/>
            </w:tcMar>
          </w:tcPr>
          <w:p>
            <w:pPr>
              <w:keepNext/>
              <w:spacing w:before="0" w:after="0"/>
              <w:jc w:val="left"/>
            </w:pPr>
            <w:r>
              <w:rPr>
                <w:rFonts w:ascii="Calibri" w:hAnsi="Calibri"/>
                <w:b/>
                <w:color w:val="FFFFFF"/>
                <w:sz w:val="21"/>
              </w:rPr>
              <w:t>Exact PowerShell / CMD Command to Run</w:t>
            </w:r>
          </w:p>
        </w:tc>
      </w:tr>
      <w:tr>
        <w:trPr>
          <w:cantSplit/>
        </w:trPr>
        <w:tc>
          <w:tcPr>
            <w:tcW w:type="dxa" w:w="3168"/>
            <w:vAlign w:val="center"/>
            <w:tcMar>
              <w:top w:w="85" w:type="dxa"/>
              <w:bottom w:w="85" w:type="dxa"/>
              <w:left w:w="120" w:type="dxa"/>
              <w:right w:w="120" w:type="dxa"/>
            </w:tcMar>
          </w:tcPr>
          <w:p>
            <w:pPr>
              <w:spacing w:before="0" w:after="0" w:line="269" w:lineRule="auto"/>
              <w:jc w:val="left"/>
            </w:pPr>
            <w:r>
              <w:rPr>
                <w:rFonts w:ascii="Calibri" w:hAnsi="Calibri"/>
                <w:b/>
                <w:color w:val="0F172A"/>
                <w:sz w:val="20"/>
              </w:rPr>
              <w:t>1. Navigate to Project Folder</w:t>
            </w:r>
          </w:p>
        </w:tc>
        <w:tc>
          <w:tcPr>
            <w:tcW w:type="dxa" w:w="6624"/>
            <w:vAlign w:val="center"/>
            <w:tcMar>
              <w:top w:w="85" w:type="dxa"/>
              <w:bottom w:w="85" w:type="dxa"/>
              <w:left w:w="120" w:type="dxa"/>
              <w:right w:w="120" w:type="dxa"/>
            </w:tcMar>
          </w:tcPr>
          <w:p>
            <w:pPr>
              <w:spacing w:before="0" w:after="0" w:line="269" w:lineRule="auto"/>
              <w:jc w:val="left"/>
            </w:pPr>
            <w:r>
              <w:rPr>
                <w:rFonts w:ascii="Calibri" w:hAnsi="Calibri"/>
                <w:color w:val="1E293B"/>
                <w:sz w:val="20"/>
              </w:rPr>
              <w:t>cd C:\Users\sdgangji\OneDrive\Projects\mf_monthly_micro_smallcap_scanner</w:t>
            </w:r>
          </w:p>
        </w:tc>
      </w:tr>
      <w:tr>
        <w:trPr>
          <w:cantSplit/>
        </w:trPr>
        <w:tc>
          <w:tcPr>
            <w:tcW w:type="dxa" w:w="3168"/>
            <w:vAlign w:val="center"/>
            <w:shd w:fill="F8FAFC"/>
            <w:tcMar>
              <w:top w:w="85" w:type="dxa"/>
              <w:bottom w:w="85" w:type="dxa"/>
              <w:left w:w="120" w:type="dxa"/>
              <w:right w:w="120" w:type="dxa"/>
            </w:tcMar>
          </w:tcPr>
          <w:p>
            <w:pPr>
              <w:spacing w:before="0" w:after="0" w:line="269" w:lineRule="auto"/>
              <w:jc w:val="left"/>
            </w:pPr>
            <w:r>
              <w:rPr>
                <w:rFonts w:ascii="Calibri" w:hAnsi="Calibri"/>
                <w:b/>
                <w:color w:val="0F172A"/>
                <w:sz w:val="20"/>
              </w:rPr>
              <w:t>2. Run Full Monthly Scan &amp; Rebuild DB + CSVs</w:t>
            </w:r>
          </w:p>
        </w:tc>
        <w:tc>
          <w:tcPr>
            <w:tcW w:type="dxa" w:w="6624"/>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python mf_monthly_micro_smallcap_scanner.py --month 2026-09</w:t>
            </w:r>
          </w:p>
        </w:tc>
      </w:tr>
      <w:tr>
        <w:trPr>
          <w:cantSplit/>
        </w:trPr>
        <w:tc>
          <w:tcPr>
            <w:tcW w:type="dxa" w:w="3168"/>
            <w:vAlign w:val="center"/>
            <w:tcMar>
              <w:top w:w="85" w:type="dxa"/>
              <w:bottom w:w="85" w:type="dxa"/>
              <w:left w:w="120" w:type="dxa"/>
              <w:right w:w="120" w:type="dxa"/>
            </w:tcMar>
          </w:tcPr>
          <w:p>
            <w:pPr>
              <w:spacing w:before="0" w:after="0" w:line="269" w:lineRule="auto"/>
              <w:jc w:val="left"/>
            </w:pPr>
            <w:r>
              <w:rPr>
                <w:rFonts w:ascii="Calibri" w:hAnsi="Calibri"/>
                <w:b/>
                <w:color w:val="0F172A"/>
                <w:sz w:val="20"/>
              </w:rPr>
              <w:t>3. Time-Travel Mode (Point-in-Time Backtest, Zero Look-Ahead)</w:t>
            </w:r>
          </w:p>
        </w:tc>
        <w:tc>
          <w:tcPr>
            <w:tcW w:type="dxa" w:w="6624"/>
            <w:vAlign w:val="center"/>
            <w:tcMar>
              <w:top w:w="85" w:type="dxa"/>
              <w:bottom w:w="85" w:type="dxa"/>
              <w:left w:w="120" w:type="dxa"/>
              <w:right w:w="120" w:type="dxa"/>
            </w:tcMar>
          </w:tcPr>
          <w:p>
            <w:pPr>
              <w:spacing w:before="0" w:after="0" w:line="269" w:lineRule="auto"/>
              <w:jc w:val="left"/>
            </w:pPr>
            <w:r>
              <w:rPr>
                <w:rFonts w:ascii="Calibri" w:hAnsi="Calibri"/>
                <w:color w:val="1E293B"/>
                <w:sz w:val="20"/>
              </w:rPr>
              <w:t>python mf_monthly_micro_smallcap_scanner.py --as-of-date 2026-08-31 --preset-query watchlist</w:t>
            </w:r>
          </w:p>
        </w:tc>
      </w:tr>
      <w:tr>
        <w:trPr>
          <w:cantSplit/>
        </w:trPr>
        <w:tc>
          <w:tcPr>
            <w:tcW w:type="dxa" w:w="3168"/>
            <w:vAlign w:val="center"/>
            <w:shd w:fill="F8FAFC"/>
            <w:tcMar>
              <w:top w:w="85" w:type="dxa"/>
              <w:bottom w:w="85" w:type="dxa"/>
              <w:left w:w="120" w:type="dxa"/>
              <w:right w:w="120" w:type="dxa"/>
            </w:tcMar>
          </w:tcPr>
          <w:p>
            <w:pPr>
              <w:spacing w:before="0" w:after="0" w:line="269" w:lineRule="auto"/>
              <w:jc w:val="left"/>
            </w:pPr>
            <w:r>
              <w:rPr>
                <w:rFonts w:ascii="Calibri" w:hAnsi="Calibri"/>
                <w:b/>
                <w:color w:val="0F172A"/>
                <w:sz w:val="20"/>
              </w:rPr>
              <w:t>4. Query Early Micro-Cap Discovery Funnel (v4.0 Stage 1–3)</w:t>
            </w:r>
          </w:p>
        </w:tc>
        <w:tc>
          <w:tcPr>
            <w:tcW w:type="dxa" w:w="6624"/>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python mf_monthly_micro_smallcap_scanner.py --preset-query early_discovery</w:t>
            </w:r>
          </w:p>
        </w:tc>
      </w:tr>
      <w:tr>
        <w:trPr>
          <w:cantSplit/>
        </w:trPr>
        <w:tc>
          <w:tcPr>
            <w:tcW w:type="dxa" w:w="3168"/>
            <w:vAlign w:val="center"/>
            <w:tcMar>
              <w:top w:w="85" w:type="dxa"/>
              <w:bottom w:w="85" w:type="dxa"/>
              <w:left w:w="120" w:type="dxa"/>
              <w:right w:w="120" w:type="dxa"/>
            </w:tcMar>
          </w:tcPr>
          <w:p>
            <w:pPr>
              <w:spacing w:before="0" w:after="0" w:line="269" w:lineRule="auto"/>
              <w:jc w:val="left"/>
            </w:pPr>
            <w:r>
              <w:rPr>
                <w:rFonts w:ascii="Calibri" w:hAnsi="Calibri"/>
                <w:b/>
                <w:color w:val="0F172A"/>
                <w:sz w:val="20"/>
              </w:rPr>
              <w:t>5. Query Pre-MF Smart Money Signals (SAST / Warrants / SME / AIF)</w:t>
            </w:r>
          </w:p>
        </w:tc>
        <w:tc>
          <w:tcPr>
            <w:tcW w:type="dxa" w:w="6624"/>
            <w:vAlign w:val="center"/>
            <w:tcMar>
              <w:top w:w="85" w:type="dxa"/>
              <w:bottom w:w="85" w:type="dxa"/>
              <w:left w:w="120" w:type="dxa"/>
              <w:right w:w="120" w:type="dxa"/>
            </w:tcMar>
          </w:tcPr>
          <w:p>
            <w:pPr>
              <w:spacing w:before="0" w:after="0" w:line="269" w:lineRule="auto"/>
              <w:jc w:val="left"/>
            </w:pPr>
            <w:r>
              <w:rPr>
                <w:rFonts w:ascii="Calibri" w:hAnsi="Calibri"/>
                <w:color w:val="1E293B"/>
                <w:sz w:val="20"/>
              </w:rPr>
              <w:t>python mf_monthly_micro_smallcap_scanner.py --preset-query pre_mf_signals</w:t>
            </w:r>
          </w:p>
        </w:tc>
      </w:tr>
      <w:tr>
        <w:trPr>
          <w:cantSplit/>
        </w:trPr>
        <w:tc>
          <w:tcPr>
            <w:tcW w:type="dxa" w:w="3168"/>
            <w:vAlign w:val="center"/>
            <w:shd w:fill="F8FAFC"/>
            <w:tcMar>
              <w:top w:w="85" w:type="dxa"/>
              <w:bottom w:w="85" w:type="dxa"/>
              <w:left w:w="120" w:type="dxa"/>
              <w:right w:w="120" w:type="dxa"/>
            </w:tcMar>
          </w:tcPr>
          <w:p>
            <w:pPr>
              <w:spacing w:before="0" w:after="0" w:line="269" w:lineRule="auto"/>
              <w:jc w:val="left"/>
            </w:pPr>
            <w:r>
              <w:rPr>
                <w:rFonts w:ascii="Calibri" w:hAnsi="Calibri"/>
                <w:b/>
                <w:color w:val="0F172A"/>
                <w:sz w:val="20"/>
              </w:rPr>
              <w:t>6. Query Top Watchlist Conviction Candidates</w:t>
            </w:r>
          </w:p>
        </w:tc>
        <w:tc>
          <w:tcPr>
            <w:tcW w:type="dxa" w:w="6624"/>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python mf_monthly_micro_smallcap_scanner.py --preset-query watchlist</w:t>
            </w:r>
          </w:p>
        </w:tc>
      </w:tr>
      <w:tr>
        <w:trPr>
          <w:cantSplit/>
        </w:trPr>
        <w:tc>
          <w:tcPr>
            <w:tcW w:type="dxa" w:w="3168"/>
            <w:vAlign w:val="center"/>
            <w:tcMar>
              <w:top w:w="85" w:type="dxa"/>
              <w:bottom w:w="85" w:type="dxa"/>
              <w:left w:w="120" w:type="dxa"/>
              <w:right w:w="120" w:type="dxa"/>
            </w:tcMar>
          </w:tcPr>
          <w:p>
            <w:pPr>
              <w:spacing w:before="0" w:after="0" w:line="269" w:lineRule="auto"/>
              <w:jc w:val="left"/>
            </w:pPr>
            <w:r>
              <w:rPr>
                <w:rFonts w:ascii="Calibri" w:hAnsi="Calibri"/>
                <w:b/>
                <w:color w:val="0F172A"/>
                <w:sz w:val="20"/>
              </w:rPr>
              <w:t>7. Query Multi-AMC Consensus Holdings (Active Funds Only)</w:t>
            </w:r>
          </w:p>
        </w:tc>
        <w:tc>
          <w:tcPr>
            <w:tcW w:type="dxa" w:w="6624"/>
            <w:vAlign w:val="center"/>
            <w:tcMar>
              <w:top w:w="85" w:type="dxa"/>
              <w:bottom w:w="85" w:type="dxa"/>
              <w:left w:w="120" w:type="dxa"/>
              <w:right w:w="120" w:type="dxa"/>
            </w:tcMar>
          </w:tcPr>
          <w:p>
            <w:pPr>
              <w:spacing w:before="0" w:after="0" w:line="269" w:lineRule="auto"/>
              <w:jc w:val="left"/>
            </w:pPr>
            <w:r>
              <w:rPr>
                <w:rFonts w:ascii="Calibri" w:hAnsi="Calibri"/>
                <w:color w:val="1E293B"/>
                <w:sz w:val="20"/>
              </w:rPr>
              <w:t>python mf_monthly_micro_smallcap_scanner.py --preset-query consensus</w:t>
            </w:r>
          </w:p>
        </w:tc>
      </w:tr>
      <w:tr>
        <w:trPr>
          <w:cantSplit/>
        </w:trPr>
        <w:tc>
          <w:tcPr>
            <w:tcW w:type="dxa" w:w="3168"/>
            <w:vAlign w:val="center"/>
            <w:shd w:fill="F8FAFC"/>
            <w:tcMar>
              <w:top w:w="85" w:type="dxa"/>
              <w:bottom w:w="85" w:type="dxa"/>
              <w:left w:w="120" w:type="dxa"/>
              <w:right w:w="120" w:type="dxa"/>
            </w:tcMar>
          </w:tcPr>
          <w:p>
            <w:pPr>
              <w:spacing w:before="0" w:after="0" w:line="269" w:lineRule="auto"/>
              <w:jc w:val="left"/>
            </w:pPr>
            <w:r>
              <w:rPr>
                <w:rFonts w:ascii="Calibri" w:hAnsi="Calibri"/>
                <w:b/>
                <w:color w:val="0F172A"/>
                <w:sz w:val="20"/>
              </w:rPr>
              <w:t>8. Query Complete (100%) Scheme Exits (Red / Dark Red / Critical)</w:t>
            </w:r>
          </w:p>
        </w:tc>
        <w:tc>
          <w:tcPr>
            <w:tcW w:type="dxa" w:w="6624"/>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python mf_monthly_micro_smallcap_scanner.py --preset-query exits</w:t>
            </w:r>
          </w:p>
        </w:tc>
      </w:tr>
      <w:tr>
        <w:trPr>
          <w:cantSplit/>
        </w:trPr>
        <w:tc>
          <w:tcPr>
            <w:tcW w:type="dxa" w:w="3168"/>
            <w:vAlign w:val="center"/>
            <w:tcMar>
              <w:top w:w="85" w:type="dxa"/>
              <w:bottom w:w="85" w:type="dxa"/>
              <w:left w:w="120" w:type="dxa"/>
              <w:right w:w="120" w:type="dxa"/>
            </w:tcMar>
          </w:tcPr>
          <w:p>
            <w:pPr>
              <w:spacing w:before="0" w:after="0" w:line="269" w:lineRule="auto"/>
              <w:jc w:val="left"/>
            </w:pPr>
            <w:r>
              <w:rPr>
                <w:rFonts w:ascii="Calibri" w:hAnsi="Calibri"/>
                <w:b/>
                <w:color w:val="0F172A"/>
                <w:sz w:val="20"/>
              </w:rPr>
              <w:t>9. Query True Multi-Year First-Seen Fresh Entries</w:t>
            </w:r>
          </w:p>
        </w:tc>
        <w:tc>
          <w:tcPr>
            <w:tcW w:type="dxa" w:w="6624"/>
            <w:vAlign w:val="center"/>
            <w:tcMar>
              <w:top w:w="85" w:type="dxa"/>
              <w:bottom w:w="85" w:type="dxa"/>
              <w:left w:w="120" w:type="dxa"/>
              <w:right w:w="120" w:type="dxa"/>
            </w:tcMar>
          </w:tcPr>
          <w:p>
            <w:pPr>
              <w:spacing w:before="0" w:after="0" w:line="269" w:lineRule="auto"/>
              <w:jc w:val="left"/>
            </w:pPr>
            <w:r>
              <w:rPr>
                <w:rFonts w:ascii="Calibri" w:hAnsi="Calibri"/>
                <w:color w:val="1E293B"/>
                <w:sz w:val="20"/>
              </w:rPr>
              <w:t>python mf_monthly_micro_smallcap_scanner.py --preset-query first_seen</w:t>
            </w:r>
          </w:p>
        </w:tc>
      </w:tr>
      <w:tr>
        <w:trPr>
          <w:cantSplit/>
        </w:trPr>
        <w:tc>
          <w:tcPr>
            <w:tcW w:type="dxa" w:w="3168"/>
            <w:vAlign w:val="center"/>
            <w:shd w:fill="F8FAFC"/>
            <w:tcMar>
              <w:top w:w="85" w:type="dxa"/>
              <w:bottom w:w="85" w:type="dxa"/>
              <w:left w:w="120" w:type="dxa"/>
              <w:right w:w="120" w:type="dxa"/>
            </w:tcMar>
          </w:tcPr>
          <w:p>
            <w:pPr>
              <w:spacing w:before="0" w:after="0" w:line="269" w:lineRule="auto"/>
              <w:jc w:val="left"/>
            </w:pPr>
            <w:r>
              <w:rPr>
                <w:rFonts w:ascii="Calibri" w:hAnsi="Calibri"/>
                <w:b/>
                <w:color w:val="0F172A"/>
                <w:sz w:val="20"/>
              </w:rPr>
              <w:t>10. Query Value Research 4-Star &amp; 5-Star Composite Stocks</w:t>
            </w:r>
          </w:p>
        </w:tc>
        <w:tc>
          <w:tcPr>
            <w:tcW w:type="dxa" w:w="6624"/>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python mf_monthly_micro_smallcap_scanner.py --preset-query vr_5star</w:t>
            </w:r>
          </w:p>
        </w:tc>
      </w:tr>
      <w:tr>
        <w:trPr>
          <w:cantSplit/>
        </w:trPr>
        <w:tc>
          <w:tcPr>
            <w:tcW w:type="dxa" w:w="3168"/>
            <w:vAlign w:val="center"/>
            <w:tcMar>
              <w:top w:w="85" w:type="dxa"/>
              <w:bottom w:w="85" w:type="dxa"/>
              <w:left w:w="120" w:type="dxa"/>
              <w:right w:w="120" w:type="dxa"/>
            </w:tcMar>
          </w:tcPr>
          <w:p>
            <w:pPr>
              <w:spacing w:before="0" w:after="0" w:line="269" w:lineRule="auto"/>
              <w:jc w:val="left"/>
            </w:pPr>
            <w:r>
              <w:rPr>
                <w:rFonts w:ascii="Calibri" w:hAnsi="Calibri"/>
                <w:b/>
                <w:color w:val="0F172A"/>
                <w:sz w:val="20"/>
              </w:rPr>
              <w:t>11. Compare Month-over-Month Institutional Accumulation</w:t>
            </w:r>
          </w:p>
        </w:tc>
        <w:tc>
          <w:tcPr>
            <w:tcW w:type="dxa" w:w="6624"/>
            <w:vAlign w:val="center"/>
            <w:tcMar>
              <w:top w:w="85" w:type="dxa"/>
              <w:bottom w:w="85" w:type="dxa"/>
              <w:left w:w="120" w:type="dxa"/>
              <w:right w:w="120" w:type="dxa"/>
            </w:tcMar>
          </w:tcPr>
          <w:p>
            <w:pPr>
              <w:spacing w:before="0" w:after="0" w:line="269" w:lineRule="auto"/>
              <w:jc w:val="left"/>
            </w:pPr>
            <w:r>
              <w:rPr>
                <w:rFonts w:ascii="Calibri" w:hAnsi="Calibri"/>
                <w:color w:val="1E293B"/>
                <w:sz w:val="20"/>
              </w:rPr>
              <w:t>python mf_monthly_micro_smallcap_scanner.py --preset-query compare_months</w:t>
            </w:r>
          </w:p>
        </w:tc>
      </w:tr>
      <w:tr>
        <w:trPr>
          <w:cantSplit/>
        </w:trPr>
        <w:tc>
          <w:tcPr>
            <w:tcW w:type="dxa" w:w="3168"/>
            <w:vAlign w:val="center"/>
            <w:shd w:fill="F8FAFC"/>
            <w:tcMar>
              <w:top w:w="85" w:type="dxa"/>
              <w:bottom w:w="85" w:type="dxa"/>
              <w:left w:w="120" w:type="dxa"/>
              <w:right w:w="120" w:type="dxa"/>
            </w:tcMar>
          </w:tcPr>
          <w:p>
            <w:pPr>
              <w:spacing w:before="0" w:after="0" w:line="269" w:lineRule="auto"/>
              <w:jc w:val="left"/>
            </w:pPr>
            <w:r>
              <w:rPr>
                <w:rFonts w:ascii="Calibri" w:hAnsi="Calibri"/>
                <w:b/>
                <w:color w:val="0F172A"/>
                <w:sz w:val="20"/>
              </w:rPr>
              <w:t>12. Run Any Custom SQL Query Against mf_history.db</w:t>
            </w:r>
          </w:p>
        </w:tc>
        <w:tc>
          <w:tcPr>
            <w:tcW w:type="dxa" w:w="6624"/>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python mf_monthly_micro_smallcap_scanner.py --query "SELECT ticker, company_name, discovery_stage, early_discovery_score, free_float_absorbed_pct, cfo_to_ebitda_3y_pct FROM v_early_microcap_discovery WHERE mcap_cr &lt;= 3000 ORDER BY early_discovery_score DESC;"</w:t>
            </w:r>
          </w:p>
        </w:tc>
      </w:tr>
      <w:tr>
        <w:trPr>
          <w:cantSplit/>
        </w:trPr>
        <w:tc>
          <w:tcPr>
            <w:tcW w:type="dxa" w:w="3168"/>
            <w:vAlign w:val="center"/>
            <w:tcMar>
              <w:top w:w="85" w:type="dxa"/>
              <w:bottom w:w="85" w:type="dxa"/>
              <w:left w:w="120" w:type="dxa"/>
              <w:right w:w="120" w:type="dxa"/>
            </w:tcMar>
          </w:tcPr>
          <w:p>
            <w:pPr>
              <w:spacing w:before="0" w:after="0" w:line="269" w:lineRule="auto"/>
              <w:jc w:val="left"/>
            </w:pPr>
            <w:r>
              <w:rPr>
                <w:rFonts w:ascii="Calibri" w:hAnsi="Calibri"/>
                <w:b/>
                <w:color w:val="0F172A"/>
                <w:sz w:val="20"/>
              </w:rPr>
              <w:t>13. Automate Daily 9:30 AM IST Run via Windows Task Scheduler</w:t>
            </w:r>
          </w:p>
        </w:tc>
        <w:tc>
          <w:tcPr>
            <w:tcW w:type="dxa" w:w="6624"/>
            <w:vAlign w:val="center"/>
            <w:tcMar>
              <w:top w:w="85" w:type="dxa"/>
              <w:bottom w:w="85" w:type="dxa"/>
              <w:left w:w="120" w:type="dxa"/>
              <w:right w:w="120" w:type="dxa"/>
            </w:tcMar>
          </w:tcPr>
          <w:p>
            <w:pPr>
              <w:spacing w:before="0" w:after="0" w:line="269" w:lineRule="auto"/>
              <w:jc w:val="left"/>
            </w:pPr>
            <w:r>
              <w:rPr>
                <w:rFonts w:ascii="Calibri" w:hAnsi="Calibri"/>
                <w:color w:val="1E293B"/>
                <w:sz w:val="20"/>
              </w:rPr>
              <w:t>schtasks /Create /SC DAILY /TN "IndiaMF_MicroSmallCap_Scanner" /TR "python C:\Users\sdgangji\OneDrive\Projects\mf_monthly_micro_smallcap_scanner\mf_monthly_micro_smallcap_scanner.py --month 2026-09" /ST 09:30 /F</w:t>
            </w:r>
          </w:p>
        </w:tc>
      </w:tr>
    </w:tbl>
    <w:p>
      <w:pPr>
        <w:spacing w:before="0" w:after="120"/>
      </w:pPr>
    </w:p>
    <w:p>
      <w:pPr>
        <w:keepNext/>
        <w:spacing w:before="320" w:after="120"/>
        <w:pBdr>
          <w:bottom w:val="single" w:sz="12" w:space="4" w:color="1E3A8A"/>
        </w:pBdr>
      </w:pPr>
      <w:r>
        <w:rPr>
          <w:rFonts w:ascii="Calibri" w:hAnsi="Calibri"/>
          <w:b/>
          <w:color w:val="0F172A"/>
          <w:sz w:val="31"/>
        </w:rPr>
        <w:t>6. Publicly Shared AI Skills, MCP Servers &amp; Open-Source Indian Market Toolkits</w:t>
      </w:r>
    </w:p>
    <w:p>
      <w:pPr>
        <w:spacing w:before="0" w:after="120" w:line="276" w:lineRule="auto"/>
      </w:pPr>
      <w:r>
        <w:rPr>
          <w:rFonts w:ascii="Calibri" w:hAnsi="Calibri"/>
          <w:color w:val="1E293B"/>
          <w:sz w:val="22"/>
        </w:rPr>
        <w:t>You can plug the following publicly shared Model Context Protocol (MCP) servers, Claude/Gemini agent skills, and Python libraries directly into your workflow to automate live NSE/BSE corporate announcements, SAST insider filings, Tijori Finance benchmarks, and Trendlyne institutional data:</w:t>
      </w:r>
    </w:p>
    <w:tbl>
      <w:tblPr>
        <w:tblW w:type="auto" w:w="0"/>
        <w:jc w:val="center"/>
        <w:tblLayout w:type="fixed"/>
        <w:tblLook w:firstColumn="1" w:firstRow="1" w:lastColumn="0" w:lastRow="0" w:noHBand="0" w:noVBand="1" w:val="04A0"/>
        <w:tblBorders>
          <w:top w:val="single" w:sz="6" w:space="0" w:color="CBD5E1"/>
          <w:bottom w:val="single" w:sz="8" w:space="0" w:color="CBD5E1"/>
          <w:insideH w:val="single" w:sz="4" w:space="0" w:color="CBD5E1"/>
          <w:insideV w:val="single" w:sz="4" w:space="0" w:color="CBD5E1"/>
          <w:left w:val="single" w:sz="4" w:space="0" w:color="CBD5E1"/>
          <w:right w:val="single" w:sz="4" w:space="0" w:color="CBD5E1"/>
        </w:tblBorders>
      </w:tblPr>
      <w:tblGrid>
        <w:gridCol w:w="2448"/>
        <w:gridCol w:w="2448"/>
        <w:gridCol w:w="2448"/>
        <w:gridCol w:w="2448"/>
      </w:tblGrid>
      <w:tr>
        <w:trPr>
          <w:tblHeader/>
          <w:cantSplit/>
        </w:trPr>
        <w:tc>
          <w:tcPr>
            <w:tcW w:type="dxa" w:w="2376"/>
            <w:vAlign w:val="center"/>
            <w:shd w:fill="1E293B"/>
            <w:tcMar>
              <w:top w:w="100" w:type="dxa"/>
              <w:bottom w:w="100" w:type="dxa"/>
              <w:left w:w="120" w:type="dxa"/>
              <w:right w:w="120" w:type="dxa"/>
            </w:tcMar>
          </w:tcPr>
          <w:p>
            <w:pPr>
              <w:keepNext/>
              <w:spacing w:before="0" w:after="0"/>
              <w:jc w:val="left"/>
            </w:pPr>
            <w:r>
              <w:rPr>
                <w:rFonts w:ascii="Calibri" w:hAnsi="Calibri"/>
                <w:b/>
                <w:color w:val="FFFFFF"/>
                <w:sz w:val="21"/>
              </w:rPr>
              <w:t>Toolkit / Repository Name</w:t>
            </w:r>
          </w:p>
        </w:tc>
        <w:tc>
          <w:tcPr>
            <w:tcW w:type="dxa" w:w="1296"/>
            <w:vAlign w:val="center"/>
            <w:shd w:fill="1E293B"/>
            <w:tcMar>
              <w:top w:w="100" w:type="dxa"/>
              <w:bottom w:w="100" w:type="dxa"/>
              <w:left w:w="120" w:type="dxa"/>
              <w:right w:w="120" w:type="dxa"/>
            </w:tcMar>
          </w:tcPr>
          <w:p>
            <w:pPr>
              <w:keepNext/>
              <w:spacing w:before="0" w:after="0"/>
              <w:jc w:val="left"/>
            </w:pPr>
            <w:r>
              <w:rPr>
                <w:rFonts w:ascii="Calibri" w:hAnsi="Calibri"/>
                <w:b/>
                <w:color w:val="FFFFFF"/>
                <w:sz w:val="21"/>
              </w:rPr>
              <w:t>Category</w:t>
            </w:r>
          </w:p>
        </w:tc>
        <w:tc>
          <w:tcPr>
            <w:tcW w:type="dxa" w:w="3384"/>
            <w:vAlign w:val="center"/>
            <w:shd w:fill="1E293B"/>
            <w:tcMar>
              <w:top w:w="100" w:type="dxa"/>
              <w:bottom w:w="100" w:type="dxa"/>
              <w:left w:w="120" w:type="dxa"/>
              <w:right w:w="120" w:type="dxa"/>
            </w:tcMar>
          </w:tcPr>
          <w:p>
            <w:pPr>
              <w:keepNext/>
              <w:spacing w:before="0" w:after="0"/>
              <w:jc w:val="left"/>
            </w:pPr>
            <w:r>
              <w:rPr>
                <w:rFonts w:ascii="Calibri" w:hAnsi="Calibri"/>
                <w:b/>
                <w:color w:val="FFFFFF"/>
                <w:sz w:val="21"/>
              </w:rPr>
              <w:t>What It Provides &amp; How It Helps Catch Micro-Caps Early</w:t>
            </w:r>
          </w:p>
        </w:tc>
        <w:tc>
          <w:tcPr>
            <w:tcW w:type="dxa" w:w="2736"/>
            <w:vAlign w:val="center"/>
            <w:shd w:fill="1E293B"/>
            <w:tcMar>
              <w:top w:w="100" w:type="dxa"/>
              <w:bottom w:w="100" w:type="dxa"/>
              <w:left w:w="120" w:type="dxa"/>
              <w:right w:w="120" w:type="dxa"/>
            </w:tcMar>
          </w:tcPr>
          <w:p>
            <w:pPr>
              <w:keepNext/>
              <w:spacing w:before="0" w:after="0"/>
              <w:jc w:val="left"/>
            </w:pPr>
            <w:r>
              <w:rPr>
                <w:rFonts w:ascii="Calibri" w:hAnsi="Calibri"/>
                <w:b/>
                <w:color w:val="FFFFFF"/>
                <w:sz w:val="21"/>
              </w:rPr>
              <w:t>GitHub / Reference URL</w:t>
            </w:r>
          </w:p>
        </w:tc>
      </w:tr>
      <w:tr>
        <w:trPr>
          <w:cantSplit/>
        </w:trPr>
        <w:tc>
          <w:tcPr>
            <w:tcW w:type="dxa" w:w="2376"/>
            <w:vAlign w:val="center"/>
            <w:tcMar>
              <w:top w:w="85" w:type="dxa"/>
              <w:bottom w:w="85" w:type="dxa"/>
              <w:left w:w="120" w:type="dxa"/>
              <w:right w:w="120" w:type="dxa"/>
            </w:tcMar>
          </w:tcPr>
          <w:p>
            <w:pPr>
              <w:spacing w:before="0" w:after="0" w:line="269" w:lineRule="auto"/>
              <w:jc w:val="left"/>
            </w:pPr>
            <w:r>
              <w:rPr>
                <w:rFonts w:ascii="Calibri" w:hAnsi="Calibri"/>
                <w:b/>
                <w:color w:val="0F172A"/>
                <w:sz w:val="20"/>
              </w:rPr>
              <w:t>Tapetide-hq / nse-bse-indian-stock-market-data-mcp</w:t>
            </w:r>
          </w:p>
        </w:tc>
        <w:tc>
          <w:tcPr>
            <w:tcW w:type="dxa" w:w="1296"/>
            <w:vAlign w:val="center"/>
            <w:tcMar>
              <w:top w:w="85" w:type="dxa"/>
              <w:bottom w:w="85" w:type="dxa"/>
              <w:left w:w="120" w:type="dxa"/>
              <w:right w:w="120" w:type="dxa"/>
            </w:tcMar>
          </w:tcPr>
          <w:p>
            <w:pPr>
              <w:spacing w:before="0" w:after="0" w:line="269" w:lineRule="auto"/>
              <w:jc w:val="left"/>
            </w:pPr>
            <w:r>
              <w:rPr>
                <w:rFonts w:ascii="Calibri" w:hAnsi="Calibri"/>
                <w:color w:val="1E293B"/>
                <w:sz w:val="20"/>
              </w:rPr>
              <w:t>MCP Server</w:t>
            </w:r>
          </w:p>
        </w:tc>
        <w:tc>
          <w:tcPr>
            <w:tcW w:type="dxa" w:w="3384"/>
            <w:vAlign w:val="center"/>
            <w:tcMar>
              <w:top w:w="85" w:type="dxa"/>
              <w:bottom w:w="85" w:type="dxa"/>
              <w:left w:w="120" w:type="dxa"/>
              <w:right w:w="120" w:type="dxa"/>
            </w:tcMar>
          </w:tcPr>
          <w:p>
            <w:pPr>
              <w:spacing w:before="0" w:after="0" w:line="269" w:lineRule="auto"/>
              <w:jc w:val="left"/>
            </w:pPr>
            <w:r>
              <w:rPr>
                <w:rFonts w:ascii="Calibri" w:hAnsi="Calibri"/>
                <w:color w:val="1E293B"/>
                <w:sz w:val="20"/>
              </w:rPr>
              <w:t>Live NSE &amp; BSE corporate announcements, SAST Reg 7(2) insider trading disclosures, bulk/block deals, and board meeting outcomes.</w:t>
            </w:r>
          </w:p>
        </w:tc>
        <w:tc>
          <w:tcPr>
            <w:tcW w:type="dxa" w:w="2736"/>
            <w:vAlign w:val="center"/>
            <w:tcMar>
              <w:top w:w="85" w:type="dxa"/>
              <w:bottom w:w="85" w:type="dxa"/>
              <w:left w:w="120" w:type="dxa"/>
              <w:right w:w="120" w:type="dxa"/>
            </w:tcMar>
          </w:tcPr>
          <w:p>
            <w:pPr>
              <w:spacing w:before="0" w:after="0" w:line="269" w:lineRule="auto"/>
              <w:jc w:val="left"/>
            </w:pPr>
            <w:r>
              <w:rPr>
                <w:rFonts w:ascii="Calibri" w:hAnsi="Calibri"/>
                <w:color w:val="1E293B"/>
                <w:sz w:val="20"/>
              </w:rPr>
              <w:t>https://github.com/Tapetide-hq/nse-bse-indian-stock-market-data-mcp</w:t>
            </w:r>
          </w:p>
        </w:tc>
      </w:tr>
      <w:tr>
        <w:trPr>
          <w:cantSplit/>
        </w:trPr>
        <w:tc>
          <w:tcPr>
            <w:tcW w:type="dxa" w:w="2376"/>
            <w:vAlign w:val="center"/>
            <w:shd w:fill="F8FAFC"/>
            <w:tcMar>
              <w:top w:w="85" w:type="dxa"/>
              <w:bottom w:w="85" w:type="dxa"/>
              <w:left w:w="120" w:type="dxa"/>
              <w:right w:w="120" w:type="dxa"/>
            </w:tcMar>
          </w:tcPr>
          <w:p>
            <w:pPr>
              <w:spacing w:before="0" w:after="0" w:line="269" w:lineRule="auto"/>
              <w:jc w:val="left"/>
            </w:pPr>
            <w:r>
              <w:rPr>
                <w:rFonts w:ascii="Calibri" w:hAnsi="Calibri"/>
                <w:b/>
                <w:color w:val="0F172A"/>
                <w:sz w:val="20"/>
              </w:rPr>
              <w:t>LaZZy0v0 / tijori-finance-mcp</w:t>
            </w:r>
          </w:p>
        </w:tc>
        <w:tc>
          <w:tcPr>
            <w:tcW w:type="dxa" w:w="1296"/>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MCP Server</w:t>
            </w:r>
          </w:p>
        </w:tc>
        <w:tc>
          <w:tcPr>
            <w:tcW w:type="dxa" w:w="3384"/>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Queries Tijori Finance operational metrics, capacity utilization, order book data, market share, and raw material trends for Indian small/micro-caps.</w:t>
            </w:r>
          </w:p>
        </w:tc>
        <w:tc>
          <w:tcPr>
            <w:tcW w:type="dxa" w:w="2736"/>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https://github.com/LaZZy0v0/tijori-finance-mcp</w:t>
            </w:r>
          </w:p>
        </w:tc>
      </w:tr>
      <w:tr>
        <w:trPr>
          <w:cantSplit/>
        </w:trPr>
        <w:tc>
          <w:tcPr>
            <w:tcW w:type="dxa" w:w="2376"/>
            <w:vAlign w:val="center"/>
            <w:tcMar>
              <w:top w:w="85" w:type="dxa"/>
              <w:bottom w:w="85" w:type="dxa"/>
              <w:left w:w="120" w:type="dxa"/>
              <w:right w:w="120" w:type="dxa"/>
            </w:tcMar>
          </w:tcPr>
          <w:p>
            <w:pPr>
              <w:spacing w:before="0" w:after="0" w:line="269" w:lineRule="auto"/>
              <w:jc w:val="left"/>
            </w:pPr>
            <w:r>
              <w:rPr>
                <w:rFonts w:ascii="Calibri" w:hAnsi="Calibri"/>
                <w:b/>
                <w:color w:val="0F172A"/>
                <w:sz w:val="20"/>
              </w:rPr>
              <w:t>vishalmdi / india-equity-report-skill</w:t>
            </w:r>
          </w:p>
        </w:tc>
        <w:tc>
          <w:tcPr>
            <w:tcW w:type="dxa" w:w="1296"/>
            <w:vAlign w:val="center"/>
            <w:tcMar>
              <w:top w:w="85" w:type="dxa"/>
              <w:bottom w:w="85" w:type="dxa"/>
              <w:left w:w="120" w:type="dxa"/>
              <w:right w:w="120" w:type="dxa"/>
            </w:tcMar>
          </w:tcPr>
          <w:p>
            <w:pPr>
              <w:spacing w:before="0" w:after="0" w:line="269" w:lineRule="auto"/>
              <w:jc w:val="left"/>
            </w:pPr>
            <w:r>
              <w:rPr>
                <w:rFonts w:ascii="Calibri" w:hAnsi="Calibri"/>
                <w:color w:val="1E293B"/>
                <w:sz w:val="20"/>
              </w:rPr>
              <w:t>Agent Skill</w:t>
            </w:r>
          </w:p>
        </w:tc>
        <w:tc>
          <w:tcPr>
            <w:tcW w:type="dxa" w:w="3384"/>
            <w:vAlign w:val="center"/>
            <w:tcMar>
              <w:top w:w="85" w:type="dxa"/>
              <w:bottom w:w="85" w:type="dxa"/>
              <w:left w:w="120" w:type="dxa"/>
              <w:right w:w="120" w:type="dxa"/>
            </w:tcMar>
          </w:tcPr>
          <w:p>
            <w:pPr>
              <w:spacing w:before="0" w:after="0" w:line="269" w:lineRule="auto"/>
              <w:jc w:val="left"/>
            </w:pPr>
            <w:r>
              <w:rPr>
                <w:rFonts w:ascii="Calibri" w:hAnsi="Calibri"/>
                <w:color w:val="1E293B"/>
                <w:sz w:val="20"/>
              </w:rPr>
              <w:t>Structured Indian forensic equity research skill covering Screener.in ratios, working capital cycle checks, and related-party red flags.</w:t>
            </w:r>
          </w:p>
        </w:tc>
        <w:tc>
          <w:tcPr>
            <w:tcW w:type="dxa" w:w="2736"/>
            <w:vAlign w:val="center"/>
            <w:tcMar>
              <w:top w:w="85" w:type="dxa"/>
              <w:bottom w:w="85" w:type="dxa"/>
              <w:left w:w="120" w:type="dxa"/>
              <w:right w:w="120" w:type="dxa"/>
            </w:tcMar>
          </w:tcPr>
          <w:p>
            <w:pPr>
              <w:spacing w:before="0" w:after="0" w:line="269" w:lineRule="auto"/>
              <w:jc w:val="left"/>
            </w:pPr>
            <w:r>
              <w:rPr>
                <w:rFonts w:ascii="Calibri" w:hAnsi="Calibri"/>
                <w:color w:val="1E293B"/>
                <w:sz w:val="20"/>
              </w:rPr>
              <w:t>https://github.com/vishalmdi/india-equity-report-skill</w:t>
            </w:r>
          </w:p>
        </w:tc>
      </w:tr>
      <w:tr>
        <w:trPr>
          <w:cantSplit/>
        </w:trPr>
        <w:tc>
          <w:tcPr>
            <w:tcW w:type="dxa" w:w="2376"/>
            <w:vAlign w:val="center"/>
            <w:shd w:fill="F8FAFC"/>
            <w:tcMar>
              <w:top w:w="85" w:type="dxa"/>
              <w:bottom w:w="85" w:type="dxa"/>
              <w:left w:w="120" w:type="dxa"/>
              <w:right w:w="120" w:type="dxa"/>
            </w:tcMar>
          </w:tcPr>
          <w:p>
            <w:pPr>
              <w:spacing w:before="0" w:after="0" w:line="269" w:lineRule="auto"/>
              <w:jc w:val="left"/>
            </w:pPr>
            <w:r>
              <w:rPr>
                <w:rFonts w:ascii="Calibri" w:hAnsi="Calibri"/>
                <w:b/>
                <w:color w:val="0F172A"/>
                <w:sz w:val="20"/>
              </w:rPr>
              <w:t>Bhala-Srinivash / nse-trading-skills</w:t>
            </w:r>
          </w:p>
        </w:tc>
        <w:tc>
          <w:tcPr>
            <w:tcW w:type="dxa" w:w="1296"/>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Agent Skill</w:t>
            </w:r>
          </w:p>
        </w:tc>
        <w:tc>
          <w:tcPr>
            <w:tcW w:type="dxa" w:w="3384"/>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Delivery volume spike detection, relative strength vs Nifty Smallcap 250 / Microcap 250, and pocket-pivot breakout scanning.</w:t>
            </w:r>
          </w:p>
        </w:tc>
        <w:tc>
          <w:tcPr>
            <w:tcW w:type="dxa" w:w="2736"/>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https://github.com/Bhala-Srinivash/nse-trading-skills</w:t>
            </w:r>
          </w:p>
        </w:tc>
      </w:tr>
      <w:tr>
        <w:trPr>
          <w:cantSplit/>
        </w:trPr>
        <w:tc>
          <w:tcPr>
            <w:tcW w:type="dxa" w:w="2376"/>
            <w:vAlign w:val="center"/>
            <w:tcMar>
              <w:top w:w="85" w:type="dxa"/>
              <w:bottom w:w="85" w:type="dxa"/>
              <w:left w:w="120" w:type="dxa"/>
              <w:right w:w="120" w:type="dxa"/>
            </w:tcMar>
          </w:tcPr>
          <w:p>
            <w:pPr>
              <w:spacing w:before="0" w:after="0" w:line="269" w:lineRule="auto"/>
              <w:jc w:val="left"/>
            </w:pPr>
            <w:r>
              <w:rPr>
                <w:rFonts w:ascii="Calibri" w:hAnsi="Calibri"/>
                <w:b/>
                <w:color w:val="0F172A"/>
                <w:sz w:val="20"/>
              </w:rPr>
              <w:t>BhanuprakashAvadutha / trendlyne-scraper-toolkit</w:t>
            </w:r>
          </w:p>
        </w:tc>
        <w:tc>
          <w:tcPr>
            <w:tcW w:type="dxa" w:w="1296"/>
            <w:vAlign w:val="center"/>
            <w:tcMar>
              <w:top w:w="85" w:type="dxa"/>
              <w:bottom w:w="85" w:type="dxa"/>
              <w:left w:w="120" w:type="dxa"/>
              <w:right w:w="120" w:type="dxa"/>
            </w:tcMar>
          </w:tcPr>
          <w:p>
            <w:pPr>
              <w:spacing w:before="0" w:after="0" w:line="269" w:lineRule="auto"/>
              <w:jc w:val="left"/>
            </w:pPr>
            <w:r>
              <w:rPr>
                <w:rFonts w:ascii="Calibri" w:hAnsi="Calibri"/>
                <w:color w:val="1E293B"/>
                <w:sz w:val="20"/>
              </w:rPr>
              <w:t>Python Toolkit</w:t>
            </w:r>
          </w:p>
        </w:tc>
        <w:tc>
          <w:tcPr>
            <w:tcW w:type="dxa" w:w="3384"/>
            <w:vAlign w:val="center"/>
            <w:tcMar>
              <w:top w:w="85" w:type="dxa"/>
              <w:bottom w:w="85" w:type="dxa"/>
              <w:left w:w="120" w:type="dxa"/>
              <w:right w:w="120" w:type="dxa"/>
            </w:tcMar>
          </w:tcPr>
          <w:p>
            <w:pPr>
              <w:spacing w:before="0" w:after="0" w:line="269" w:lineRule="auto"/>
              <w:jc w:val="left"/>
            </w:pPr>
            <w:r>
              <w:rPr>
                <w:rFonts w:ascii="Calibri" w:hAnsi="Calibri"/>
                <w:color w:val="1E293B"/>
                <w:sz w:val="20"/>
              </w:rPr>
              <w:t>Extracts Trendlyne Superstar shareholdings (AIFs, PMS, marquee HNI investors) and monthly mutual fund scheme additions/exits.</w:t>
            </w:r>
          </w:p>
        </w:tc>
        <w:tc>
          <w:tcPr>
            <w:tcW w:type="dxa" w:w="2736"/>
            <w:vAlign w:val="center"/>
            <w:tcMar>
              <w:top w:w="85" w:type="dxa"/>
              <w:bottom w:w="85" w:type="dxa"/>
              <w:left w:w="120" w:type="dxa"/>
              <w:right w:w="120" w:type="dxa"/>
            </w:tcMar>
          </w:tcPr>
          <w:p>
            <w:pPr>
              <w:spacing w:before="0" w:after="0" w:line="269" w:lineRule="auto"/>
              <w:jc w:val="left"/>
            </w:pPr>
            <w:r>
              <w:rPr>
                <w:rFonts w:ascii="Calibri" w:hAnsi="Calibri"/>
                <w:color w:val="1E293B"/>
                <w:sz w:val="20"/>
              </w:rPr>
              <w:t>https://github.com/BhanuprakashAvadutha/trendlyne-scraper-toolkit</w:t>
            </w:r>
          </w:p>
        </w:tc>
      </w:tr>
      <w:tr>
        <w:trPr>
          <w:cantSplit/>
        </w:trPr>
        <w:tc>
          <w:tcPr>
            <w:tcW w:type="dxa" w:w="2376"/>
            <w:vAlign w:val="center"/>
            <w:shd w:fill="F8FAFC"/>
            <w:tcMar>
              <w:top w:w="85" w:type="dxa"/>
              <w:bottom w:w="85" w:type="dxa"/>
              <w:left w:w="120" w:type="dxa"/>
              <w:right w:w="120" w:type="dxa"/>
            </w:tcMar>
          </w:tcPr>
          <w:p>
            <w:pPr>
              <w:spacing w:before="0" w:after="0" w:line="269" w:lineRule="auto"/>
              <w:jc w:val="left"/>
            </w:pPr>
            <w:r>
              <w:rPr>
                <w:rFonts w:ascii="Calibri" w:hAnsi="Calibri"/>
                <w:b/>
                <w:color w:val="0F172A"/>
                <w:sz w:val="20"/>
              </w:rPr>
              <w:t>pkjmesra / PKScreener</w:t>
            </w:r>
          </w:p>
        </w:tc>
        <w:tc>
          <w:tcPr>
            <w:tcW w:type="dxa" w:w="1296"/>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Python Scanner</w:t>
            </w:r>
          </w:p>
        </w:tc>
        <w:tc>
          <w:tcPr>
            <w:tcW w:type="dxa" w:w="3384"/>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Open-source Indian stock scanner for high delivery volume breakouts, narrow-range consolidation, and inside-bar micro-cap setups.</w:t>
            </w:r>
          </w:p>
        </w:tc>
        <w:tc>
          <w:tcPr>
            <w:tcW w:type="dxa" w:w="2736"/>
            <w:vAlign w:val="center"/>
            <w:shd w:fill="F8FAFC"/>
            <w:tcMar>
              <w:top w:w="85" w:type="dxa"/>
              <w:bottom w:w="85" w:type="dxa"/>
              <w:left w:w="120" w:type="dxa"/>
              <w:right w:w="120" w:type="dxa"/>
            </w:tcMar>
          </w:tcPr>
          <w:p>
            <w:pPr>
              <w:spacing w:before="0" w:after="0" w:line="269" w:lineRule="auto"/>
              <w:jc w:val="left"/>
            </w:pPr>
            <w:r>
              <w:rPr>
                <w:rFonts w:ascii="Calibri" w:hAnsi="Calibri"/>
                <w:color w:val="1E293B"/>
                <w:sz w:val="20"/>
              </w:rPr>
              <w:t>https://github.com/pkjmesra/PKScreener</w:t>
            </w:r>
          </w:p>
        </w:tc>
      </w:tr>
      <w:tr>
        <w:trPr>
          <w:cantSplit/>
        </w:trPr>
        <w:tc>
          <w:tcPr>
            <w:tcW w:type="dxa" w:w="2376"/>
            <w:vAlign w:val="center"/>
            <w:tcMar>
              <w:top w:w="85" w:type="dxa"/>
              <w:bottom w:w="85" w:type="dxa"/>
              <w:left w:w="120" w:type="dxa"/>
              <w:right w:w="120" w:type="dxa"/>
            </w:tcMar>
          </w:tcPr>
          <w:p>
            <w:pPr>
              <w:spacing w:before="0" w:after="0" w:line="269" w:lineRule="auto"/>
              <w:jc w:val="left"/>
            </w:pPr>
            <w:r>
              <w:rPr>
                <w:rFonts w:ascii="Calibri" w:hAnsi="Calibri"/>
                <w:b/>
                <w:color w:val="0F172A"/>
                <w:sz w:val="20"/>
              </w:rPr>
              <w:t>aeron7 / nsepython</w:t>
            </w:r>
          </w:p>
        </w:tc>
        <w:tc>
          <w:tcPr>
            <w:tcW w:type="dxa" w:w="1296"/>
            <w:vAlign w:val="center"/>
            <w:tcMar>
              <w:top w:w="85" w:type="dxa"/>
              <w:bottom w:w="85" w:type="dxa"/>
              <w:left w:w="120" w:type="dxa"/>
              <w:right w:w="120" w:type="dxa"/>
            </w:tcMar>
          </w:tcPr>
          <w:p>
            <w:pPr>
              <w:spacing w:before="0" w:after="0" w:line="269" w:lineRule="auto"/>
              <w:jc w:val="left"/>
            </w:pPr>
            <w:r>
              <w:rPr>
                <w:rFonts w:ascii="Calibri" w:hAnsi="Calibri"/>
                <w:color w:val="1E293B"/>
                <w:sz w:val="20"/>
              </w:rPr>
              <w:t>Python Library</w:t>
            </w:r>
          </w:p>
        </w:tc>
        <w:tc>
          <w:tcPr>
            <w:tcW w:type="dxa" w:w="3384"/>
            <w:vAlign w:val="center"/>
            <w:tcMar>
              <w:top w:w="85" w:type="dxa"/>
              <w:bottom w:w="85" w:type="dxa"/>
              <w:left w:w="120" w:type="dxa"/>
              <w:right w:w="120" w:type="dxa"/>
            </w:tcMar>
          </w:tcPr>
          <w:p>
            <w:pPr>
              <w:spacing w:before="0" w:after="0" w:line="269" w:lineRule="auto"/>
              <w:jc w:val="left"/>
            </w:pPr>
            <w:r>
              <w:rPr>
                <w:rFonts w:ascii="Calibri" w:hAnsi="Calibri"/>
                <w:color w:val="1E293B"/>
                <w:sz w:val="20"/>
              </w:rPr>
              <w:t>Lightweight Python wrapper for fetching official NSE bhavcopies, corporate actions, shareholding patterns, and bulk deals.</w:t>
            </w:r>
          </w:p>
        </w:tc>
        <w:tc>
          <w:tcPr>
            <w:tcW w:type="dxa" w:w="2736"/>
            <w:vAlign w:val="center"/>
            <w:tcMar>
              <w:top w:w="85" w:type="dxa"/>
              <w:bottom w:w="85" w:type="dxa"/>
              <w:left w:w="120" w:type="dxa"/>
              <w:right w:w="120" w:type="dxa"/>
            </w:tcMar>
          </w:tcPr>
          <w:p>
            <w:pPr>
              <w:spacing w:before="0" w:after="0" w:line="269" w:lineRule="auto"/>
              <w:jc w:val="left"/>
            </w:pPr>
            <w:r>
              <w:rPr>
                <w:rFonts w:ascii="Calibri" w:hAnsi="Calibri"/>
                <w:color w:val="1E293B"/>
                <w:sz w:val="20"/>
              </w:rPr>
              <w:t>https://github.com/aeron7/nsepython</w:t>
            </w:r>
          </w:p>
        </w:tc>
      </w:tr>
    </w:tbl>
    <w:p>
      <w:pPr>
        <w:spacing w:before="0" w:after="120"/>
      </w:pPr>
    </w:p>
    <w:p>
      <w:pPr>
        <w:keepNext/>
        <w:spacing w:before="320" w:after="120"/>
        <w:pBdr>
          <w:bottom w:val="single" w:sz="12" w:space="4" w:color="1E3A8A"/>
        </w:pBdr>
      </w:pPr>
      <w:r>
        <w:rPr>
          <w:rFonts w:ascii="Calibri" w:hAnsi="Calibri"/>
          <w:b/>
          <w:color w:val="0F172A"/>
          <w:sz w:val="31"/>
        </w:rPr>
        <w:t>7. Hosting Your Dashboard Privately Behind Your Google Login</w:t>
      </w:r>
    </w:p>
    <w:p>
      <w:pPr>
        <w:spacing w:before="0" w:after="120" w:line="276" w:lineRule="auto"/>
      </w:pPr>
      <w:r>
        <w:rPr>
          <w:rFonts w:ascii="Calibri" w:hAnsi="Calibri"/>
          <w:color w:val="1E293B"/>
          <w:sz w:val="22"/>
        </w:rPr>
        <w:t>If you want to access india_mf_micro_smallcap_sep2026_dashboard.html from your phone or laptop anywhere in the world while keeping it 100% locked behind your personal Google account (Sign in with Google), use either Option 1 (fastest, 5 minutes) or Option 2 (automated Git workflow):</w:t>
      </w:r>
    </w:p>
    <w:p>
      <w:pPr>
        <w:keepNext/>
        <w:spacing w:before="240" w:after="80"/>
      </w:pPr>
      <w:r>
        <w:rPr>
          <w:rFonts w:ascii="Calibri" w:hAnsi="Calibri"/>
          <w:b/>
          <w:color w:val="1E3A8A"/>
          <w:sz w:val="26"/>
        </w:rPr>
        <w:t>7.1 Option 1: Google Apps Script Private Web App (5 Minutes, Free, Locked to Only You)</w:t>
      </w:r>
    </w:p>
    <w:p>
      <w:pPr>
        <w:pStyle w:val="ListBullet"/>
        <w:spacing w:before="0" w:after="80" w:line="276" w:lineRule="auto"/>
      </w:pPr>
      <w:r>
        <w:rPr>
          <w:rFonts w:ascii="Calibri" w:hAnsi="Calibri"/>
          <w:b/>
          <w:color w:val="0F172A"/>
          <w:sz w:val="22"/>
        </w:rPr>
        <w:t xml:space="preserve">Step 1: </w:t>
      </w:r>
      <w:r>
        <w:rPr>
          <w:rFonts w:ascii="Calibri" w:hAnsi="Calibri"/>
          <w:color w:val="1E293B"/>
          <w:sz w:val="22"/>
        </w:rPr>
        <w:t>Go to https://script.google.com and click New Project.</w:t>
      </w:r>
    </w:p>
    <w:p>
      <w:pPr>
        <w:pStyle w:val="ListBullet"/>
        <w:spacing w:before="0" w:after="80" w:line="276" w:lineRule="auto"/>
      </w:pPr>
      <w:r>
        <w:rPr>
          <w:rFonts w:ascii="Calibri" w:hAnsi="Calibri"/>
          <w:b/>
          <w:color w:val="0F172A"/>
          <w:sz w:val="22"/>
        </w:rPr>
        <w:t xml:space="preserve">Step 2: </w:t>
      </w:r>
      <w:r>
        <w:rPr>
          <w:rFonts w:ascii="Calibri" w:hAnsi="Calibri"/>
          <w:color w:val="1E293B"/>
          <w:sz w:val="22"/>
        </w:rPr>
        <w:t>In the left sidebar, click the + icon next to Files -&gt; choose HTML -&gt; name the file index (it creates index.html). Paste the entire contents of india_mf_micro_smallcap_sep2026_dashboard.html into index.html.</w:t>
      </w:r>
    </w:p>
    <w:p>
      <w:pPr>
        <w:pStyle w:val="ListBullet"/>
        <w:spacing w:before="0" w:after="80" w:line="276" w:lineRule="auto"/>
      </w:pPr>
      <w:r>
        <w:rPr>
          <w:rFonts w:ascii="Calibri" w:hAnsi="Calibri"/>
          <w:b/>
          <w:color w:val="0F172A"/>
          <w:sz w:val="22"/>
        </w:rPr>
        <w:t xml:space="preserve">Step 3: </w:t>
      </w:r>
      <w:r>
        <w:rPr>
          <w:rFonts w:ascii="Calibri" w:hAnsi="Calibri"/>
          <w:color w:val="1E293B"/>
          <w:sz w:val="22"/>
        </w:rPr>
        <w:t>Click on Code.gs in the left sidebar and replace its contents with the 6-line script below:</w:t>
      </w:r>
    </w:p>
    <w:tbl>
      <w:tblPr>
        <w:tblW w:type="auto" w:w="0"/>
        <w:jc w:val="center"/>
        <w:tblLayout w:type="fixed"/>
        <w:tblLook w:firstColumn="1" w:firstRow="1" w:lastColumn="0" w:lastRow="0" w:noHBand="0" w:noVBand="1" w:val="04A0"/>
      </w:tblPr>
      <w:tblGrid>
        <w:gridCol w:w="9792"/>
      </w:tblGrid>
      <w:tr>
        <w:tc>
          <w:tcPr>
            <w:tcW w:type="dxa" w:w="9792"/>
            <w:shd w:fill="F8FAFC"/>
            <w:tcMar>
              <w:top w:w="120" w:type="dxa"/>
              <w:bottom w:w="120" w:type="dxa"/>
              <w:left w:w="180" w:type="dxa"/>
              <w:right w:w="160" w:type="dxa"/>
            </w:tcMar>
            <w:tcBorders>
              <w:left w:val="single" w:sz="24" w:space="0" w:color="94A3B8"/>
              <w:top w:val="single" w:sz="4" w:space="0" w:color="CBD5E1"/>
              <w:right w:val="single" w:sz="4" w:space="0" w:color="CBD5E1"/>
              <w:bottom w:val="single" w:sz="4" w:space="0" w:color="CBD5E1"/>
            </w:tcBorders>
          </w:tcPr>
          <w:p>
            <w:pPr>
              <w:spacing w:before="0" w:after="80"/>
            </w:pPr>
            <w:r>
              <w:rPr>
                <w:rFonts w:ascii="Calibri" w:hAnsi="Calibri"/>
                <w:b/>
                <w:color w:val="0F172A"/>
                <w:sz w:val="22"/>
              </w:rPr>
              <w:t>Code.gs for Google Apps Script Web App</w:t>
            </w:r>
          </w:p>
          <w:p>
            <w:pPr>
              <w:spacing w:before="0" w:after="40" w:line="269" w:lineRule="auto"/>
            </w:pPr>
            <w:r>
              <w:rPr>
                <w:rFonts w:ascii="Consolas" w:hAnsi="Consolas"/>
                <w:color w:val="1E293B"/>
                <w:sz w:val="21"/>
              </w:rPr>
              <w:t>function doGet(e) {</w:t>
            </w:r>
          </w:p>
          <w:p>
            <w:pPr>
              <w:spacing w:before="0" w:after="40" w:line="269" w:lineRule="auto"/>
            </w:pPr>
            <w:r>
              <w:rPr>
                <w:rFonts w:ascii="Consolas" w:hAnsi="Consolas"/>
                <w:color w:val="1E293B"/>
                <w:sz w:val="21"/>
              </w:rPr>
              <w:t xml:space="preserve">  return HtmlService.createHtmlOutputFromFile('index')</w:t>
            </w:r>
          </w:p>
          <w:p>
            <w:pPr>
              <w:spacing w:before="0" w:after="40" w:line="269" w:lineRule="auto"/>
            </w:pPr>
            <w:r>
              <w:rPr>
                <w:rFonts w:ascii="Consolas" w:hAnsi="Consolas"/>
                <w:color w:val="1E293B"/>
                <w:sz w:val="21"/>
              </w:rPr>
              <w:t xml:space="preserve">    .setTitle('India MF Micro &amp; Small-Cap Early Discovery Radar v4.0')</w:t>
            </w:r>
          </w:p>
          <w:p>
            <w:pPr>
              <w:spacing w:before="0" w:after="40" w:line="269" w:lineRule="auto"/>
            </w:pPr>
            <w:r>
              <w:rPr>
                <w:rFonts w:ascii="Consolas" w:hAnsi="Consolas"/>
                <w:color w:val="1E293B"/>
                <w:sz w:val="21"/>
              </w:rPr>
              <w:t xml:space="preserve">    .setXFrameOptionsMode(HtmlService.XFrameOptionsMode.ALLOWALL)</w:t>
            </w:r>
          </w:p>
          <w:p>
            <w:pPr>
              <w:spacing w:before="0" w:after="40" w:line="269" w:lineRule="auto"/>
            </w:pPr>
            <w:r>
              <w:rPr>
                <w:rFonts w:ascii="Consolas" w:hAnsi="Consolas"/>
                <w:color w:val="1E293B"/>
                <w:sz w:val="21"/>
              </w:rPr>
              <w:t xml:space="preserve">    .addMetaTag('viewport', 'width=device-width, initial-scale=1');</w:t>
            </w:r>
          </w:p>
          <w:p>
            <w:pPr>
              <w:spacing w:before="0" w:after="0" w:line="269" w:lineRule="auto"/>
            </w:pPr>
            <w:r>
              <w:rPr>
                <w:rFonts w:ascii="Consolas" w:hAnsi="Consolas"/>
                <w:color w:val="1E293B"/>
                <w:sz w:val="21"/>
              </w:rPr>
              <w:t>}</w:t>
            </w:r>
          </w:p>
        </w:tc>
      </w:tr>
    </w:tbl>
    <w:p>
      <w:pPr>
        <w:spacing w:before="0" w:after="80"/>
      </w:pPr>
    </w:p>
    <w:p>
      <w:pPr>
        <w:pStyle w:val="ListBullet"/>
        <w:spacing w:before="0" w:after="80" w:line="276" w:lineRule="auto"/>
      </w:pPr>
      <w:r>
        <w:rPr>
          <w:rFonts w:ascii="Calibri" w:hAnsi="Calibri"/>
          <w:b/>
          <w:color w:val="0F172A"/>
          <w:sz w:val="22"/>
        </w:rPr>
        <w:t xml:space="preserve">Step 4: </w:t>
      </w:r>
      <w:r>
        <w:rPr>
          <w:rFonts w:ascii="Calibri" w:hAnsi="Calibri"/>
          <w:color w:val="1E293B"/>
          <w:sz w:val="22"/>
        </w:rPr>
        <w:t>Click Deploy (top right) -&gt; New deployment -&gt; select type Web app.</w:t>
      </w:r>
    </w:p>
    <w:p>
      <w:pPr>
        <w:pStyle w:val="ListBullet"/>
        <w:spacing w:before="0" w:after="80" w:line="276" w:lineRule="auto"/>
      </w:pPr>
      <w:r>
        <w:rPr>
          <w:rFonts w:ascii="Calibri" w:hAnsi="Calibri"/>
          <w:b/>
          <w:color w:val="0F172A"/>
          <w:sz w:val="22"/>
        </w:rPr>
        <w:t xml:space="preserve">Step 5: </w:t>
      </w:r>
      <w:r>
        <w:rPr>
          <w:rFonts w:ascii="Calibri" w:hAnsi="Calibri"/>
          <w:color w:val="1E293B"/>
          <w:sz w:val="22"/>
        </w:rPr>
        <w:t>Set 'Execute as' to 'Me (your Gmail address)' and set 'Who has access' to 'Only myself'. Click Deploy.</w:t>
      </w:r>
    </w:p>
    <w:p>
      <w:pPr>
        <w:pStyle w:val="ListBullet"/>
        <w:spacing w:before="0" w:after="80" w:line="276" w:lineRule="auto"/>
      </w:pPr>
      <w:r>
        <w:rPr>
          <w:rFonts w:ascii="Calibri" w:hAnsi="Calibri"/>
          <w:b/>
          <w:color w:val="0F172A"/>
          <w:sz w:val="22"/>
        </w:rPr>
        <w:t xml:space="preserve">Step 6: </w:t>
      </w:r>
      <w:r>
        <w:rPr>
          <w:rFonts w:ascii="Calibri" w:hAnsi="Calibri"/>
          <w:color w:val="1E293B"/>
          <w:sz w:val="22"/>
        </w:rPr>
        <w:t>Copy the generated https://script.google.com/macros/s/.../exec URL and bookmark it on your phone and desktop. Anyone else visiting that URL is blocked by Google's authentication wall.</w:t>
      </w:r>
    </w:p>
    <w:p>
      <w:pPr>
        <w:keepNext/>
        <w:spacing w:before="240" w:after="80"/>
      </w:pPr>
      <w:r>
        <w:rPr>
          <w:rFonts w:ascii="Calibri" w:hAnsi="Calibri"/>
          <w:b/>
          <w:color w:val="1E3A8A"/>
          <w:sz w:val="26"/>
        </w:rPr>
        <w:t>7.2 Option 2: Private GitHub Repo + Cloudflare Pages + Cloudflare Zero Trust Google OAuth</w:t>
      </w:r>
    </w:p>
    <w:p>
      <w:pPr>
        <w:pStyle w:val="ListBullet"/>
        <w:spacing w:before="0" w:after="80" w:line="276" w:lineRule="auto"/>
      </w:pPr>
      <w:r>
        <w:rPr>
          <w:rFonts w:ascii="Calibri" w:hAnsi="Calibri"/>
          <w:b/>
          <w:color w:val="0F172A"/>
          <w:sz w:val="22"/>
        </w:rPr>
        <w:t xml:space="preserve">Step 1: </w:t>
      </w:r>
      <w:r>
        <w:rPr>
          <w:rFonts w:ascii="Calibri" w:hAnsi="Calibri"/>
          <w:color w:val="1E293B"/>
          <w:sz w:val="22"/>
        </w:rPr>
        <w:t>Push your C:\Users\sdgangji\OneDrive\Projects\mf_monthly_micro_smallcap_scanner\ folder to a private GitHub repository.</w:t>
      </w:r>
    </w:p>
    <w:p>
      <w:pPr>
        <w:pStyle w:val="ListBullet"/>
        <w:spacing w:before="0" w:after="80" w:line="276" w:lineRule="auto"/>
      </w:pPr>
      <w:r>
        <w:rPr>
          <w:rFonts w:ascii="Calibri" w:hAnsi="Calibri"/>
          <w:b/>
          <w:color w:val="0F172A"/>
          <w:sz w:val="22"/>
        </w:rPr>
        <w:t xml:space="preserve">Step 2: </w:t>
      </w:r>
      <w:r>
        <w:rPr>
          <w:rFonts w:ascii="Calibri" w:hAnsi="Calibri"/>
          <w:color w:val="1E293B"/>
          <w:sz w:val="22"/>
        </w:rPr>
        <w:t>In Cloudflare Dashboard -&gt; Workers &amp; Pages -&gt; Create Application -&gt; Pages -&gt; Connect to Git, select your private repo and deploy.</w:t>
      </w:r>
    </w:p>
    <w:p>
      <w:pPr>
        <w:pStyle w:val="ListBullet"/>
        <w:spacing w:before="0" w:after="80" w:line="276" w:lineRule="auto"/>
      </w:pPr>
      <w:r>
        <w:rPr>
          <w:rFonts w:ascii="Calibri" w:hAnsi="Calibri"/>
          <w:b/>
          <w:color w:val="0F172A"/>
          <w:sz w:val="22"/>
        </w:rPr>
        <w:t xml:space="preserve">Step 3: </w:t>
      </w:r>
      <w:r>
        <w:rPr>
          <w:rFonts w:ascii="Calibri" w:hAnsi="Calibri"/>
          <w:color w:val="1E293B"/>
          <w:sz w:val="22"/>
        </w:rPr>
        <w:t>In Cloudflare Zero Trust -&gt; Access -&gt; Applications -&gt; Add an Application -&gt; Self-hosted, protect your *.pages.dev domain with an Access Policy: Action = Allow, Include = Emails -&gt; your personal Gmail address.</w:t>
      </w:r>
    </w:p>
    <w:p>
      <w:pPr>
        <w:pStyle w:val="ListBullet"/>
        <w:spacing w:before="0" w:after="80" w:line="276" w:lineRule="auto"/>
      </w:pPr>
      <w:r>
        <w:rPr>
          <w:rFonts w:ascii="Calibri" w:hAnsi="Calibri"/>
          <w:b/>
          <w:color w:val="0F172A"/>
          <w:sz w:val="22"/>
        </w:rPr>
        <w:t xml:space="preserve">Step 4: </w:t>
      </w:r>
      <w:r>
        <w:rPr>
          <w:rFonts w:ascii="Calibri" w:hAnsi="Calibri"/>
          <w:color w:val="1E293B"/>
          <w:sz w:val="22"/>
        </w:rPr>
        <w:t>Whenever your Python scanner pushes an updated HTML file or SQLite snapshot to GitHub, Cloudflare Pages automatically redeploys behind your Google Login.</w:t>
      </w: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475569"/>
        <w:sz w:val="18"/>
      </w:rPr>
      <w:t>Folder: C:\Users\sdgangji\OneDrive\Projects\mf_monthly_micro_smallcap_scanner\   |   Active Equity Funds + 4-Layer Pre-MF Radar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8"/>
      </w:rPr>
      <w:t>Indian Micro &amp; Small-Cap Discovery &amp; Early Radar Manual (v4.0)  |  skill: india-microcap-early-discovery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