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066C" w:rsidRDefault="006F3F99">
      <w:pPr>
        <w:jc w:val="center"/>
        <w:rPr>
          <w:b/>
          <w:sz w:val="50"/>
        </w:rPr>
      </w:pPr>
      <w:r>
        <w:rPr>
          <w:b/>
          <w:sz w:val="50"/>
        </w:rPr>
        <w:t xml:space="preserve">MoU </w:t>
      </w:r>
    </w:p>
    <w:p w:rsidR="008F2645" w:rsidRDefault="006F3F99">
      <w:pPr>
        <w:jc w:val="center"/>
      </w:pPr>
      <w:r>
        <w:rPr>
          <w:i/>
          <w:sz w:val="26"/>
        </w:rPr>
        <w:t>Brief Technical &amp; Functional Documentation</w:t>
      </w:r>
    </w:p>
    <w:p w:rsidR="008F2645" w:rsidRDefault="006F3F99">
      <w:pPr>
        <w:pStyle w:val="Heading1"/>
      </w:pPr>
      <w:r>
        <w:t>1. Project Overview</w:t>
      </w:r>
    </w:p>
    <w:p w:rsidR="008F2645" w:rsidRDefault="006F3F99">
      <w:r>
        <w:t>MoU stands for Memorandum of Understanding. It is a formal document that records an understanding or agreement between organizations/parties for a defined area of cooperation. The MoU Management System is a web-based application used to create, verify, endorse, approve and track MoUs through a controlled workflow.</w:t>
      </w:r>
    </w:p>
    <w:p w:rsidR="008F2645" w:rsidRDefault="006F3F99">
      <w:pPr>
        <w:pStyle w:val="Heading1"/>
      </w:pPr>
      <w:r>
        <w:t>2. Objective</w:t>
      </w:r>
    </w:p>
    <w:p w:rsidR="008F2645" w:rsidRDefault="006F3F99">
      <w:pPr>
        <w:pStyle w:val="ListBullet"/>
        <w:spacing w:after="20"/>
      </w:pPr>
      <w:r>
        <w:t>Digitize the MoU creation and approval process.</w:t>
      </w:r>
    </w:p>
    <w:p w:rsidR="008F2645" w:rsidRDefault="006F3F99">
      <w:pPr>
        <w:pStyle w:val="ListBullet"/>
        <w:spacing w:after="20"/>
      </w:pPr>
      <w:r>
        <w:t>Provide a single place to manage and track MoU records.</w:t>
      </w:r>
    </w:p>
    <w:p w:rsidR="008F2645" w:rsidRDefault="006F3F99">
      <w:pPr>
        <w:pStyle w:val="ListBullet"/>
        <w:spacing w:after="20"/>
      </w:pPr>
      <w:r>
        <w:t>Ensure each MoU follows the Initiator → Endorsing Agency → Approving Authority workflow.</w:t>
      </w:r>
    </w:p>
    <w:p w:rsidR="008F2645" w:rsidRDefault="006F3F99">
      <w:pPr>
        <w:pStyle w:val="ListBullet"/>
        <w:spacing w:after="20"/>
      </w:pPr>
      <w:r>
        <w:t>Maintain movement, comments/observations and important dates for tracking.</w:t>
      </w:r>
    </w:p>
    <w:p w:rsidR="008F2645" w:rsidRDefault="006F3F99">
      <w:pPr>
        <w:pStyle w:val="Heading1"/>
      </w:pPr>
      <w:r>
        <w:t>3. User Roles</w:t>
      </w:r>
    </w:p>
    <w:tbl>
      <w:tblPr>
        <w:tblStyle w:val="TableGrid"/>
        <w:tblW w:w="0" w:type="auto"/>
        <w:jc w:val="center"/>
        <w:tblLook w:val="04A0" w:firstRow="1" w:lastRow="0" w:firstColumn="1" w:lastColumn="0" w:noHBand="0" w:noVBand="1"/>
      </w:tblPr>
      <w:tblGrid>
        <w:gridCol w:w="5184"/>
        <w:gridCol w:w="5184"/>
      </w:tblGrid>
      <w:tr w:rsidR="008F2645">
        <w:trPr>
          <w:jc w:val="center"/>
        </w:trPr>
        <w:tc>
          <w:tcPr>
            <w:tcW w:w="5184" w:type="dxa"/>
            <w:shd w:val="clear" w:color="auto" w:fill="D9EAF7"/>
            <w:vAlign w:val="center"/>
          </w:tcPr>
          <w:p w:rsidR="008F2645" w:rsidRDefault="006F3F99">
            <w:r>
              <w:rPr>
                <w:b/>
                <w:sz w:val="18"/>
              </w:rPr>
              <w:t>Role</w:t>
            </w:r>
          </w:p>
        </w:tc>
        <w:tc>
          <w:tcPr>
            <w:tcW w:w="5184" w:type="dxa"/>
            <w:shd w:val="clear" w:color="auto" w:fill="D9EAF7"/>
            <w:vAlign w:val="center"/>
          </w:tcPr>
          <w:p w:rsidR="008F2645" w:rsidRDefault="006F3F99">
            <w:r>
              <w:rPr>
                <w:b/>
                <w:sz w:val="18"/>
              </w:rPr>
              <w:t>Brief Responsibility</w:t>
            </w:r>
          </w:p>
        </w:tc>
      </w:tr>
      <w:tr w:rsidR="008F2645">
        <w:trPr>
          <w:jc w:val="center"/>
        </w:trPr>
        <w:tc>
          <w:tcPr>
            <w:tcW w:w="5184" w:type="dxa"/>
          </w:tcPr>
          <w:p w:rsidR="008F2645" w:rsidRDefault="006F3F99">
            <w:r>
              <w:rPr>
                <w:sz w:val="18"/>
              </w:rPr>
              <w:t>Admin</w:t>
            </w:r>
          </w:p>
        </w:tc>
        <w:tc>
          <w:tcPr>
            <w:tcW w:w="5184" w:type="dxa"/>
          </w:tcPr>
          <w:p w:rsidR="008F2645" w:rsidRDefault="006F3F99">
            <w:r>
              <w:rPr>
                <w:sz w:val="18"/>
              </w:rPr>
              <w:t>Manage and track all MoUs and control master data.</w:t>
            </w:r>
          </w:p>
        </w:tc>
      </w:tr>
      <w:tr w:rsidR="008F2645">
        <w:trPr>
          <w:jc w:val="center"/>
        </w:trPr>
        <w:tc>
          <w:tcPr>
            <w:tcW w:w="5184" w:type="dxa"/>
          </w:tcPr>
          <w:p w:rsidR="008F2645" w:rsidRDefault="006F3F99">
            <w:r>
              <w:rPr>
                <w:sz w:val="18"/>
              </w:rPr>
              <w:t>Initiator</w:t>
            </w:r>
          </w:p>
        </w:tc>
        <w:tc>
          <w:tcPr>
            <w:tcW w:w="5184" w:type="dxa"/>
          </w:tcPr>
          <w:p w:rsidR="008F2645" w:rsidRDefault="006F3F99">
            <w:r>
              <w:rPr>
                <w:sz w:val="18"/>
              </w:rPr>
              <w:t>Create the MoU, fill required details and select the Endorsing Agency.</w:t>
            </w:r>
          </w:p>
        </w:tc>
      </w:tr>
      <w:tr w:rsidR="008F2645">
        <w:trPr>
          <w:jc w:val="center"/>
        </w:trPr>
        <w:tc>
          <w:tcPr>
            <w:tcW w:w="5184" w:type="dxa"/>
          </w:tcPr>
          <w:p w:rsidR="008F2645" w:rsidRDefault="006F3F99">
            <w:r>
              <w:rPr>
                <w:sz w:val="18"/>
              </w:rPr>
              <w:t>Endorsing Agency</w:t>
            </w:r>
          </w:p>
        </w:tc>
        <w:tc>
          <w:tcPr>
            <w:tcW w:w="5184" w:type="dxa"/>
          </w:tcPr>
          <w:p w:rsidR="008F2645" w:rsidRDefault="006F3F99">
            <w:r>
              <w:rPr>
                <w:sz w:val="18"/>
              </w:rPr>
              <w:t>Receive and verify the MoU. Endorse it if correct or send it back with an observation.</w:t>
            </w:r>
          </w:p>
        </w:tc>
      </w:tr>
      <w:tr w:rsidR="008F2645">
        <w:trPr>
          <w:jc w:val="center"/>
        </w:trPr>
        <w:tc>
          <w:tcPr>
            <w:tcW w:w="5184" w:type="dxa"/>
          </w:tcPr>
          <w:p w:rsidR="008F2645" w:rsidRDefault="006F3F99">
            <w:r>
              <w:rPr>
                <w:sz w:val="18"/>
              </w:rPr>
              <w:t>Approving Authority</w:t>
            </w:r>
          </w:p>
        </w:tc>
        <w:tc>
          <w:tcPr>
            <w:tcW w:w="5184" w:type="dxa"/>
          </w:tcPr>
          <w:p w:rsidR="008F2645" w:rsidRDefault="006F3F99">
            <w:r>
              <w:rPr>
                <w:sz w:val="18"/>
              </w:rPr>
              <w:t>Review the endorsed MoU and approve it or send it back with an observation.</w:t>
            </w:r>
          </w:p>
        </w:tc>
      </w:tr>
    </w:tbl>
    <w:p w:rsidR="008F2645" w:rsidRDefault="008F2645">
      <w:pPr>
        <w:spacing w:after="0"/>
      </w:pPr>
    </w:p>
    <w:p w:rsidR="008F2645" w:rsidRDefault="006F3F99">
      <w:pPr>
        <w:pStyle w:val="Heading1"/>
      </w:pPr>
      <w:r>
        <w:t>4. Technology Used</w:t>
      </w:r>
    </w:p>
    <w:tbl>
      <w:tblPr>
        <w:tblStyle w:val="TableGrid"/>
        <w:tblW w:w="0" w:type="auto"/>
        <w:jc w:val="center"/>
        <w:tblLook w:val="04A0" w:firstRow="1" w:lastRow="0" w:firstColumn="1" w:lastColumn="0" w:noHBand="0" w:noVBand="1"/>
      </w:tblPr>
      <w:tblGrid>
        <w:gridCol w:w="5184"/>
        <w:gridCol w:w="5184"/>
      </w:tblGrid>
      <w:tr w:rsidR="008F2645">
        <w:trPr>
          <w:jc w:val="center"/>
        </w:trPr>
        <w:tc>
          <w:tcPr>
            <w:tcW w:w="5184" w:type="dxa"/>
            <w:shd w:val="clear" w:color="auto" w:fill="D9EAF7"/>
            <w:vAlign w:val="center"/>
          </w:tcPr>
          <w:p w:rsidR="008F2645" w:rsidRDefault="006F3F99">
            <w:r>
              <w:rPr>
                <w:b/>
                <w:sz w:val="18"/>
              </w:rPr>
              <w:t>Technology</w:t>
            </w:r>
          </w:p>
        </w:tc>
        <w:tc>
          <w:tcPr>
            <w:tcW w:w="5184" w:type="dxa"/>
            <w:shd w:val="clear" w:color="auto" w:fill="D9EAF7"/>
            <w:vAlign w:val="center"/>
          </w:tcPr>
          <w:p w:rsidR="008F2645" w:rsidRDefault="006F3F99">
            <w:r>
              <w:rPr>
                <w:b/>
                <w:sz w:val="18"/>
              </w:rPr>
              <w:t>Purpose</w:t>
            </w:r>
          </w:p>
        </w:tc>
      </w:tr>
      <w:tr w:rsidR="008F2645">
        <w:trPr>
          <w:jc w:val="center"/>
        </w:trPr>
        <w:tc>
          <w:tcPr>
            <w:tcW w:w="5184" w:type="dxa"/>
          </w:tcPr>
          <w:p w:rsidR="008F2645" w:rsidRDefault="006F3F99">
            <w:r>
              <w:rPr>
                <w:sz w:val="18"/>
              </w:rPr>
              <w:t>HTML / CSS</w:t>
            </w:r>
          </w:p>
        </w:tc>
        <w:tc>
          <w:tcPr>
            <w:tcW w:w="5184" w:type="dxa"/>
          </w:tcPr>
          <w:p w:rsidR="008F2645" w:rsidRDefault="006F3F99">
            <w:r>
              <w:rPr>
                <w:sz w:val="18"/>
              </w:rPr>
              <w:t>Page structure and styling.</w:t>
            </w:r>
          </w:p>
        </w:tc>
      </w:tr>
      <w:tr w:rsidR="008F2645">
        <w:trPr>
          <w:jc w:val="center"/>
        </w:trPr>
        <w:tc>
          <w:tcPr>
            <w:tcW w:w="5184" w:type="dxa"/>
          </w:tcPr>
          <w:p w:rsidR="008F2645" w:rsidRDefault="006F3F99">
            <w:r>
              <w:rPr>
                <w:sz w:val="18"/>
              </w:rPr>
              <w:t>Bootstrap</w:t>
            </w:r>
          </w:p>
        </w:tc>
        <w:tc>
          <w:tcPr>
            <w:tcW w:w="5184" w:type="dxa"/>
          </w:tcPr>
          <w:p w:rsidR="008F2645" w:rsidRDefault="006F3F99">
            <w:r>
              <w:rPr>
                <w:sz w:val="18"/>
              </w:rPr>
              <w:t>Responsive UI and standard UI components.</w:t>
            </w:r>
          </w:p>
        </w:tc>
      </w:tr>
      <w:tr w:rsidR="008F2645">
        <w:trPr>
          <w:jc w:val="center"/>
        </w:trPr>
        <w:tc>
          <w:tcPr>
            <w:tcW w:w="5184" w:type="dxa"/>
          </w:tcPr>
          <w:p w:rsidR="008F2645" w:rsidRDefault="006F3F99">
            <w:r>
              <w:rPr>
                <w:sz w:val="18"/>
              </w:rPr>
              <w:t>JavaScript / jQuery</w:t>
            </w:r>
          </w:p>
        </w:tc>
        <w:tc>
          <w:tcPr>
            <w:tcW w:w="5184" w:type="dxa"/>
          </w:tcPr>
          <w:p w:rsidR="008F2645" w:rsidRDefault="006F3F99">
            <w:r>
              <w:rPr>
                <w:sz w:val="18"/>
              </w:rPr>
              <w:t>Client-side functionality, validation and AJAX communication.</w:t>
            </w:r>
          </w:p>
        </w:tc>
      </w:tr>
      <w:tr w:rsidR="008F2645">
        <w:trPr>
          <w:jc w:val="center"/>
        </w:trPr>
        <w:tc>
          <w:tcPr>
            <w:tcW w:w="5184" w:type="dxa"/>
          </w:tcPr>
          <w:p w:rsidR="008F2645" w:rsidRDefault="006F3F99">
            <w:r>
              <w:rPr>
                <w:sz w:val="18"/>
              </w:rPr>
              <w:t>C# / .NET Core</w:t>
            </w:r>
          </w:p>
        </w:tc>
        <w:tc>
          <w:tcPr>
            <w:tcW w:w="5184" w:type="dxa"/>
          </w:tcPr>
          <w:p w:rsidR="008F2645" w:rsidRDefault="006F3F99">
            <w:r>
              <w:rPr>
                <w:sz w:val="18"/>
              </w:rPr>
              <w:t>Backend, business logic and application workflow.</w:t>
            </w:r>
          </w:p>
        </w:tc>
      </w:tr>
      <w:tr w:rsidR="008F2645">
        <w:trPr>
          <w:jc w:val="center"/>
        </w:trPr>
        <w:tc>
          <w:tcPr>
            <w:tcW w:w="5184" w:type="dxa"/>
          </w:tcPr>
          <w:p w:rsidR="008F2645" w:rsidRDefault="006F3F99">
            <w:r>
              <w:rPr>
                <w:sz w:val="18"/>
              </w:rPr>
              <w:t>SQL Server</w:t>
            </w:r>
          </w:p>
        </w:tc>
        <w:tc>
          <w:tcPr>
            <w:tcW w:w="5184" w:type="dxa"/>
          </w:tcPr>
          <w:p w:rsidR="008F2645" w:rsidRDefault="006F3F99">
            <w:r>
              <w:rPr>
                <w:sz w:val="18"/>
              </w:rPr>
              <w:t>Storage of MoU, workflow, comments, master and user data.</w:t>
            </w:r>
          </w:p>
        </w:tc>
      </w:tr>
    </w:tbl>
    <w:p w:rsidR="008F2645" w:rsidRDefault="008F2645">
      <w:pPr>
        <w:spacing w:after="0"/>
      </w:pPr>
    </w:p>
    <w:p w:rsidR="008F2645" w:rsidRDefault="008F2645"/>
    <w:p w:rsidR="008F2645" w:rsidRDefault="00702EBE">
      <w:pPr>
        <w:pStyle w:val="Heading1"/>
      </w:pPr>
      <w:r>
        <w:t>5</w:t>
      </w:r>
      <w:r w:rsidR="006F3F99">
        <w:t>. Main Functional Areas</w:t>
      </w:r>
    </w:p>
    <w:p w:rsidR="008F2645" w:rsidRDefault="006F3F99">
      <w:pPr>
        <w:pStyle w:val="ListBullet"/>
        <w:spacing w:after="20"/>
      </w:pPr>
      <w:r>
        <w:t>Login and role-based access.</w:t>
      </w:r>
    </w:p>
    <w:p w:rsidR="008F2645" w:rsidRDefault="006F3F99">
      <w:pPr>
        <w:pStyle w:val="ListBullet"/>
        <w:spacing w:after="20"/>
      </w:pPr>
      <w:r>
        <w:t>MoU creation and management.</w:t>
      </w:r>
    </w:p>
    <w:p w:rsidR="008F2645" w:rsidRDefault="006F3F99">
      <w:pPr>
        <w:pStyle w:val="ListBullet"/>
        <w:spacing w:after="20"/>
      </w:pPr>
      <w:r>
        <w:t>MoU movement and status tracking.</w:t>
      </w:r>
    </w:p>
    <w:p w:rsidR="008F2645" w:rsidRDefault="006F3F99">
      <w:pPr>
        <w:pStyle w:val="ListBullet"/>
        <w:spacing w:after="20"/>
      </w:pPr>
      <w:r>
        <w:t>Endorsement and approval processing.</w:t>
      </w:r>
    </w:p>
    <w:p w:rsidR="008F2645" w:rsidRDefault="006F3F99">
      <w:pPr>
        <w:pStyle w:val="ListBullet"/>
        <w:spacing w:after="20"/>
      </w:pPr>
      <w:r>
        <w:t>Observation/comment management.</w:t>
      </w:r>
    </w:p>
    <w:p w:rsidR="008F2645" w:rsidRDefault="006F3F99" w:rsidP="00702EBE">
      <w:pPr>
        <w:pStyle w:val="ListBullet"/>
        <w:spacing w:after="20"/>
      </w:pPr>
      <w:r>
        <w:t>Master data management by Admin.</w:t>
      </w:r>
    </w:p>
    <w:p w:rsidR="008F2645" w:rsidRDefault="00702EBE">
      <w:pPr>
        <w:pStyle w:val="Heading1"/>
      </w:pPr>
      <w:r>
        <w:lastRenderedPageBreak/>
        <w:t>6</w:t>
      </w:r>
      <w:r w:rsidR="006F3F99">
        <w:t>. Database Overview</w:t>
      </w:r>
    </w:p>
    <w:p w:rsidR="008F2645" w:rsidRDefault="006F3F99">
      <w:r>
        <w:t>SQL Server is used as the application's database. The main transaction table is TrnMOU. Workflow movements are maintained in TrnMov and review observations are maintained in TrnComment. Supporting master data is maintained through mDomain and MAction.</w:t>
      </w:r>
    </w:p>
    <w:p w:rsidR="008F2645" w:rsidRDefault="006F3F99">
      <w:pPr>
        <w:jc w:val="center"/>
      </w:pPr>
      <w:r>
        <w:rPr>
          <w:noProof/>
        </w:rPr>
        <w:drawing>
          <wp:inline distT="0" distB="0" distL="0" distR="0">
            <wp:extent cx="6217920" cy="4699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a32400-e697-4b6a-a200-73efc53a9ff5.png"/>
                    <pic:cNvPicPr/>
                  </pic:nvPicPr>
                  <pic:blipFill>
                    <a:blip r:embed="rId8"/>
                    <a:stretch>
                      <a:fillRect/>
                    </a:stretch>
                  </pic:blipFill>
                  <pic:spPr>
                    <a:xfrm>
                      <a:off x="0" y="0"/>
                      <a:ext cx="6217920" cy="4699721"/>
                    </a:xfrm>
                    <a:prstGeom prst="rect">
                      <a:avLst/>
                    </a:prstGeom>
                  </pic:spPr>
                </pic:pic>
              </a:graphicData>
            </a:graphic>
          </wp:inline>
        </w:drawing>
      </w:r>
    </w:p>
    <w:p w:rsidR="008F2645" w:rsidRDefault="006F3F99">
      <w:pPr>
        <w:jc w:val="center"/>
      </w:pPr>
      <w:r>
        <w:rPr>
          <w:i/>
          <w:sz w:val="16"/>
        </w:rPr>
        <w:t>Figure 1: Main MoU database relationship diagram</w:t>
      </w:r>
    </w:p>
    <w:p w:rsidR="008F2645" w:rsidRDefault="00702EBE">
      <w:pPr>
        <w:pStyle w:val="Heading1"/>
      </w:pPr>
      <w:r>
        <w:t>7</w:t>
      </w:r>
      <w:r w:rsidR="006F3F99">
        <w:t>. Main Database Tables</w:t>
      </w:r>
    </w:p>
    <w:tbl>
      <w:tblPr>
        <w:tblStyle w:val="TableGrid"/>
        <w:tblW w:w="0" w:type="auto"/>
        <w:jc w:val="center"/>
        <w:tblLook w:val="04A0" w:firstRow="1" w:lastRow="0" w:firstColumn="1" w:lastColumn="0" w:noHBand="0" w:noVBand="1"/>
      </w:tblPr>
      <w:tblGrid>
        <w:gridCol w:w="5184"/>
        <w:gridCol w:w="5184"/>
      </w:tblGrid>
      <w:tr w:rsidR="008F2645">
        <w:trPr>
          <w:jc w:val="center"/>
        </w:trPr>
        <w:tc>
          <w:tcPr>
            <w:tcW w:w="5184" w:type="dxa"/>
            <w:shd w:val="clear" w:color="auto" w:fill="D9EAF7"/>
            <w:vAlign w:val="center"/>
          </w:tcPr>
          <w:p w:rsidR="008F2645" w:rsidRDefault="006F3F99">
            <w:r>
              <w:rPr>
                <w:b/>
                <w:sz w:val="18"/>
              </w:rPr>
              <w:t>Table</w:t>
            </w:r>
          </w:p>
        </w:tc>
        <w:tc>
          <w:tcPr>
            <w:tcW w:w="5184" w:type="dxa"/>
            <w:shd w:val="clear" w:color="auto" w:fill="D9EAF7"/>
            <w:vAlign w:val="center"/>
          </w:tcPr>
          <w:p w:rsidR="008F2645" w:rsidRDefault="006F3F99">
            <w:r>
              <w:rPr>
                <w:b/>
                <w:sz w:val="18"/>
              </w:rPr>
              <w:t>Purpose</w:t>
            </w:r>
          </w:p>
        </w:tc>
      </w:tr>
      <w:tr w:rsidR="008F2645">
        <w:trPr>
          <w:jc w:val="center"/>
        </w:trPr>
        <w:tc>
          <w:tcPr>
            <w:tcW w:w="5184" w:type="dxa"/>
          </w:tcPr>
          <w:p w:rsidR="008F2645" w:rsidRDefault="006F3F99">
            <w:r>
              <w:rPr>
                <w:sz w:val="18"/>
              </w:rPr>
              <w:t>TrnMOU</w:t>
            </w:r>
          </w:p>
        </w:tc>
        <w:tc>
          <w:tcPr>
            <w:tcW w:w="5184" w:type="dxa"/>
          </w:tcPr>
          <w:p w:rsidR="008F2645" w:rsidRDefault="006F3F99">
            <w:r>
              <w:rPr>
                <w:sz w:val="18"/>
              </w:rPr>
              <w:t>Main MoU transaction table. Stores MoU details, files, remarks, status/lifecycle flags, authority information and dates.</w:t>
            </w:r>
          </w:p>
        </w:tc>
      </w:tr>
      <w:tr w:rsidR="008F2645">
        <w:trPr>
          <w:jc w:val="center"/>
        </w:trPr>
        <w:tc>
          <w:tcPr>
            <w:tcW w:w="5184" w:type="dxa"/>
          </w:tcPr>
          <w:p w:rsidR="008F2645" w:rsidRDefault="006F3F99">
            <w:r>
              <w:rPr>
                <w:sz w:val="18"/>
              </w:rPr>
              <w:t>TrnMov</w:t>
            </w:r>
          </w:p>
        </w:tc>
        <w:tc>
          <w:tcPr>
            <w:tcW w:w="5184" w:type="dxa"/>
          </w:tcPr>
          <w:p w:rsidR="008F2645" w:rsidRDefault="006F3F99">
            <w:r>
              <w:rPr>
                <w:sz w:val="18"/>
              </w:rPr>
              <w:t>Stores MoU movement/workflow information such as source user, domains, action state and approval information.</w:t>
            </w:r>
          </w:p>
        </w:tc>
      </w:tr>
      <w:tr w:rsidR="008F2645">
        <w:trPr>
          <w:jc w:val="center"/>
        </w:trPr>
        <w:tc>
          <w:tcPr>
            <w:tcW w:w="5184" w:type="dxa"/>
          </w:tcPr>
          <w:p w:rsidR="008F2645" w:rsidRDefault="006F3F99">
            <w:r>
              <w:rPr>
                <w:sz w:val="18"/>
              </w:rPr>
              <w:t>TrnComment</w:t>
            </w:r>
          </w:p>
        </w:tc>
        <w:tc>
          <w:tcPr>
            <w:tcW w:w="5184" w:type="dxa"/>
          </w:tcPr>
          <w:p w:rsidR="008F2645" w:rsidRDefault="006F3F99">
            <w:r>
              <w:rPr>
                <w:sz w:val="18"/>
              </w:rPr>
              <w:t>Stores comments and observations linked to an MoU and its workflow movement/action.</w:t>
            </w:r>
          </w:p>
        </w:tc>
      </w:tr>
      <w:tr w:rsidR="008F2645">
        <w:trPr>
          <w:jc w:val="center"/>
        </w:trPr>
        <w:tc>
          <w:tcPr>
            <w:tcW w:w="5184" w:type="dxa"/>
          </w:tcPr>
          <w:p w:rsidR="008F2645" w:rsidRDefault="006F3F99">
            <w:r>
              <w:rPr>
                <w:sz w:val="18"/>
              </w:rPr>
              <w:t>mDomain</w:t>
            </w:r>
          </w:p>
        </w:tc>
        <w:tc>
          <w:tcPr>
            <w:tcW w:w="5184" w:type="dxa"/>
          </w:tcPr>
          <w:p w:rsidR="008F2645" w:rsidRDefault="006F3F99">
            <w:r>
              <w:rPr>
                <w:sz w:val="18"/>
              </w:rPr>
              <w:t>Master table for domain/organizational information used by the workflow.</w:t>
            </w:r>
          </w:p>
        </w:tc>
      </w:tr>
      <w:tr w:rsidR="008F2645">
        <w:trPr>
          <w:jc w:val="center"/>
        </w:trPr>
        <w:tc>
          <w:tcPr>
            <w:tcW w:w="5184" w:type="dxa"/>
          </w:tcPr>
          <w:p w:rsidR="008F2645" w:rsidRDefault="006F3F99">
            <w:r>
              <w:rPr>
                <w:sz w:val="18"/>
              </w:rPr>
              <w:t>MAction</w:t>
            </w:r>
          </w:p>
        </w:tc>
        <w:tc>
          <w:tcPr>
            <w:tcW w:w="5184" w:type="dxa"/>
          </w:tcPr>
          <w:p w:rsidR="008F2645" w:rsidRDefault="006F3F99">
            <w:r>
              <w:rPr>
                <w:sz w:val="18"/>
              </w:rPr>
              <w:t>Master table containing workflow action definitions.</w:t>
            </w:r>
          </w:p>
        </w:tc>
      </w:tr>
      <w:tr w:rsidR="008F2645">
        <w:trPr>
          <w:jc w:val="center"/>
        </w:trPr>
        <w:tc>
          <w:tcPr>
            <w:tcW w:w="5184" w:type="dxa"/>
          </w:tcPr>
          <w:p w:rsidR="008F2645" w:rsidRDefault="006F3F99">
            <w:r>
              <w:rPr>
                <w:sz w:val="18"/>
              </w:rPr>
              <w:t>AspNetUsers</w:t>
            </w:r>
          </w:p>
        </w:tc>
        <w:tc>
          <w:tcPr>
            <w:tcW w:w="5184" w:type="dxa"/>
          </w:tcPr>
          <w:p w:rsidR="008F2645" w:rsidRDefault="006F3F99">
            <w:r>
              <w:rPr>
                <w:sz w:val="18"/>
              </w:rPr>
              <w:t>Application user information used for authentication and user-related processing.</w:t>
            </w:r>
          </w:p>
        </w:tc>
      </w:tr>
    </w:tbl>
    <w:p w:rsidR="008F2645" w:rsidRDefault="008F2645">
      <w:pPr>
        <w:spacing w:after="0"/>
      </w:pPr>
    </w:p>
    <w:p w:rsidR="008F2645" w:rsidRDefault="00702EBE">
      <w:pPr>
        <w:pStyle w:val="Heading1"/>
      </w:pPr>
      <w:r>
        <w:lastRenderedPageBreak/>
        <w:t>8</w:t>
      </w:r>
      <w:r w:rsidR="006F3F99">
        <w:t>. Key Relationships</w:t>
      </w:r>
    </w:p>
    <w:p w:rsidR="008F2645" w:rsidRDefault="006F3F99">
      <w:pPr>
        <w:pStyle w:val="ListBullet"/>
        <w:spacing w:after="20"/>
      </w:pPr>
      <w:r>
        <w:t>One MoU in TrnMOU can have multiple workflow movement records in TrnMov.</w:t>
      </w:r>
    </w:p>
    <w:p w:rsidR="008F2645" w:rsidRDefault="006F3F99">
      <w:pPr>
        <w:pStyle w:val="ListBullet"/>
        <w:spacing w:after="20"/>
      </w:pPr>
      <w:r>
        <w:t>A movement can have related comments/observations in TrnComment.</w:t>
      </w:r>
    </w:p>
    <w:p w:rsidR="008F2645" w:rsidRDefault="006F3F99">
      <w:pPr>
        <w:pStyle w:val="ListBullet"/>
        <w:spacing w:after="20"/>
      </w:pPr>
      <w:r>
        <w:t>TrnMov uses domain information from mDomain for source/destination routing.</w:t>
      </w:r>
    </w:p>
    <w:p w:rsidR="008F2645" w:rsidRDefault="006F3F99">
      <w:pPr>
        <w:pStyle w:val="ListBullet"/>
        <w:spacing w:after="20"/>
      </w:pPr>
      <w:r>
        <w:t>MAction defines the actions used during the MoU workflow.</w:t>
      </w:r>
    </w:p>
    <w:p w:rsidR="00702EBE" w:rsidRDefault="006F3F99" w:rsidP="00702EBE">
      <w:pPr>
        <w:pStyle w:val="ListBullet"/>
        <w:spacing w:after="20"/>
      </w:pPr>
      <w:r>
        <w:t>User-related fields connect workflow activity and comments with application users.</w:t>
      </w:r>
    </w:p>
    <w:p w:rsidR="00702EBE" w:rsidRDefault="00702EBE" w:rsidP="00702EBE">
      <w:pPr>
        <w:pStyle w:val="ListBullet"/>
        <w:numPr>
          <w:ilvl w:val="0"/>
          <w:numId w:val="0"/>
        </w:numPr>
        <w:spacing w:after="20"/>
        <w:ind w:left="360"/>
      </w:pPr>
    </w:p>
    <w:p w:rsidR="00702EBE" w:rsidRDefault="00702EBE" w:rsidP="00702EBE">
      <w:pPr>
        <w:pStyle w:val="Heading1"/>
      </w:pPr>
      <w:r>
        <w:t>9. Application Architecture</w:t>
      </w:r>
    </w:p>
    <w:p w:rsidR="008F2645" w:rsidRDefault="006F3F99">
      <w:r>
        <w:t>The application uses a standard ASP.NET Core layered approach. The UI communicates with the .NET Core backend, the backend applies business rules and the data-access layer communicates with SQL Server.</w:t>
      </w:r>
    </w:p>
    <w:tbl>
      <w:tblPr>
        <w:tblStyle w:val="TableGrid"/>
        <w:tblW w:w="0" w:type="auto"/>
        <w:jc w:val="center"/>
        <w:tblLook w:val="04A0" w:firstRow="1" w:lastRow="0" w:firstColumn="1" w:lastColumn="0" w:noHBand="0" w:noVBand="1"/>
      </w:tblPr>
      <w:tblGrid>
        <w:gridCol w:w="5184"/>
        <w:gridCol w:w="5184"/>
      </w:tblGrid>
      <w:tr w:rsidR="008F2645">
        <w:trPr>
          <w:jc w:val="center"/>
        </w:trPr>
        <w:tc>
          <w:tcPr>
            <w:tcW w:w="5184" w:type="dxa"/>
            <w:shd w:val="clear" w:color="auto" w:fill="D9EAF7"/>
            <w:vAlign w:val="center"/>
          </w:tcPr>
          <w:p w:rsidR="008F2645" w:rsidRDefault="006F3F99">
            <w:r>
              <w:rPr>
                <w:b/>
                <w:sz w:val="18"/>
              </w:rPr>
              <w:t>Layer</w:t>
            </w:r>
          </w:p>
        </w:tc>
        <w:tc>
          <w:tcPr>
            <w:tcW w:w="5184" w:type="dxa"/>
            <w:shd w:val="clear" w:color="auto" w:fill="D9EAF7"/>
            <w:vAlign w:val="center"/>
          </w:tcPr>
          <w:p w:rsidR="008F2645" w:rsidRDefault="006F3F99">
            <w:r>
              <w:rPr>
                <w:b/>
                <w:sz w:val="18"/>
              </w:rPr>
              <w:t>Technology / Responsibility</w:t>
            </w:r>
          </w:p>
        </w:tc>
      </w:tr>
      <w:tr w:rsidR="008F2645">
        <w:trPr>
          <w:jc w:val="center"/>
        </w:trPr>
        <w:tc>
          <w:tcPr>
            <w:tcW w:w="5184" w:type="dxa"/>
          </w:tcPr>
          <w:p w:rsidR="008F2645" w:rsidRDefault="006F3F99">
            <w:r>
              <w:rPr>
                <w:sz w:val="18"/>
              </w:rPr>
              <w:t>UI Layer</w:t>
            </w:r>
          </w:p>
        </w:tc>
        <w:tc>
          <w:tcPr>
            <w:tcW w:w="5184" w:type="dxa"/>
          </w:tcPr>
          <w:p w:rsidR="008F2645" w:rsidRDefault="006F3F99">
            <w:r>
              <w:rPr>
                <w:sz w:val="18"/>
              </w:rPr>
              <w:t>HTML, CSS, Bootstrap, JavaScript and jQuery for screens and user interaction.</w:t>
            </w:r>
          </w:p>
        </w:tc>
      </w:tr>
      <w:tr w:rsidR="008F2645">
        <w:trPr>
          <w:jc w:val="center"/>
        </w:trPr>
        <w:tc>
          <w:tcPr>
            <w:tcW w:w="5184" w:type="dxa"/>
          </w:tcPr>
          <w:p w:rsidR="008F2645" w:rsidRDefault="006F3F99">
            <w:r>
              <w:rPr>
                <w:sz w:val="18"/>
              </w:rPr>
              <w:t>Controller Layer</w:t>
            </w:r>
          </w:p>
        </w:tc>
        <w:tc>
          <w:tcPr>
            <w:tcW w:w="5184" w:type="dxa"/>
          </w:tcPr>
          <w:p w:rsidR="008F2645" w:rsidRDefault="006F3F99">
            <w:r>
              <w:rPr>
                <w:sz w:val="18"/>
              </w:rPr>
              <w:t>ASP.NET Core controllers handle requests and responses.</w:t>
            </w:r>
          </w:p>
        </w:tc>
      </w:tr>
      <w:tr w:rsidR="008F2645">
        <w:trPr>
          <w:jc w:val="center"/>
        </w:trPr>
        <w:tc>
          <w:tcPr>
            <w:tcW w:w="5184" w:type="dxa"/>
          </w:tcPr>
          <w:p w:rsidR="008F2645" w:rsidRDefault="006F3F99">
            <w:r>
              <w:rPr>
                <w:sz w:val="18"/>
              </w:rPr>
              <w:t>Business Layer</w:t>
            </w:r>
          </w:p>
        </w:tc>
        <w:tc>
          <w:tcPr>
            <w:tcW w:w="5184" w:type="dxa"/>
          </w:tcPr>
          <w:p w:rsidR="008F2645" w:rsidRDefault="006F3F99">
            <w:r>
              <w:rPr>
                <w:sz w:val="18"/>
              </w:rPr>
              <w:t>C# services contain MoU workflow and business rules.</w:t>
            </w:r>
          </w:p>
        </w:tc>
      </w:tr>
      <w:tr w:rsidR="008F2645">
        <w:trPr>
          <w:jc w:val="center"/>
        </w:trPr>
        <w:tc>
          <w:tcPr>
            <w:tcW w:w="5184" w:type="dxa"/>
          </w:tcPr>
          <w:p w:rsidR="008F2645" w:rsidRDefault="006F3F99">
            <w:r>
              <w:rPr>
                <w:sz w:val="18"/>
              </w:rPr>
              <w:t>Data Access Layer</w:t>
            </w:r>
          </w:p>
        </w:tc>
        <w:tc>
          <w:tcPr>
            <w:tcW w:w="5184" w:type="dxa"/>
          </w:tcPr>
          <w:p w:rsidR="008F2645" w:rsidRDefault="006F3F99">
            <w:r>
              <w:rPr>
                <w:sz w:val="18"/>
              </w:rPr>
              <w:t>Handles database operations with SQL Server.</w:t>
            </w:r>
          </w:p>
        </w:tc>
      </w:tr>
      <w:tr w:rsidR="008F2645">
        <w:trPr>
          <w:jc w:val="center"/>
        </w:trPr>
        <w:tc>
          <w:tcPr>
            <w:tcW w:w="5184" w:type="dxa"/>
          </w:tcPr>
          <w:p w:rsidR="008F2645" w:rsidRDefault="006F3F99">
            <w:r>
              <w:rPr>
                <w:sz w:val="18"/>
              </w:rPr>
              <w:t>Database Layer</w:t>
            </w:r>
          </w:p>
        </w:tc>
        <w:tc>
          <w:tcPr>
            <w:tcW w:w="5184" w:type="dxa"/>
          </w:tcPr>
          <w:p w:rsidR="008F2645" w:rsidRDefault="006F3F99">
            <w:r>
              <w:rPr>
                <w:sz w:val="18"/>
              </w:rPr>
              <w:t>TrnMOU, TrnMov, TrnComment, mDomain, MAction and user tables.</w:t>
            </w:r>
          </w:p>
        </w:tc>
      </w:tr>
    </w:tbl>
    <w:p w:rsidR="008F2645" w:rsidRDefault="008F2645">
      <w:pPr>
        <w:spacing w:after="0"/>
      </w:pPr>
    </w:p>
    <w:p w:rsidR="008F2645" w:rsidRDefault="006F3F99">
      <w:pPr>
        <w:pStyle w:val="Heading1"/>
      </w:pPr>
      <w:r>
        <w:t>1</w:t>
      </w:r>
      <w:r w:rsidR="00702EBE">
        <w:t>0</w:t>
      </w:r>
      <w:r>
        <w:t>. Summary</w:t>
      </w:r>
    </w:p>
    <w:p w:rsidR="008F2645" w:rsidRDefault="006F3F99">
      <w:r>
        <w:t>The MoU Management System provides a controlled digital process for managing MoUs. The Initiator creates and submits the MoU, the Endorsing Agency verifies and endorses it, and the Approving Authority performs the final approval. If an issue is found, an observation can be recorded and the MoU returned for correction. SQL Server maintains the MoU, movement, comments, master and user information.</w:t>
      </w:r>
    </w:p>
    <w:p w:rsidR="008F2645" w:rsidRDefault="006F3F99">
      <w:pPr>
        <w:pStyle w:val="Heading1"/>
      </w:pPr>
      <w:r>
        <w:t>1</w:t>
      </w:r>
      <w:r w:rsidR="00702EBE">
        <w:t>1</w:t>
      </w:r>
      <w:r>
        <w:t>. Conclusion</w:t>
      </w:r>
    </w:p>
    <w:p w:rsidR="008F2645" w:rsidRDefault="006F3F99">
      <w:r>
        <w:t>The system reduces manual MoU processing, improves visibility of pending and completed MoUs, clearly defines responsibility at each workflow stage and maintains a structured history of actions and observations.</w:t>
      </w:r>
    </w:p>
    <w:sectPr w:rsidR="008F2645" w:rsidSect="00034616">
      <w:headerReference w:type="even" r:id="rId9"/>
      <w:headerReference w:type="default" r:id="rId10"/>
      <w:footerReference w:type="even" r:id="rId11"/>
      <w:footerReference w:type="default" r:id="rId12"/>
      <w:headerReference w:type="first" r:id="rId13"/>
      <w:footerReference w:type="first" r:id="rId14"/>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1E8D" w:rsidRDefault="00AF1E8D">
      <w:pPr>
        <w:spacing w:after="0" w:line="240" w:lineRule="auto"/>
      </w:pPr>
      <w:r>
        <w:separator/>
      </w:r>
    </w:p>
  </w:endnote>
  <w:endnote w:type="continuationSeparator" w:id="0">
    <w:p w:rsidR="00AF1E8D" w:rsidRDefault="00AF1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7AEF" w:rsidRDefault="00AD7A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2645" w:rsidRDefault="008F2645">
    <w:pPr>
      <w:pStyle w:val="Footer"/>
      <w:jc w:val="center"/>
      <w:rPr>
        <w:sz w:val="16"/>
      </w:rPr>
    </w:pPr>
  </w:p>
  <w:p w:rsidR="00AD7AEF" w:rsidRDefault="00AD7AEF">
    <w:pPr>
      <w:pStyle w:val="Footer"/>
      <w:jc w:val="center"/>
    </w:pP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7AEF" w:rsidRDefault="00AD7A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1E8D" w:rsidRDefault="00AF1E8D">
      <w:pPr>
        <w:spacing w:after="0" w:line="240" w:lineRule="auto"/>
      </w:pPr>
      <w:r>
        <w:separator/>
      </w:r>
    </w:p>
  </w:footnote>
  <w:footnote w:type="continuationSeparator" w:id="0">
    <w:p w:rsidR="00AF1E8D" w:rsidRDefault="00AF1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7AEF" w:rsidRDefault="00AD7A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2645" w:rsidRDefault="008F264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7AEF" w:rsidRDefault="00AD7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66C"/>
    <w:rsid w:val="006F3F99"/>
    <w:rsid w:val="00702EBE"/>
    <w:rsid w:val="008F2645"/>
    <w:rsid w:val="00AA1D8D"/>
    <w:rsid w:val="00AD7AEF"/>
    <w:rsid w:val="00AF1E8D"/>
    <w:rsid w:val="00B47730"/>
    <w:rsid w:val="00BC04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BDC54"/>
  <w14:defaultImageDpi w14:val="300"/>
  <w15:docId w15:val="{61174C58-6164-4C42-A0CD-E0284EE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CE4DB7-CD45-4A62-A82E-1A07DDEF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629</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2026-08-25T09:22:00Z</dcterms:modified>
  <cp:category/>
</cp:coreProperties>
</file>