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970C2">
      <w:pPr>
        <w:widowControl w:val="0"/>
        <w:spacing w:after="0" w:line="240" w:lineRule="auto"/>
        <w:jc w:val="center"/>
        <w:rPr>
          <w:rFonts w:hint="eastAsia" w:ascii="Times New Roman" w:hAnsi="Times New Roman" w:eastAsia="宋体" w:cs="Times New Roman"/>
          <w:kern w:val="2"/>
          <w:sz w:val="52"/>
          <w:szCs w:val="52"/>
          <w:lang w:val="en-US" w:eastAsia="zh-CN"/>
        </w:rPr>
      </w:pPr>
      <w:r>
        <w:rPr>
          <w:rFonts w:hint="eastAsia" w:ascii="Times New Roman" w:hAnsi="Times New Roman" w:eastAsia="宋体" w:cs="Times New Roman"/>
          <w:kern w:val="2"/>
          <w:sz w:val="52"/>
          <w:szCs w:val="52"/>
          <w:lang w:val="en-US" w:eastAsia="zh-CN"/>
        </w:rPr>
        <w:t>应急管理大学</w:t>
      </w:r>
    </w:p>
    <w:p w14:paraId="6B36A499">
      <w:pPr>
        <w:spacing w:before="120" w:after="120" w:line="360" w:lineRule="auto"/>
        <w:ind w:firstLine="480"/>
        <w:jc w:val="center"/>
        <w:rPr>
          <w:rFonts w:ascii="宋体" w:hAnsi="宋体" w:eastAsia="宋体" w:cs="Times New Roman"/>
          <w:b/>
          <w:spacing w:val="200"/>
          <w:sz w:val="84"/>
          <w:szCs w:val="84"/>
          <w:lang w:val="en-US" w:eastAsia="en-US" w:bidi="ar-SA"/>
        </w:rPr>
      </w:pPr>
      <w:r>
        <w:rPr>
          <w:rFonts w:hint="eastAsia" w:ascii="宋体" w:hAnsi="宋体" w:eastAsia="宋体" w:cs="Times New Roman"/>
          <w:b/>
          <w:spacing w:val="200"/>
          <w:sz w:val="84"/>
          <w:szCs w:val="84"/>
          <w:lang w:val="en-US" w:eastAsia="zh-CN" w:bidi="ar-SA"/>
        </w:rPr>
        <w:t>结课</w:t>
      </w:r>
      <w:r>
        <w:rPr>
          <w:rFonts w:ascii="宋体" w:hAnsi="宋体" w:eastAsia="宋体" w:cs="Times New Roman"/>
          <w:b/>
          <w:spacing w:val="200"/>
          <w:sz w:val="84"/>
          <w:szCs w:val="84"/>
          <w:lang w:val="en-US" w:eastAsia="en-US" w:bidi="ar-SA"/>
        </w:rPr>
        <w:t>报告书</w:t>
      </w:r>
    </w:p>
    <w:p w14:paraId="07965202">
      <w:pPr>
        <w:spacing w:before="120" w:after="120" w:line="360" w:lineRule="auto"/>
        <w:ind w:left="0" w:leftChars="0" w:firstLine="0" w:firstLineChars="0"/>
        <w:jc w:val="both"/>
        <w:rPr>
          <w:rFonts w:ascii="宋体" w:hAnsi="宋体" w:eastAsia="宋体" w:cs="Times New Roman"/>
          <w:b/>
          <w:sz w:val="84"/>
          <w:szCs w:val="84"/>
          <w:lang w:val="en-US" w:eastAsia="en-US" w:bidi="ar-SA"/>
        </w:rPr>
      </w:pPr>
    </w:p>
    <w:p w14:paraId="59E1A621">
      <w:pPr>
        <w:spacing w:before="120" w:after="120" w:line="360" w:lineRule="auto"/>
        <w:ind w:firstLine="480"/>
        <w:jc w:val="center"/>
        <w:rPr>
          <w:rFonts w:ascii="宋体" w:hAnsi="宋体" w:eastAsia="宋体" w:cs="Times New Roman"/>
          <w:b/>
          <w:sz w:val="84"/>
          <w:szCs w:val="84"/>
          <w:lang w:val="en-US" w:eastAsia="en-US" w:bidi="ar-SA"/>
        </w:rPr>
      </w:pPr>
    </w:p>
    <w:p w14:paraId="4A09B9CD">
      <w:pPr>
        <w:spacing w:before="120" w:after="120" w:line="360" w:lineRule="auto"/>
        <w:ind w:firstLine="480"/>
        <w:jc w:val="center"/>
        <w:rPr>
          <w:rFonts w:ascii="宋体" w:hAnsi="宋体" w:eastAsia="宋体" w:cs="Times New Roman"/>
          <w:b/>
          <w:sz w:val="28"/>
          <w:szCs w:val="28"/>
          <w:lang w:val="en-US" w:eastAsia="en-US" w:bidi="ar-SA"/>
        </w:rPr>
      </w:pPr>
    </w:p>
    <w:p w14:paraId="54FC76E9">
      <w:pPr>
        <w:spacing w:before="120" w:after="120" w:line="360" w:lineRule="auto"/>
        <w:ind w:firstLine="480"/>
        <w:jc w:val="left"/>
        <w:rPr>
          <w:rFonts w:hint="default" w:ascii="宋体" w:hAnsi="宋体" w:eastAsia="宋体" w:cs="Times New Roman"/>
          <w:b/>
          <w:sz w:val="28"/>
          <w:szCs w:val="28"/>
          <w:u w:val="single"/>
          <w:lang w:val="en-US" w:eastAsia="zh-CN" w:bidi="ar-SA"/>
        </w:rPr>
      </w:pPr>
      <w:r>
        <w:rPr>
          <w:rFonts w:ascii="宋体" w:hAnsi="宋体" w:eastAsia="宋体" w:cs="Times New Roman"/>
          <w:b/>
          <w:sz w:val="28"/>
          <w:szCs w:val="28"/>
          <w:lang w:val="en-US" w:eastAsia="en-US" w:bidi="ar-SA"/>
        </w:rPr>
        <w:t>专    业</w:t>
      </w:r>
      <w:r>
        <w:rPr>
          <w:rFonts w:ascii="宋体" w:hAnsi="宋体" w:eastAsia="宋体" w:cs="Times New Roman"/>
          <w:b/>
          <w:sz w:val="28"/>
          <w:szCs w:val="28"/>
          <w:u w:val="thick"/>
          <w:lang w:val="en-US" w:eastAsia="en-US" w:bidi="ar-SA"/>
        </w:rPr>
        <w:t xml:space="preserve">          </w:t>
      </w:r>
      <w:r>
        <w:rPr>
          <w:rFonts w:hint="eastAsia" w:ascii="宋体" w:hAnsi="宋体" w:eastAsia="宋体" w:cs="Times New Roman"/>
          <w:b/>
          <w:sz w:val="28"/>
          <w:szCs w:val="28"/>
          <w:u w:val="thick"/>
          <w:lang w:val="en-US" w:eastAsia="en-US" w:bidi="ar-SA"/>
        </w:rPr>
        <w:t xml:space="preserve">    资源与环境</w:t>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r>
        <w:rPr>
          <w:rFonts w:ascii="宋体" w:hAnsi="宋体" w:eastAsia="宋体" w:cs="Times New Roman"/>
          <w:b/>
          <w:sz w:val="28"/>
          <w:szCs w:val="28"/>
          <w:u w:val="thick"/>
          <w:lang w:val="en-US" w:eastAsia="en-US" w:bidi="ar-SA"/>
        </w:rPr>
        <w:t xml:space="preserve">         </w:t>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p>
    <w:p w14:paraId="130D8B9F">
      <w:pPr>
        <w:spacing w:before="120" w:after="120" w:line="360" w:lineRule="auto"/>
        <w:ind w:firstLine="480"/>
        <w:rPr>
          <w:rFonts w:hint="default" w:ascii="宋体" w:hAnsi="宋体" w:eastAsia="宋体" w:cs="Times New Roman"/>
          <w:b/>
          <w:sz w:val="28"/>
          <w:szCs w:val="28"/>
          <w:u w:val="single"/>
          <w:lang w:val="en-US" w:eastAsia="en-US" w:bidi="ar-SA"/>
        </w:rPr>
      </w:pPr>
      <w:r>
        <w:rPr>
          <w:rFonts w:ascii="宋体" w:hAnsi="宋体" w:eastAsia="宋体" w:cs="Times New Roman"/>
          <w:b/>
          <w:sz w:val="28"/>
          <w:szCs w:val="28"/>
          <w:lang w:val="en-US" w:eastAsia="en-US" w:bidi="ar-SA"/>
        </w:rPr>
        <w:t>学    院</w:t>
      </w:r>
      <w:r>
        <w:rPr>
          <w:rFonts w:ascii="宋体" w:hAnsi="宋体" w:eastAsia="宋体" w:cs="Times New Roman"/>
          <w:b/>
          <w:sz w:val="28"/>
          <w:szCs w:val="28"/>
          <w:u w:val="thick"/>
          <w:lang w:val="en-US" w:eastAsia="en-US" w:bidi="ar-SA"/>
        </w:rPr>
        <w:t xml:space="preserve">           </w:t>
      </w:r>
      <w:r>
        <w:rPr>
          <w:rFonts w:hint="eastAsia" w:hAnsi="宋体"/>
          <w:b w:val="0"/>
          <w:bCs/>
          <w:sz w:val="28"/>
          <w:szCs w:val="28"/>
          <w:u w:val="thick"/>
          <w:lang w:val="en-US" w:eastAsia="zh-CN"/>
        </w:rPr>
        <w:t>计算机与信息安全学院</w:t>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p>
    <w:p w14:paraId="25ECF7C0">
      <w:pPr>
        <w:spacing w:before="120" w:after="120" w:line="360" w:lineRule="auto"/>
        <w:ind w:firstLine="480"/>
        <w:rPr>
          <w:rFonts w:hint="eastAsia" w:ascii="宋体" w:hAnsi="宋体" w:eastAsia="宋体" w:cs="Times New Roman"/>
          <w:b/>
          <w:sz w:val="28"/>
          <w:szCs w:val="28"/>
          <w:u w:val="single"/>
          <w:lang w:val="en-US" w:eastAsia="zh-CN" w:bidi="ar-SA"/>
        </w:rPr>
      </w:pPr>
      <w:r>
        <w:rPr>
          <w:rFonts w:ascii="宋体" w:hAnsi="宋体" w:eastAsia="宋体" w:cs="Times New Roman"/>
          <w:b/>
          <w:sz w:val="28"/>
          <w:szCs w:val="28"/>
          <w:lang w:val="en-US" w:eastAsia="en-US" w:bidi="ar-SA"/>
        </w:rPr>
        <w:t>报告题目</w:t>
      </w:r>
      <w:r>
        <w:rPr>
          <w:rFonts w:hint="eastAsia" w:ascii="宋体" w:hAnsi="宋体" w:eastAsia="宋体" w:cs="Times New Roman"/>
          <w:b/>
          <w:sz w:val="28"/>
          <w:szCs w:val="28"/>
          <w:u w:val="thick"/>
          <w:lang w:val="en-US" w:eastAsia="zh-CN" w:bidi="ar-SA"/>
        </w:rPr>
        <w:t xml:space="preserve"> </w:t>
      </w:r>
      <w:r>
        <w:rPr>
          <w:rFonts w:hint="eastAsia"/>
          <w:b w:val="0"/>
          <w:bCs/>
          <w:sz w:val="28"/>
          <w:szCs w:val="28"/>
          <w:u w:val="thick"/>
          <w:lang w:val="en-US" w:eastAsia="zh-CN"/>
        </w:rPr>
        <w:t>基于</w:t>
      </w:r>
      <w:r>
        <w:rPr>
          <w:rFonts w:hint="eastAsia" w:ascii="宋体" w:hAnsi="宋体" w:eastAsia="宋体" w:cs="Times New Roman"/>
          <w:b/>
          <w:sz w:val="28"/>
          <w:szCs w:val="28"/>
          <w:u w:val="thick"/>
          <w:lang w:val="en-US" w:eastAsia="en-US" w:bidi="ar-SA"/>
        </w:rPr>
        <w:t>GraphRAG的地震灾害</w:t>
      </w:r>
      <w:r>
        <w:rPr>
          <w:rFonts w:hint="eastAsia" w:ascii="宋体" w:hAnsi="宋体" w:eastAsia="宋体" w:cs="Times New Roman"/>
          <w:b/>
          <w:sz w:val="28"/>
          <w:szCs w:val="28"/>
          <w:u w:val="thick"/>
          <w:lang w:val="en-US" w:eastAsia="zh-CN" w:bidi="ar-SA"/>
        </w:rPr>
        <w:t>AI</w:t>
      </w:r>
      <w:r>
        <w:rPr>
          <w:rFonts w:hint="eastAsia" w:ascii="宋体" w:hAnsi="宋体" w:eastAsia="宋体" w:cs="Times New Roman"/>
          <w:b/>
          <w:sz w:val="28"/>
          <w:szCs w:val="28"/>
          <w:u w:val="thick"/>
          <w:lang w:val="en-US" w:eastAsia="en-US" w:bidi="ar-SA"/>
        </w:rPr>
        <w:t>关键技术图谱</w:t>
      </w:r>
      <w:r>
        <w:rPr>
          <w:rFonts w:hint="eastAsia" w:ascii="宋体" w:hAnsi="宋体" w:eastAsia="宋体" w:cs="Times New Roman"/>
          <w:b/>
          <w:sz w:val="28"/>
          <w:szCs w:val="28"/>
          <w:u w:val="thick"/>
          <w:lang w:val="en-US" w:eastAsia="zh-CN" w:bidi="ar-SA"/>
        </w:rPr>
        <w:t>构建</w:t>
      </w:r>
      <w:r>
        <w:rPr>
          <w:rFonts w:ascii="宋体" w:hAnsi="宋体" w:eastAsia="宋体" w:cs="Times New Roman"/>
          <w:b/>
          <w:sz w:val="28"/>
          <w:szCs w:val="28"/>
          <w:u w:val="thick"/>
          <w:lang w:val="en-US" w:eastAsia="en-US" w:bidi="ar-SA"/>
        </w:rPr>
        <w:t xml:space="preserve"> </w:t>
      </w:r>
      <w:r>
        <w:rPr>
          <w:rFonts w:hint="eastAsia" w:ascii="宋体" w:hAnsi="宋体" w:eastAsia="宋体" w:cs="Times New Roman"/>
          <w:b/>
          <w:sz w:val="28"/>
          <w:szCs w:val="28"/>
          <w:u w:val="thick"/>
          <w:lang w:val="en-US" w:eastAsia="zh-CN" w:bidi="ar-SA"/>
        </w:rPr>
        <w:tab/>
      </w:r>
    </w:p>
    <w:p w14:paraId="73190BA8">
      <w:pPr>
        <w:spacing w:before="120" w:after="120" w:line="360" w:lineRule="auto"/>
        <w:ind w:firstLine="480"/>
        <w:rPr>
          <w:rFonts w:hint="default" w:ascii="宋体" w:hAnsi="宋体" w:eastAsia="宋体" w:cs="Times New Roman"/>
          <w:b/>
          <w:sz w:val="28"/>
          <w:szCs w:val="28"/>
          <w:u w:val="single"/>
          <w:lang w:val="en-US" w:eastAsia="zh-CN" w:bidi="ar-SA"/>
        </w:rPr>
      </w:pPr>
      <w:r>
        <w:rPr>
          <w:rFonts w:hint="eastAsia" w:ascii="宋体" w:hAnsi="宋体" w:eastAsia="宋体" w:cs="Times New Roman"/>
          <w:b/>
          <w:sz w:val="28"/>
          <w:szCs w:val="28"/>
          <w:lang w:val="en-US" w:eastAsia="zh-CN" w:bidi="ar-SA"/>
        </w:rPr>
        <w:t>姓</w:t>
      </w:r>
      <w:r>
        <w:rPr>
          <w:rFonts w:ascii="宋体" w:hAnsi="宋体" w:eastAsia="宋体" w:cs="Times New Roman"/>
          <w:b/>
          <w:sz w:val="28"/>
          <w:szCs w:val="28"/>
          <w:lang w:val="en-US" w:eastAsia="en-US" w:bidi="ar-SA"/>
        </w:rPr>
        <w:t xml:space="preserve">  </w:t>
      </w:r>
      <w:r>
        <w:rPr>
          <w:rFonts w:hint="eastAsia" w:ascii="宋体" w:hAnsi="宋体" w:eastAsia="宋体" w:cs="Times New Roman"/>
          <w:b/>
          <w:sz w:val="28"/>
          <w:szCs w:val="28"/>
          <w:lang w:val="en-US" w:eastAsia="en-US" w:bidi="ar-SA"/>
        </w:rPr>
        <w:t xml:space="preserve"> </w:t>
      </w:r>
      <w:r>
        <w:rPr>
          <w:rFonts w:ascii="宋体" w:hAnsi="宋体" w:eastAsia="宋体" w:cs="Times New Roman"/>
          <w:b/>
          <w:sz w:val="28"/>
          <w:szCs w:val="28"/>
          <w:lang w:val="en-US" w:eastAsia="en-US" w:bidi="ar-SA"/>
        </w:rPr>
        <w:t xml:space="preserve"> </w:t>
      </w:r>
      <w:r>
        <w:rPr>
          <w:rFonts w:hint="eastAsia" w:ascii="宋体" w:hAnsi="宋体" w:eastAsia="宋体" w:cs="Times New Roman"/>
          <w:b/>
          <w:sz w:val="28"/>
          <w:szCs w:val="28"/>
          <w:lang w:val="en-US" w:eastAsia="zh-CN" w:bidi="ar-SA"/>
        </w:rPr>
        <w:t>名</w:t>
      </w:r>
      <w:r>
        <w:rPr>
          <w:rFonts w:hint="eastAsia" w:ascii="宋体" w:hAnsi="宋体" w:eastAsia="宋体" w:cs="Times New Roman"/>
          <w:b/>
          <w:sz w:val="28"/>
          <w:szCs w:val="28"/>
          <w:u w:val="single"/>
          <w:lang w:val="en-US" w:eastAsia="zh-CN" w:bidi="ar-SA"/>
        </w:rPr>
        <w:tab/>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成雕</w:t>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t>学</w:t>
      </w:r>
      <w:r>
        <w:rPr>
          <w:rFonts w:hint="eastAsia" w:ascii="宋体" w:hAnsi="宋体" w:eastAsia="宋体" w:cs="Times New Roman"/>
          <w:b/>
          <w:sz w:val="28"/>
          <w:szCs w:val="28"/>
          <w:lang w:val="en-US" w:eastAsia="en-US" w:bidi="ar-SA"/>
        </w:rPr>
        <w:t xml:space="preserve">    </w:t>
      </w:r>
      <w:r>
        <w:rPr>
          <w:rFonts w:hint="eastAsia" w:ascii="宋体" w:hAnsi="宋体" w:eastAsia="宋体" w:cs="Times New Roman"/>
          <w:b/>
          <w:sz w:val="28"/>
          <w:szCs w:val="28"/>
          <w:lang w:val="en-US" w:eastAsia="zh-CN" w:bidi="ar-SA"/>
        </w:rPr>
        <w:t>号</w:t>
      </w:r>
      <w:r>
        <w:rPr>
          <w:rFonts w:ascii="宋体" w:hAnsi="宋体" w:eastAsia="宋体" w:cs="Times New Roman"/>
          <w:b/>
          <w:sz w:val="28"/>
          <w:szCs w:val="28"/>
          <w:u w:val="thick"/>
          <w:lang w:val="en-US" w:eastAsia="en-US" w:bidi="ar-SA"/>
        </w:rPr>
        <w:t xml:space="preserve">   </w:t>
      </w:r>
      <w:r>
        <w:rPr>
          <w:rFonts w:hint="eastAsia" w:ascii="宋体" w:hAnsi="宋体" w:eastAsia="宋体" w:cs="Times New Roman"/>
          <w:b/>
          <w:sz w:val="28"/>
          <w:szCs w:val="28"/>
          <w:u w:val="thick"/>
          <w:lang w:val="en-US" w:eastAsia="en-US" w:bidi="ar-SA"/>
        </w:rPr>
        <w:t xml:space="preserve">   </w:t>
      </w:r>
      <w:r>
        <w:rPr>
          <w:rFonts w:hint="eastAsia" w:ascii="宋体" w:hAnsi="宋体" w:eastAsia="宋体" w:cs="Times New Roman"/>
          <w:b/>
          <w:sz w:val="28"/>
          <w:szCs w:val="28"/>
          <w:u w:val="thick"/>
          <w:lang w:val="en-US" w:eastAsia="zh-CN" w:bidi="ar-SA"/>
        </w:rPr>
        <w:t>25661632</w:t>
      </w:r>
      <w:r>
        <w:rPr>
          <w:rFonts w:hint="eastAsia" w:ascii="宋体" w:hAnsi="宋体" w:eastAsia="宋体" w:cs="Times New Roman"/>
          <w:b/>
          <w:sz w:val="28"/>
          <w:szCs w:val="28"/>
          <w:u w:val="thick"/>
          <w:lang w:val="en-US" w:eastAsia="en-US" w:bidi="ar-SA"/>
        </w:rPr>
        <w:t xml:space="preserve">     </w:t>
      </w:r>
      <w:bookmarkStart w:id="45" w:name="_GoBack"/>
      <w:bookmarkEnd w:id="45"/>
    </w:p>
    <w:p w14:paraId="557B33B8">
      <w:pPr>
        <w:spacing w:before="120" w:after="120" w:line="360" w:lineRule="auto"/>
        <w:ind w:firstLine="480"/>
        <w:rPr>
          <w:rFonts w:hint="default" w:ascii="宋体" w:hAnsi="宋体" w:eastAsia="宋体" w:cs="Times New Roman"/>
          <w:b/>
          <w:sz w:val="28"/>
          <w:szCs w:val="28"/>
          <w:u w:val="single"/>
          <w:lang w:val="en-US" w:eastAsia="en-US" w:bidi="ar-SA"/>
        </w:rPr>
      </w:pPr>
      <w:r>
        <w:rPr>
          <w:rFonts w:hint="eastAsia" w:ascii="宋体" w:hAnsi="宋体" w:eastAsia="宋体" w:cs="Times New Roman"/>
          <w:b/>
          <w:spacing w:val="50"/>
          <w:sz w:val="28"/>
          <w:szCs w:val="28"/>
          <w:lang w:val="en-US" w:eastAsia="en-US" w:bidi="ar-SA"/>
        </w:rPr>
        <w:t xml:space="preserve">年  </w:t>
      </w:r>
      <w:r>
        <w:rPr>
          <w:rFonts w:ascii="宋体" w:hAnsi="宋体" w:eastAsia="宋体" w:cs="Times New Roman"/>
          <w:b/>
          <w:spacing w:val="50"/>
          <w:sz w:val="28"/>
          <w:szCs w:val="28"/>
          <w:lang w:val="en-US" w:eastAsia="en-US" w:bidi="ar-SA"/>
        </w:rPr>
        <w:t>级</w:t>
      </w:r>
      <w:r>
        <w:rPr>
          <w:rFonts w:ascii="宋体" w:hAnsi="宋体" w:eastAsia="宋体" w:cs="Times New Roman"/>
          <w:b/>
          <w:sz w:val="28"/>
          <w:szCs w:val="28"/>
          <w:u w:val="thick"/>
          <w:lang w:val="en-US" w:eastAsia="en-US" w:bidi="ar-SA"/>
        </w:rPr>
        <w:t xml:space="preserve">   </w:t>
      </w:r>
      <w:r>
        <w:rPr>
          <w:rFonts w:hint="eastAsia" w:ascii="宋体" w:hAnsi="宋体" w:eastAsia="宋体" w:cs="Times New Roman"/>
          <w:b/>
          <w:sz w:val="28"/>
          <w:szCs w:val="28"/>
          <w:u w:val="thick"/>
          <w:lang w:val="en-US" w:eastAsia="en-US" w:bidi="ar-SA"/>
        </w:rPr>
        <w:t xml:space="preserve">   202</w:t>
      </w:r>
      <w:r>
        <w:rPr>
          <w:rFonts w:ascii="宋体" w:hAnsi="宋体" w:eastAsia="宋体" w:cs="Times New Roman"/>
          <w:b/>
          <w:sz w:val="28"/>
          <w:szCs w:val="28"/>
          <w:u w:val="thick"/>
          <w:lang w:val="en-US" w:eastAsia="en-US" w:bidi="ar-SA"/>
        </w:rPr>
        <w:t>5</w:t>
      </w:r>
      <w:r>
        <w:rPr>
          <w:rFonts w:hint="eastAsia" w:ascii="宋体" w:hAnsi="宋体" w:eastAsia="宋体" w:cs="Times New Roman"/>
          <w:b/>
          <w:sz w:val="28"/>
          <w:szCs w:val="28"/>
          <w:u w:val="thick"/>
          <w:lang w:val="en-US" w:eastAsia="en-US" w:bidi="ar-SA"/>
        </w:rPr>
        <w:t xml:space="preserve">级 </w:t>
      </w:r>
      <w:r>
        <w:rPr>
          <w:rFonts w:ascii="宋体" w:hAnsi="宋体" w:eastAsia="宋体" w:cs="Times New Roman"/>
          <w:b/>
          <w:sz w:val="28"/>
          <w:szCs w:val="28"/>
          <w:u w:val="thick"/>
          <w:lang w:val="en-US" w:eastAsia="en-US" w:bidi="ar-SA"/>
        </w:rPr>
        <w:t xml:space="preserve">    </w:t>
      </w:r>
      <w:r>
        <w:rPr>
          <w:rFonts w:ascii="宋体" w:hAnsi="宋体" w:eastAsia="宋体" w:cs="Times New Roman"/>
          <w:b/>
          <w:sz w:val="28"/>
          <w:szCs w:val="28"/>
          <w:lang w:val="en-US" w:eastAsia="en-US" w:bidi="ar-SA"/>
        </w:rPr>
        <w:t>指导教师</w:t>
      </w:r>
      <w:r>
        <w:rPr>
          <w:rFonts w:ascii="宋体" w:hAnsi="宋体" w:eastAsia="宋体" w:cs="Times New Roman"/>
          <w:b/>
          <w:sz w:val="28"/>
          <w:szCs w:val="28"/>
          <w:u w:val="thick"/>
          <w:lang w:val="en-US" w:eastAsia="en-US" w:bidi="ar-SA"/>
        </w:rPr>
        <w:t xml:space="preserve">    </w:t>
      </w:r>
      <w:r>
        <w:rPr>
          <w:rFonts w:hint="eastAsia" w:ascii="宋体" w:hAnsi="宋体" w:eastAsia="宋体" w:cs="Times New Roman"/>
          <w:b/>
          <w:sz w:val="28"/>
          <w:szCs w:val="28"/>
          <w:u w:val="thick"/>
          <w:lang w:val="en-US" w:eastAsia="en-US" w:bidi="ar-SA"/>
        </w:rPr>
        <w:t xml:space="preserve"> </w:t>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袁静</w:t>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r>
        <w:rPr>
          <w:rFonts w:hint="eastAsia" w:ascii="宋体" w:hAnsi="宋体" w:eastAsia="宋体" w:cs="Times New Roman"/>
          <w:b/>
          <w:sz w:val="28"/>
          <w:szCs w:val="28"/>
          <w:u w:val="thick"/>
          <w:lang w:val="en-US" w:eastAsia="zh-CN" w:bidi="ar-SA"/>
        </w:rPr>
        <w:tab/>
      </w:r>
    </w:p>
    <w:p w14:paraId="29060291">
      <w:pPr>
        <w:tabs>
          <w:tab w:val="left" w:pos="7797"/>
        </w:tabs>
        <w:spacing w:before="120" w:after="120" w:line="360" w:lineRule="auto"/>
        <w:ind w:firstLine="480"/>
        <w:rPr>
          <w:rFonts w:ascii="宋体" w:hAnsi="宋体" w:eastAsia="宋体" w:cs="Times New Roman"/>
          <w:b/>
          <w:sz w:val="28"/>
          <w:szCs w:val="28"/>
          <w:lang w:val="en-US" w:eastAsia="en-US" w:bidi="ar-SA"/>
        </w:rPr>
      </w:pPr>
    </w:p>
    <w:p w14:paraId="576E71E2">
      <w:pPr>
        <w:tabs>
          <w:tab w:val="left" w:pos="7797"/>
        </w:tabs>
        <w:spacing w:before="120" w:after="120" w:line="360" w:lineRule="auto"/>
        <w:ind w:firstLine="480"/>
        <w:rPr>
          <w:rFonts w:ascii="宋体" w:hAnsi="宋体" w:eastAsia="宋体" w:cs="Times New Roman"/>
          <w:b/>
          <w:sz w:val="28"/>
          <w:szCs w:val="28"/>
          <w:lang w:val="en-US" w:eastAsia="en-US" w:bidi="ar-SA"/>
        </w:rPr>
      </w:pPr>
    </w:p>
    <w:p w14:paraId="1924605B">
      <w:pPr>
        <w:spacing w:before="120" w:after="120" w:line="360" w:lineRule="auto"/>
        <w:ind w:firstLine="480"/>
        <w:jc w:val="center"/>
        <w:rPr>
          <w:rFonts w:ascii="宋体" w:hAnsi="宋体" w:eastAsia="宋体" w:cs="Times New Roman"/>
          <w:b/>
          <w:sz w:val="28"/>
          <w:szCs w:val="28"/>
          <w:lang w:val="en-US" w:eastAsia="en-US" w:bidi="ar-SA"/>
        </w:rPr>
      </w:pPr>
      <w:r>
        <w:rPr>
          <w:rFonts w:hint="eastAsia" w:ascii="宋体" w:hAnsi="宋体" w:eastAsia="宋体" w:cs="Times New Roman"/>
          <w:b/>
          <w:sz w:val="28"/>
          <w:szCs w:val="28"/>
          <w:lang w:val="en-US" w:eastAsia="en-US" w:bidi="ar-SA"/>
        </w:rPr>
        <w:t>202</w:t>
      </w:r>
      <w:r>
        <w:rPr>
          <w:rFonts w:ascii="宋体" w:hAnsi="宋体" w:eastAsia="宋体" w:cs="Times New Roman"/>
          <w:b/>
          <w:sz w:val="28"/>
          <w:szCs w:val="28"/>
          <w:lang w:val="en-US" w:eastAsia="en-US" w:bidi="ar-SA"/>
        </w:rPr>
        <w:t>6</w:t>
      </w:r>
      <w:r>
        <w:rPr>
          <w:rFonts w:hint="eastAsia" w:ascii="宋体" w:hAnsi="宋体" w:eastAsia="宋体" w:cs="Times New Roman"/>
          <w:b/>
          <w:sz w:val="28"/>
          <w:szCs w:val="28"/>
          <w:lang w:val="en-US" w:eastAsia="en-US" w:bidi="ar-SA"/>
        </w:rPr>
        <w:t>年6月26日</w:t>
      </w:r>
    </w:p>
    <w:p w14:paraId="5A8A01AB">
      <w:pPr>
        <w:spacing w:after="120"/>
        <w:rPr>
          <w:rFonts w:eastAsia="黑体"/>
          <w:sz w:val="32"/>
          <w:szCs w:val="32"/>
        </w:rPr>
        <w:sectPr>
          <w:headerReference r:id="rId5" w:type="default"/>
          <w:footerReference r:id="rId6" w:type="default"/>
          <w:pgSz w:w="11906" w:h="16838"/>
          <w:pgMar w:top="1440" w:right="1800" w:bottom="1440" w:left="1800" w:header="851" w:footer="992" w:gutter="0"/>
          <w:cols w:space="720" w:num="1"/>
          <w:docGrid w:type="lines" w:linePitch="312" w:charSpace="0"/>
        </w:sectPr>
      </w:pPr>
    </w:p>
    <w:sdt>
      <w:sdtPr>
        <w:id w:val="147477692"/>
        <w15:color w:val="DBDBDB"/>
        <w:docPartObj>
          <w:docPartGallery w:val="Table of Contents"/>
          <w:docPartUnique/>
        </w:docPartObj>
      </w:sdtPr>
      <w:sdtEndPr>
        <w:rPr>
          <w:rFonts w:ascii="微软雅黑" w:hAnsi="微软雅黑" w:eastAsia="微软雅黑" w:cstheme="majorBidi"/>
          <w:bCs/>
          <w:color w:val="2E74B5"/>
          <w:sz w:val="22"/>
          <w:szCs w:val="28"/>
          <w:lang w:val="en-US" w:eastAsia="en-US" w:bidi="ar-SA"/>
        </w:rPr>
      </w:sdtEndPr>
      <w:sdtContent>
        <w:p w14:paraId="4FBFC6DA">
          <w:pPr>
            <w:pStyle w:val="25"/>
            <w:widowControl/>
            <w:outlineLvl w:val="9"/>
          </w:pPr>
          <w:r>
            <w:t>目录</w:t>
          </w:r>
        </w:p>
        <w:p w14:paraId="2C9E72B6">
          <w:pPr>
            <w:pStyle w:val="17"/>
            <w:tabs>
              <w:tab w:val="right" w:leader="dot" w:pos="8306"/>
            </w:tabs>
            <w:ind w:left="0" w:leftChars="0" w:firstLine="0" w:firstLineChars="0"/>
          </w:pPr>
          <w:r>
            <w:rPr>
              <w:rFonts w:ascii="微软雅黑" w:hAnsi="微软雅黑" w:eastAsia="微软雅黑" w:cstheme="majorBidi"/>
              <w:b/>
              <w:bCs/>
              <w:color w:val="2E74B5"/>
              <w:sz w:val="32"/>
              <w:szCs w:val="28"/>
              <w:lang w:val="en-US" w:eastAsia="en-US" w:bidi="ar-SA"/>
            </w:rPr>
            <w:fldChar w:fldCharType="begin"/>
          </w:r>
          <w:r>
            <w:rPr>
              <w:rFonts w:ascii="微软雅黑" w:hAnsi="微软雅黑" w:eastAsia="微软雅黑" w:cstheme="majorBidi"/>
              <w:b/>
              <w:bCs/>
              <w:color w:val="2E74B5"/>
              <w:sz w:val="32"/>
              <w:szCs w:val="28"/>
              <w:lang w:val="en-US" w:eastAsia="en-US" w:bidi="ar-SA"/>
            </w:rPr>
            <w:instrText xml:space="preserve">TOC \o "1-3" \h \u </w:instrText>
          </w:r>
          <w:r>
            <w:rPr>
              <w:rFonts w:ascii="微软雅黑" w:hAnsi="微软雅黑" w:eastAsia="微软雅黑" w:cstheme="majorBidi"/>
              <w:b/>
              <w:bCs/>
              <w:color w:val="2E74B5"/>
              <w:sz w:val="32"/>
              <w:szCs w:val="28"/>
              <w:lang w:val="en-US" w:eastAsia="en-US" w:bidi="ar-SA"/>
            </w:rPr>
            <w:fldChar w:fldCharType="separate"/>
          </w: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_Toc32162 </w:instrText>
          </w:r>
          <w:r>
            <w:rPr>
              <w:rFonts w:ascii="微软雅黑" w:hAnsi="微软雅黑" w:eastAsia="微软雅黑" w:cstheme="majorBidi"/>
              <w:bCs/>
              <w:szCs w:val="28"/>
              <w:lang w:val="en-US" w:eastAsia="en-US" w:bidi="ar-SA"/>
            </w:rPr>
            <w:fldChar w:fldCharType="separate"/>
          </w:r>
          <w:r>
            <w:t>成员分工与报告结构说明</w:t>
          </w:r>
          <w:r>
            <w:tab/>
          </w:r>
          <w:r>
            <w:fldChar w:fldCharType="begin"/>
          </w:r>
          <w:r>
            <w:instrText xml:space="preserve"> PAGEREF _Toc32162 \h </w:instrText>
          </w:r>
          <w:r>
            <w:fldChar w:fldCharType="separate"/>
          </w:r>
          <w:r>
            <w:t>4</w:t>
          </w:r>
          <w:r>
            <w:fldChar w:fldCharType="end"/>
          </w:r>
          <w:r>
            <w:rPr>
              <w:rFonts w:ascii="微软雅黑" w:hAnsi="微软雅黑" w:eastAsia="微软雅黑" w:cstheme="majorBidi"/>
              <w:bCs/>
              <w:color w:val="2E74B5"/>
              <w:szCs w:val="28"/>
              <w:lang w:val="en-US" w:eastAsia="en-US" w:bidi="ar-SA"/>
            </w:rPr>
            <w:fldChar w:fldCharType="end"/>
          </w:r>
        </w:p>
        <w:p w14:paraId="19125303">
          <w:pPr>
            <w:pStyle w:val="15"/>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_Toc6999 </w:instrText>
          </w:r>
          <w:r>
            <w:rPr>
              <w:rFonts w:ascii="微软雅黑" w:hAnsi="微软雅黑" w:eastAsia="微软雅黑" w:cstheme="majorBidi"/>
              <w:bCs/>
              <w:szCs w:val="28"/>
              <w:lang w:val="en-US" w:eastAsia="en-US" w:bidi="ar-SA"/>
            </w:rPr>
            <w:fldChar w:fldCharType="separate"/>
          </w:r>
          <w:r>
            <w:t>摘要</w:t>
          </w:r>
          <w:r>
            <w:tab/>
          </w:r>
          <w:r>
            <w:fldChar w:fldCharType="begin"/>
          </w:r>
          <w:r>
            <w:instrText xml:space="preserve"> PAGEREF _Toc6999 \h </w:instrText>
          </w:r>
          <w:r>
            <w:fldChar w:fldCharType="separate"/>
          </w:r>
          <w:r>
            <w:t>5</w:t>
          </w:r>
          <w:r>
            <w:fldChar w:fldCharType="end"/>
          </w:r>
          <w:r>
            <w:rPr>
              <w:rFonts w:ascii="微软雅黑" w:hAnsi="微软雅黑" w:eastAsia="微软雅黑" w:cstheme="majorBidi"/>
              <w:bCs/>
              <w:color w:val="2E74B5"/>
              <w:szCs w:val="28"/>
              <w:lang w:val="en-US" w:eastAsia="en-US" w:bidi="ar-SA"/>
            </w:rPr>
            <w:fldChar w:fldCharType="end"/>
          </w:r>
        </w:p>
        <w:p w14:paraId="29B8BC31">
          <w:pPr>
            <w:pStyle w:val="15"/>
            <w:tabs>
              <w:tab w:val="right" w:leader="dot" w:pos="8306"/>
            </w:tabs>
            <w:rPr>
              <w:b/>
              <w:bCs/>
            </w:rPr>
          </w:pPr>
          <w:r>
            <w:rPr>
              <w:rFonts w:ascii="微软雅黑" w:hAnsi="微软雅黑" w:eastAsia="微软雅黑" w:cstheme="majorBidi"/>
              <w:b/>
              <w:bCs/>
              <w:color w:val="2E74B5"/>
              <w:szCs w:val="28"/>
              <w:lang w:val="en-US" w:eastAsia="en-US" w:bidi="ar-SA"/>
            </w:rPr>
            <w:fldChar w:fldCharType="begin"/>
          </w:r>
          <w:r>
            <w:rPr>
              <w:rFonts w:ascii="微软雅黑" w:hAnsi="微软雅黑" w:eastAsia="微软雅黑" w:cstheme="majorBidi"/>
              <w:b/>
              <w:bCs/>
              <w:szCs w:val="28"/>
              <w:lang w:val="en-US" w:eastAsia="en-US" w:bidi="ar-SA"/>
            </w:rPr>
            <w:instrText xml:space="preserve"> HYPERLINK \l _Toc31408 </w:instrText>
          </w:r>
          <w:r>
            <w:rPr>
              <w:rFonts w:ascii="微软雅黑" w:hAnsi="微软雅黑" w:eastAsia="微软雅黑" w:cstheme="majorBidi"/>
              <w:b/>
              <w:bCs/>
              <w:szCs w:val="28"/>
              <w:lang w:val="en-US" w:eastAsia="en-US" w:bidi="ar-SA"/>
            </w:rPr>
            <w:fldChar w:fldCharType="separate"/>
          </w:r>
          <w:r>
            <w:rPr>
              <w:b/>
              <w:bCs/>
            </w:rPr>
            <w:t>第二部分 ：系统实现、图谱构建、前端展示与结果分析</w:t>
          </w:r>
          <w:r>
            <w:rPr>
              <w:b/>
              <w:bCs/>
            </w:rPr>
            <w:tab/>
          </w:r>
          <w:r>
            <w:rPr>
              <w:b/>
              <w:bCs/>
            </w:rPr>
            <w:fldChar w:fldCharType="begin"/>
          </w:r>
          <w:r>
            <w:rPr>
              <w:b/>
              <w:bCs/>
            </w:rPr>
            <w:instrText xml:space="preserve"> PAGEREF _Toc31408 \h </w:instrText>
          </w:r>
          <w:r>
            <w:rPr>
              <w:b/>
              <w:bCs/>
            </w:rPr>
            <w:fldChar w:fldCharType="separate"/>
          </w:r>
          <w:r>
            <w:rPr>
              <w:b/>
              <w:bCs/>
            </w:rPr>
            <w:t>5</w:t>
          </w:r>
          <w:r>
            <w:rPr>
              <w:b/>
              <w:bCs/>
            </w:rPr>
            <w:fldChar w:fldCharType="end"/>
          </w:r>
          <w:r>
            <w:rPr>
              <w:rFonts w:ascii="微软雅黑" w:hAnsi="微软雅黑" w:eastAsia="微软雅黑" w:cstheme="majorBidi"/>
              <w:b/>
              <w:bCs/>
              <w:color w:val="2E74B5"/>
              <w:szCs w:val="28"/>
              <w:lang w:val="en-US" w:eastAsia="en-US" w:bidi="ar-SA"/>
            </w:rPr>
            <w:fldChar w:fldCharType="end"/>
          </w:r>
        </w:p>
        <w:p w14:paraId="1601C94B">
          <w:pPr>
            <w:pStyle w:val="17"/>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_Toc29675 </w:instrText>
          </w:r>
          <w:r>
            <w:rPr>
              <w:rFonts w:ascii="微软雅黑" w:hAnsi="微软雅黑" w:eastAsia="微软雅黑" w:cstheme="majorBidi"/>
              <w:bCs/>
              <w:szCs w:val="28"/>
              <w:lang w:val="en-US" w:eastAsia="en-US" w:bidi="ar-SA"/>
            </w:rPr>
            <w:fldChar w:fldCharType="separate"/>
          </w:r>
          <w:r>
            <w:rPr>
              <w:b/>
              <w:bCs/>
            </w:rPr>
            <w:t>5 系统总体设计与工程目录</w:t>
          </w:r>
          <w:r>
            <w:tab/>
          </w:r>
          <w:r>
            <w:fldChar w:fldCharType="begin"/>
          </w:r>
          <w:r>
            <w:instrText xml:space="preserve"> PAGEREF _Toc29675 \h </w:instrText>
          </w:r>
          <w:r>
            <w:fldChar w:fldCharType="separate"/>
          </w:r>
          <w:r>
            <w:t>5</w:t>
          </w:r>
          <w:r>
            <w:fldChar w:fldCharType="end"/>
          </w:r>
          <w:r>
            <w:rPr>
              <w:rFonts w:ascii="微软雅黑" w:hAnsi="微软雅黑" w:eastAsia="微软雅黑" w:cstheme="majorBidi"/>
              <w:bCs/>
              <w:color w:val="2E74B5"/>
              <w:szCs w:val="28"/>
              <w:lang w:val="en-US" w:eastAsia="en-US" w:bidi="ar-SA"/>
            </w:rPr>
            <w:fldChar w:fldCharType="end"/>
          </w:r>
        </w:p>
        <w:p w14:paraId="222EE751">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_Toc16470 </w:instrText>
          </w:r>
          <w:r>
            <w:rPr>
              <w:rFonts w:ascii="微软雅黑" w:hAnsi="微软雅黑" w:eastAsia="微软雅黑" w:cstheme="majorBidi"/>
              <w:bCs/>
              <w:szCs w:val="28"/>
              <w:lang w:val="en-US" w:eastAsia="en-US" w:bidi="ar-SA"/>
            </w:rPr>
            <w:fldChar w:fldCharType="separate"/>
          </w:r>
          <w:r>
            <w:rPr>
              <w:rFonts w:hint="default"/>
            </w:rPr>
            <w:t xml:space="preserve">5.1 </w:t>
          </w:r>
          <w:r>
            <w:t>项目目录结构与成果组织方式</w:t>
          </w:r>
          <w:r>
            <w:tab/>
          </w:r>
          <w:r>
            <w:fldChar w:fldCharType="begin"/>
          </w:r>
          <w:r>
            <w:instrText xml:space="preserve"> PAGEREF _Toc16470 \h </w:instrText>
          </w:r>
          <w:r>
            <w:fldChar w:fldCharType="separate"/>
          </w:r>
          <w:r>
            <w:t>6</w:t>
          </w:r>
          <w:r>
            <w:fldChar w:fldCharType="end"/>
          </w:r>
          <w:r>
            <w:rPr>
              <w:rFonts w:ascii="微软雅黑" w:hAnsi="微软雅黑" w:eastAsia="微软雅黑" w:cstheme="majorBidi"/>
              <w:bCs/>
              <w:color w:val="2E74B5"/>
              <w:szCs w:val="28"/>
              <w:lang w:val="en-US" w:eastAsia="en-US" w:bidi="ar-SA"/>
            </w:rPr>
            <w:fldChar w:fldCharType="end"/>
          </w:r>
        </w:p>
        <w:p w14:paraId="406ED8DD">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_Toc30961 </w:instrText>
          </w:r>
          <w:r>
            <w:rPr>
              <w:rFonts w:ascii="微软雅黑" w:hAnsi="微软雅黑" w:eastAsia="微软雅黑" w:cstheme="majorBidi"/>
              <w:bCs/>
              <w:szCs w:val="28"/>
              <w:lang w:val="en-US" w:eastAsia="en-US" w:bidi="ar-SA"/>
            </w:rPr>
            <w:fldChar w:fldCharType="separate"/>
          </w:r>
          <w:r>
            <w:rPr>
              <w:rFonts w:hint="default"/>
            </w:rPr>
            <w:t xml:space="preserve">5.2 </w:t>
          </w:r>
          <w:r>
            <w:t>GraphRAG 索引重建流程</w:t>
          </w:r>
          <w:r>
            <w:tab/>
          </w:r>
          <w:r>
            <w:fldChar w:fldCharType="begin"/>
          </w:r>
          <w:r>
            <w:instrText xml:space="preserve"> PAGEREF _Toc30961 \h </w:instrText>
          </w:r>
          <w:r>
            <w:fldChar w:fldCharType="separate"/>
          </w:r>
          <w:r>
            <w:t>6</w:t>
          </w:r>
          <w:r>
            <w:fldChar w:fldCharType="end"/>
          </w:r>
          <w:r>
            <w:rPr>
              <w:rFonts w:ascii="微软雅黑" w:hAnsi="微软雅黑" w:eastAsia="微软雅黑" w:cstheme="majorBidi"/>
              <w:bCs/>
              <w:color w:val="2E74B5"/>
              <w:szCs w:val="28"/>
              <w:lang w:val="en-US" w:eastAsia="en-US" w:bidi="ar-SA"/>
            </w:rPr>
            <w:fldChar w:fldCharType="end"/>
          </w:r>
        </w:p>
        <w:p w14:paraId="62B1FB0E">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_Toc25338 </w:instrText>
          </w:r>
          <w:r>
            <w:rPr>
              <w:rFonts w:ascii="微软雅黑" w:hAnsi="微软雅黑" w:eastAsia="微软雅黑" w:cstheme="majorBidi"/>
              <w:bCs/>
              <w:szCs w:val="28"/>
              <w:lang w:val="en-US" w:eastAsia="en-US" w:bidi="ar-SA"/>
            </w:rPr>
            <w:fldChar w:fldCharType="separate"/>
          </w:r>
          <w:r>
            <w:rPr>
              <w:rFonts w:hint="default"/>
            </w:rPr>
            <w:t xml:space="preserve">5.3 </w:t>
          </w:r>
          <w:r>
            <w:t>后端数据文件与前端 atlas 数据衔接</w:t>
          </w:r>
          <w:r>
            <w:tab/>
          </w:r>
          <w:r>
            <w:fldChar w:fldCharType="begin"/>
          </w:r>
          <w:r>
            <w:instrText xml:space="preserve"> PAGEREF _Toc25338 \h </w:instrText>
          </w:r>
          <w:r>
            <w:fldChar w:fldCharType="separate"/>
          </w:r>
          <w:r>
            <w:t>7</w:t>
          </w:r>
          <w:r>
            <w:fldChar w:fldCharType="end"/>
          </w:r>
          <w:r>
            <w:rPr>
              <w:rFonts w:ascii="微软雅黑" w:hAnsi="微软雅黑" w:eastAsia="微软雅黑" w:cstheme="majorBidi"/>
              <w:bCs/>
              <w:color w:val="2E74B5"/>
              <w:szCs w:val="28"/>
              <w:lang w:val="en-US" w:eastAsia="en-US" w:bidi="ar-SA"/>
            </w:rPr>
            <w:fldChar w:fldCharType="end"/>
          </w:r>
        </w:p>
        <w:p w14:paraId="43DE4553">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_Toc24832 </w:instrText>
          </w:r>
          <w:r>
            <w:rPr>
              <w:rFonts w:ascii="微软雅黑" w:hAnsi="微软雅黑" w:eastAsia="微软雅黑" w:cstheme="majorBidi"/>
              <w:bCs/>
              <w:szCs w:val="28"/>
              <w:lang w:val="en-US" w:eastAsia="en-US" w:bidi="ar-SA"/>
            </w:rPr>
            <w:fldChar w:fldCharType="separate"/>
          </w:r>
          <w:r>
            <w:rPr>
              <w:rFonts w:hint="default"/>
            </w:rPr>
            <w:t xml:space="preserve">5.4 </w:t>
          </w:r>
          <w:r>
            <w:t>本项目不进行模型训练的实验边界</w:t>
          </w:r>
          <w:r>
            <w:tab/>
          </w:r>
          <w:r>
            <w:fldChar w:fldCharType="begin"/>
          </w:r>
          <w:r>
            <w:instrText xml:space="preserve"> PAGEREF _Toc24832 \h </w:instrText>
          </w:r>
          <w:r>
            <w:fldChar w:fldCharType="separate"/>
          </w:r>
          <w:r>
            <w:t>7</w:t>
          </w:r>
          <w:r>
            <w:fldChar w:fldCharType="end"/>
          </w:r>
          <w:r>
            <w:rPr>
              <w:rFonts w:ascii="微软雅黑" w:hAnsi="微软雅黑" w:eastAsia="微软雅黑" w:cstheme="majorBidi"/>
              <w:bCs/>
              <w:color w:val="2E74B5"/>
              <w:szCs w:val="28"/>
              <w:lang w:val="en-US" w:eastAsia="en-US" w:bidi="ar-SA"/>
            </w:rPr>
            <w:fldChar w:fldCharType="end"/>
          </w:r>
        </w:p>
        <w:p w14:paraId="5C67E57A">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_Toc2938 </w:instrText>
          </w:r>
          <w:r>
            <w:rPr>
              <w:rFonts w:ascii="微软雅黑" w:hAnsi="微软雅黑" w:eastAsia="微软雅黑" w:cstheme="majorBidi"/>
              <w:bCs/>
              <w:szCs w:val="28"/>
              <w:lang w:val="en-US" w:eastAsia="en-US" w:bidi="ar-SA"/>
            </w:rPr>
            <w:fldChar w:fldCharType="separate"/>
          </w:r>
          <w:r>
            <w:rPr>
              <w:rFonts w:hint="default"/>
            </w:rPr>
            <w:t xml:space="preserve">5.5 </w:t>
          </w:r>
          <w:r>
            <w:t>复现流程与运行环境说明</w:t>
          </w:r>
          <w:r>
            <w:tab/>
          </w:r>
          <w:r>
            <w:fldChar w:fldCharType="begin"/>
          </w:r>
          <w:r>
            <w:instrText xml:space="preserve"> PAGEREF _Toc2938 \h </w:instrText>
          </w:r>
          <w:r>
            <w:fldChar w:fldCharType="separate"/>
          </w:r>
          <w:r>
            <w:t>7</w:t>
          </w:r>
          <w:r>
            <w:fldChar w:fldCharType="end"/>
          </w:r>
          <w:r>
            <w:rPr>
              <w:rFonts w:ascii="微软雅黑" w:hAnsi="微软雅黑" w:eastAsia="微软雅黑" w:cstheme="majorBidi"/>
              <w:bCs/>
              <w:color w:val="2E74B5"/>
              <w:szCs w:val="28"/>
              <w:lang w:val="en-US" w:eastAsia="en-US" w:bidi="ar-SA"/>
            </w:rPr>
            <w:fldChar w:fldCharType="end"/>
          </w:r>
        </w:p>
        <w:p w14:paraId="33F10CB2">
          <w:pPr>
            <w:pStyle w:val="17"/>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_Toc21401 </w:instrText>
          </w:r>
          <w:r>
            <w:rPr>
              <w:rFonts w:ascii="微软雅黑" w:hAnsi="微软雅黑" w:eastAsia="微软雅黑" w:cstheme="majorBidi"/>
              <w:bCs/>
              <w:szCs w:val="28"/>
              <w:lang w:val="en-US" w:eastAsia="en-US" w:bidi="ar-SA"/>
            </w:rPr>
            <w:fldChar w:fldCharType="separate"/>
          </w:r>
          <w:r>
            <w:rPr>
              <w:rFonts w:hint="default"/>
              <w:b/>
              <w:bCs/>
            </w:rPr>
            <w:t xml:space="preserve">6 </w:t>
          </w:r>
          <w:r>
            <w:rPr>
              <w:b/>
              <w:bCs/>
            </w:rPr>
            <w:t>图谱构建详细实现</w:t>
          </w:r>
          <w:r>
            <w:tab/>
          </w:r>
          <w:r>
            <w:fldChar w:fldCharType="begin"/>
          </w:r>
          <w:r>
            <w:instrText xml:space="preserve"> PAGEREF _Toc21401 \h </w:instrText>
          </w:r>
          <w:r>
            <w:fldChar w:fldCharType="separate"/>
          </w:r>
          <w:r>
            <w:t>7</w:t>
          </w:r>
          <w:r>
            <w:fldChar w:fldCharType="end"/>
          </w:r>
          <w:r>
            <w:rPr>
              <w:rFonts w:ascii="微软雅黑" w:hAnsi="微软雅黑" w:eastAsia="微软雅黑" w:cstheme="majorBidi"/>
              <w:bCs/>
              <w:color w:val="2E74B5"/>
              <w:szCs w:val="28"/>
              <w:lang w:val="en-US" w:eastAsia="en-US" w:bidi="ar-SA"/>
            </w:rPr>
            <w:fldChar w:fldCharType="end"/>
          </w:r>
        </w:p>
        <w:p w14:paraId="38270010">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_Toc17670 </w:instrText>
          </w:r>
          <w:r>
            <w:rPr>
              <w:rFonts w:ascii="微软雅黑" w:hAnsi="微软雅黑" w:eastAsia="微软雅黑" w:cstheme="majorBidi"/>
              <w:bCs/>
              <w:szCs w:val="28"/>
              <w:lang w:val="en-US" w:eastAsia="en-US" w:bidi="ar-SA"/>
            </w:rPr>
            <w:fldChar w:fldCharType="separate"/>
          </w:r>
          <w:r>
            <w:rPr>
              <w:rFonts w:hint="default"/>
            </w:rPr>
            <w:t xml:space="preserve">6.1 </w:t>
          </w:r>
          <w:r>
            <w:t>文档读取、Markdown 语料拆分与文本切块</w:t>
          </w:r>
          <w:r>
            <w:tab/>
          </w:r>
          <w:r>
            <w:fldChar w:fldCharType="begin"/>
          </w:r>
          <w:r>
            <w:instrText xml:space="preserve"> PAGEREF _Toc17670 \h </w:instrText>
          </w:r>
          <w:r>
            <w:fldChar w:fldCharType="separate"/>
          </w:r>
          <w:r>
            <w:t>8</w:t>
          </w:r>
          <w:r>
            <w:fldChar w:fldCharType="end"/>
          </w:r>
          <w:r>
            <w:rPr>
              <w:rFonts w:ascii="微软雅黑" w:hAnsi="微软雅黑" w:eastAsia="微软雅黑" w:cstheme="majorBidi"/>
              <w:bCs/>
              <w:color w:val="2E74B5"/>
              <w:szCs w:val="28"/>
              <w:lang w:val="en-US" w:eastAsia="en-US" w:bidi="ar-SA"/>
            </w:rPr>
            <w:fldChar w:fldCharType="end"/>
          </w:r>
        </w:p>
        <w:p w14:paraId="380746B9">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_Toc29206 </w:instrText>
          </w:r>
          <w:r>
            <w:rPr>
              <w:rFonts w:ascii="微软雅黑" w:hAnsi="微软雅黑" w:eastAsia="微软雅黑" w:cstheme="majorBidi"/>
              <w:bCs/>
              <w:szCs w:val="28"/>
              <w:lang w:val="en-US" w:eastAsia="en-US" w:bidi="ar-SA"/>
            </w:rPr>
            <w:fldChar w:fldCharType="separate"/>
          </w:r>
          <w:r>
            <w:rPr>
              <w:rFonts w:hint="default"/>
            </w:rPr>
            <w:t xml:space="preserve">6.2 </w:t>
          </w:r>
          <w:r>
            <w:t>实体候选抽取与实体类型归一化</w:t>
          </w:r>
          <w:r>
            <w:tab/>
          </w:r>
          <w:r>
            <w:fldChar w:fldCharType="begin"/>
          </w:r>
          <w:r>
            <w:instrText xml:space="preserve"> PAGEREF _Toc29206 \h </w:instrText>
          </w:r>
          <w:r>
            <w:fldChar w:fldCharType="separate"/>
          </w:r>
          <w:r>
            <w:t>8</w:t>
          </w:r>
          <w:r>
            <w:fldChar w:fldCharType="end"/>
          </w:r>
          <w:r>
            <w:rPr>
              <w:rFonts w:ascii="微软雅黑" w:hAnsi="微软雅黑" w:eastAsia="微软雅黑" w:cstheme="majorBidi"/>
              <w:bCs/>
              <w:color w:val="2E74B5"/>
              <w:szCs w:val="28"/>
              <w:lang w:val="en-US" w:eastAsia="en-US" w:bidi="ar-SA"/>
            </w:rPr>
            <w:fldChar w:fldCharType="end"/>
          </w:r>
        </w:p>
        <w:p w14:paraId="5D8AF32A">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_Toc2767 </w:instrText>
          </w:r>
          <w:r>
            <w:rPr>
              <w:rFonts w:ascii="微软雅黑" w:hAnsi="微软雅黑" w:eastAsia="微软雅黑" w:cstheme="majorBidi"/>
              <w:bCs/>
              <w:szCs w:val="28"/>
              <w:lang w:val="en-US" w:eastAsia="en-US" w:bidi="ar-SA"/>
            </w:rPr>
            <w:fldChar w:fldCharType="separate"/>
          </w:r>
          <w:r>
            <w:rPr>
              <w:rFonts w:hint="default"/>
            </w:rPr>
            <w:t xml:space="preserve">6.3 </w:t>
          </w:r>
          <w:r>
            <w:t>关系抽取规则与边类型编码</w:t>
          </w:r>
          <w:r>
            <w:tab/>
          </w:r>
          <w:r>
            <w:fldChar w:fldCharType="begin"/>
          </w:r>
          <w:r>
            <w:instrText xml:space="preserve"> PAGEREF _Toc2767 \h </w:instrText>
          </w:r>
          <w:r>
            <w:fldChar w:fldCharType="separate"/>
          </w:r>
          <w:r>
            <w:t>9</w:t>
          </w:r>
          <w:r>
            <w:fldChar w:fldCharType="end"/>
          </w:r>
          <w:r>
            <w:rPr>
              <w:rFonts w:ascii="微软雅黑" w:hAnsi="微软雅黑" w:eastAsia="微软雅黑" w:cstheme="majorBidi"/>
              <w:bCs/>
              <w:color w:val="2E74B5"/>
              <w:szCs w:val="28"/>
              <w:lang w:val="en-US" w:eastAsia="en-US" w:bidi="ar-SA"/>
            </w:rPr>
            <w:fldChar w:fldCharType="end"/>
          </w:r>
        </w:p>
        <w:p w14:paraId="5402B1D0">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_Toc13597 </w:instrText>
          </w:r>
          <w:r>
            <w:rPr>
              <w:rFonts w:ascii="微软雅黑" w:hAnsi="微软雅黑" w:eastAsia="微软雅黑" w:cstheme="majorBidi"/>
              <w:bCs/>
              <w:szCs w:val="28"/>
              <w:lang w:val="en-US" w:eastAsia="en-US" w:bidi="ar-SA"/>
            </w:rPr>
            <w:fldChar w:fldCharType="separate"/>
          </w:r>
          <w:r>
            <w:rPr>
              <w:rFonts w:hint="default"/>
            </w:rPr>
            <w:t xml:space="preserve">6.4 </w:t>
          </w:r>
          <w:r>
            <w:t>证据边绑定与置信度设计</w:t>
          </w:r>
          <w:r>
            <w:tab/>
          </w:r>
          <w:r>
            <w:fldChar w:fldCharType="begin"/>
          </w:r>
          <w:r>
            <w:instrText xml:space="preserve"> PAGEREF _Toc13597 \h </w:instrText>
          </w:r>
          <w:r>
            <w:fldChar w:fldCharType="separate"/>
          </w:r>
          <w:r>
            <w:t>9</w:t>
          </w:r>
          <w:r>
            <w:fldChar w:fldCharType="end"/>
          </w:r>
          <w:r>
            <w:rPr>
              <w:rFonts w:ascii="微软雅黑" w:hAnsi="微软雅黑" w:eastAsia="微软雅黑" w:cstheme="majorBidi"/>
              <w:bCs/>
              <w:color w:val="2E74B5"/>
              <w:szCs w:val="28"/>
              <w:lang w:val="en-US" w:eastAsia="en-US" w:bidi="ar-SA"/>
            </w:rPr>
            <w:fldChar w:fldCharType="end"/>
          </w:r>
        </w:p>
        <w:p w14:paraId="253FEA22">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_Toc7220 </w:instrText>
          </w:r>
          <w:r>
            <w:rPr>
              <w:rFonts w:ascii="微软雅黑" w:hAnsi="微软雅黑" w:eastAsia="微软雅黑" w:cstheme="majorBidi"/>
              <w:bCs/>
              <w:szCs w:val="28"/>
              <w:lang w:val="en-US" w:eastAsia="en-US" w:bidi="ar-SA"/>
            </w:rPr>
            <w:fldChar w:fldCharType="separate"/>
          </w:r>
          <w:r>
            <w:rPr>
              <w:rFonts w:hint="default"/>
            </w:rPr>
            <w:t xml:space="preserve">6.5 </w:t>
          </w:r>
          <w:r>
            <w:t>claims 声明抽取与证据片段组织</w:t>
          </w:r>
          <w:r>
            <w:tab/>
          </w:r>
          <w:r>
            <w:fldChar w:fldCharType="begin"/>
          </w:r>
          <w:r>
            <w:instrText xml:space="preserve"> PAGEREF _Toc7220 \h </w:instrText>
          </w:r>
          <w:r>
            <w:fldChar w:fldCharType="separate"/>
          </w:r>
          <w:r>
            <w:t>9</w:t>
          </w:r>
          <w:r>
            <w:fldChar w:fldCharType="end"/>
          </w:r>
          <w:r>
            <w:rPr>
              <w:rFonts w:ascii="微软雅黑" w:hAnsi="微软雅黑" w:eastAsia="微软雅黑" w:cstheme="majorBidi"/>
              <w:bCs/>
              <w:color w:val="2E74B5"/>
              <w:szCs w:val="28"/>
              <w:lang w:val="en-US" w:eastAsia="en-US" w:bidi="ar-SA"/>
            </w:rPr>
            <w:fldChar w:fldCharType="end"/>
          </w:r>
        </w:p>
        <w:p w14:paraId="594AC4D9">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_Toc10907 </w:instrText>
          </w:r>
          <w:r>
            <w:rPr>
              <w:rFonts w:ascii="微软雅黑" w:hAnsi="微软雅黑" w:eastAsia="微软雅黑" w:cstheme="majorBidi"/>
              <w:bCs/>
              <w:szCs w:val="28"/>
              <w:lang w:val="en-US" w:eastAsia="en-US" w:bidi="ar-SA"/>
            </w:rPr>
            <w:fldChar w:fldCharType="separate"/>
          </w:r>
          <w:r>
            <w:rPr>
              <w:rFonts w:hint="default"/>
            </w:rPr>
            <w:t xml:space="preserve">6.6 </w:t>
          </w:r>
          <w:r>
            <w:t>技术社区生成与主题归纳</w:t>
          </w:r>
          <w:r>
            <w:tab/>
          </w:r>
          <w:r>
            <w:fldChar w:fldCharType="begin"/>
          </w:r>
          <w:r>
            <w:instrText xml:space="preserve"> PAGEREF _Toc10907 \h </w:instrText>
          </w:r>
          <w:r>
            <w:fldChar w:fldCharType="separate"/>
          </w:r>
          <w:r>
            <w:t>10</w:t>
          </w:r>
          <w:r>
            <w:fldChar w:fldCharType="end"/>
          </w:r>
          <w:r>
            <w:rPr>
              <w:rFonts w:ascii="微软雅黑" w:hAnsi="微软雅黑" w:eastAsia="微软雅黑" w:cstheme="majorBidi"/>
              <w:bCs/>
              <w:color w:val="2E74B5"/>
              <w:szCs w:val="28"/>
              <w:lang w:val="en-US" w:eastAsia="en-US" w:bidi="ar-SA"/>
            </w:rPr>
            <w:fldChar w:fldCharType="end"/>
          </w:r>
        </w:p>
        <w:p w14:paraId="00A01754">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_Toc4948 </w:instrText>
          </w:r>
          <w:r>
            <w:rPr>
              <w:rFonts w:ascii="微软雅黑" w:hAnsi="微软雅黑" w:eastAsia="微软雅黑" w:cstheme="majorBidi"/>
              <w:bCs/>
              <w:szCs w:val="28"/>
              <w:lang w:val="en-US" w:eastAsia="en-US" w:bidi="ar-SA"/>
            </w:rPr>
            <w:fldChar w:fldCharType="separate"/>
          </w:r>
          <w:r>
            <w:rPr>
              <w:rFonts w:hint="default"/>
            </w:rPr>
            <w:t xml:space="preserve">6.7 </w:t>
          </w:r>
          <w:r>
            <w:t>Neo4j、GraphML、CSV、JSON 多格式导出</w:t>
          </w:r>
          <w:r>
            <w:tab/>
          </w:r>
          <w:r>
            <w:fldChar w:fldCharType="begin"/>
          </w:r>
          <w:r>
            <w:instrText xml:space="preserve"> PAGEREF _Toc4948 \h </w:instrText>
          </w:r>
          <w:r>
            <w:fldChar w:fldCharType="separate"/>
          </w:r>
          <w:r>
            <w:t>10</w:t>
          </w:r>
          <w:r>
            <w:fldChar w:fldCharType="end"/>
          </w:r>
          <w:r>
            <w:rPr>
              <w:rFonts w:ascii="微软雅黑" w:hAnsi="微软雅黑" w:eastAsia="微软雅黑" w:cstheme="majorBidi"/>
              <w:bCs/>
              <w:color w:val="2E74B5"/>
              <w:szCs w:val="28"/>
              <w:lang w:val="en-US" w:eastAsia="en-US" w:bidi="ar-SA"/>
            </w:rPr>
            <w:fldChar w:fldCharType="end"/>
          </w:r>
        </w:p>
        <w:p w14:paraId="5FE3E29A">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_Toc16523 </w:instrText>
          </w:r>
          <w:r>
            <w:rPr>
              <w:rFonts w:ascii="微软雅黑" w:hAnsi="微软雅黑" w:eastAsia="微软雅黑" w:cstheme="majorBidi"/>
              <w:bCs/>
              <w:szCs w:val="28"/>
              <w:lang w:val="en-US" w:eastAsia="en-US" w:bidi="ar-SA"/>
            </w:rPr>
            <w:fldChar w:fldCharType="separate"/>
          </w:r>
          <w:r>
            <w:rPr>
              <w:rFonts w:hint="default"/>
            </w:rPr>
            <w:t xml:space="preserve">6.8 </w:t>
          </w:r>
          <w:r>
            <w:t>前端 atlas_frontend.json 与 index_summary.json 发布</w:t>
          </w:r>
          <w:r>
            <w:tab/>
          </w:r>
          <w:r>
            <w:fldChar w:fldCharType="begin"/>
          </w:r>
          <w:r>
            <w:instrText xml:space="preserve"> PAGEREF _Toc16523 \h </w:instrText>
          </w:r>
          <w:r>
            <w:fldChar w:fldCharType="separate"/>
          </w:r>
          <w:r>
            <w:t>10</w:t>
          </w:r>
          <w:r>
            <w:fldChar w:fldCharType="end"/>
          </w:r>
          <w:r>
            <w:rPr>
              <w:rFonts w:ascii="微软雅黑" w:hAnsi="微软雅黑" w:eastAsia="微软雅黑" w:cstheme="majorBidi"/>
              <w:bCs/>
              <w:color w:val="2E74B5"/>
              <w:szCs w:val="28"/>
              <w:lang w:val="en-US" w:eastAsia="en-US" w:bidi="ar-SA"/>
            </w:rPr>
            <w:fldChar w:fldCharType="end"/>
          </w:r>
        </w:p>
        <w:p w14:paraId="6BDA93EA">
          <w:pPr>
            <w:pStyle w:val="17"/>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_Toc22830 </w:instrText>
          </w:r>
          <w:r>
            <w:rPr>
              <w:rFonts w:ascii="微软雅黑" w:hAnsi="微软雅黑" w:eastAsia="微软雅黑" w:cstheme="majorBidi"/>
              <w:bCs/>
              <w:szCs w:val="28"/>
              <w:lang w:val="en-US" w:eastAsia="en-US" w:bidi="ar-SA"/>
            </w:rPr>
            <w:fldChar w:fldCharType="separate"/>
          </w:r>
          <w:r>
            <w:rPr>
              <w:rFonts w:hint="default"/>
              <w:b/>
              <w:bCs/>
            </w:rPr>
            <w:t xml:space="preserve">7 </w:t>
          </w:r>
          <w:r>
            <w:rPr>
              <w:b/>
              <w:bCs/>
            </w:rPr>
            <w:t>前端交互图谱设计与实现</w:t>
          </w:r>
          <w:r>
            <w:tab/>
          </w:r>
          <w:r>
            <w:fldChar w:fldCharType="begin"/>
          </w:r>
          <w:r>
            <w:instrText xml:space="preserve"> PAGEREF _Toc22830 \h </w:instrText>
          </w:r>
          <w:r>
            <w:fldChar w:fldCharType="separate"/>
          </w:r>
          <w:r>
            <w:t>11</w:t>
          </w:r>
          <w:r>
            <w:fldChar w:fldCharType="end"/>
          </w:r>
          <w:r>
            <w:rPr>
              <w:rFonts w:ascii="微软雅黑" w:hAnsi="微软雅黑" w:eastAsia="微软雅黑" w:cstheme="majorBidi"/>
              <w:bCs/>
              <w:color w:val="2E74B5"/>
              <w:szCs w:val="28"/>
              <w:lang w:val="en-US" w:eastAsia="en-US" w:bidi="ar-SA"/>
            </w:rPr>
            <w:fldChar w:fldCharType="end"/>
          </w:r>
        </w:p>
        <w:p w14:paraId="30A76249">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_Toc27422 </w:instrText>
          </w:r>
          <w:r>
            <w:rPr>
              <w:rFonts w:ascii="微软雅黑" w:hAnsi="微软雅黑" w:eastAsia="微软雅黑" w:cstheme="majorBidi"/>
              <w:bCs/>
              <w:szCs w:val="28"/>
              <w:lang w:val="en-US" w:eastAsia="en-US" w:bidi="ar-SA"/>
            </w:rPr>
            <w:fldChar w:fldCharType="separate"/>
          </w:r>
          <w:r>
            <w:rPr>
              <w:rFonts w:hint="default"/>
            </w:rPr>
            <w:t xml:space="preserve">7.1 </w:t>
          </w:r>
          <w:r>
            <w:t>前端页面功能结构</w:t>
          </w:r>
          <w:r>
            <w:tab/>
          </w:r>
          <w:r>
            <w:fldChar w:fldCharType="begin"/>
          </w:r>
          <w:r>
            <w:instrText xml:space="preserve"> PAGEREF _Toc27422 \h </w:instrText>
          </w:r>
          <w:r>
            <w:fldChar w:fldCharType="separate"/>
          </w:r>
          <w:r>
            <w:t>11</w:t>
          </w:r>
          <w:r>
            <w:fldChar w:fldCharType="end"/>
          </w:r>
          <w:r>
            <w:rPr>
              <w:rFonts w:ascii="微软雅黑" w:hAnsi="微软雅黑" w:eastAsia="微软雅黑" w:cstheme="majorBidi"/>
              <w:bCs/>
              <w:color w:val="2E74B5"/>
              <w:szCs w:val="28"/>
              <w:lang w:val="en-US" w:eastAsia="en-US" w:bidi="ar-SA"/>
            </w:rPr>
            <w:fldChar w:fldCharType="end"/>
          </w:r>
        </w:p>
        <w:p w14:paraId="2E557301">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_Toc11186 </w:instrText>
          </w:r>
          <w:r>
            <w:rPr>
              <w:rFonts w:ascii="微软雅黑" w:hAnsi="微软雅黑" w:eastAsia="微软雅黑" w:cstheme="majorBidi"/>
              <w:bCs/>
              <w:szCs w:val="28"/>
              <w:lang w:val="en-US" w:eastAsia="en-US" w:bidi="ar-SA"/>
            </w:rPr>
            <w:fldChar w:fldCharType="separate"/>
          </w:r>
          <w:r>
            <w:rPr>
              <w:rFonts w:hint="default"/>
            </w:rPr>
            <w:t xml:space="preserve">7.2 </w:t>
          </w:r>
          <w:r>
            <w:t>中文化界面与蓝色科技主题设计</w:t>
          </w:r>
          <w:r>
            <w:tab/>
          </w:r>
          <w:r>
            <w:fldChar w:fldCharType="begin"/>
          </w:r>
          <w:r>
            <w:instrText xml:space="preserve"> PAGEREF _Toc11186 \h </w:instrText>
          </w:r>
          <w:r>
            <w:fldChar w:fldCharType="separate"/>
          </w:r>
          <w:r>
            <w:t>12</w:t>
          </w:r>
          <w:r>
            <w:fldChar w:fldCharType="end"/>
          </w:r>
          <w:r>
            <w:rPr>
              <w:rFonts w:ascii="微软雅黑" w:hAnsi="微软雅黑" w:eastAsia="微软雅黑" w:cstheme="majorBidi"/>
              <w:bCs/>
              <w:color w:val="2E74B5"/>
              <w:szCs w:val="28"/>
              <w:lang w:val="en-US" w:eastAsia="en-US" w:bidi="ar-SA"/>
            </w:rPr>
            <w:fldChar w:fldCharType="end"/>
          </w:r>
        </w:p>
        <w:p w14:paraId="326BF448">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_Toc10495 </w:instrText>
          </w:r>
          <w:r>
            <w:rPr>
              <w:rFonts w:ascii="微软雅黑" w:hAnsi="微软雅黑" w:eastAsia="微软雅黑" w:cstheme="majorBidi"/>
              <w:bCs/>
              <w:szCs w:val="28"/>
              <w:lang w:val="en-US" w:eastAsia="en-US" w:bidi="ar-SA"/>
            </w:rPr>
            <w:fldChar w:fldCharType="separate"/>
          </w:r>
          <w:r>
            <w:rPr>
              <w:rFonts w:hint="default"/>
            </w:rPr>
            <w:t xml:space="preserve">7.3 </w:t>
          </w:r>
          <w:r>
            <w:t>节点点击、逐层展开与邻域高亮</w:t>
          </w:r>
          <w:r>
            <w:tab/>
          </w:r>
          <w:r>
            <w:fldChar w:fldCharType="begin"/>
          </w:r>
          <w:r>
            <w:instrText xml:space="preserve"> PAGEREF _Toc10495 \h </w:instrText>
          </w:r>
          <w:r>
            <w:fldChar w:fldCharType="separate"/>
          </w:r>
          <w:r>
            <w:t>12</w:t>
          </w:r>
          <w:r>
            <w:fldChar w:fldCharType="end"/>
          </w:r>
          <w:r>
            <w:rPr>
              <w:rFonts w:ascii="微软雅黑" w:hAnsi="微软雅黑" w:eastAsia="微软雅黑" w:cstheme="majorBidi"/>
              <w:bCs/>
              <w:color w:val="2E74B5"/>
              <w:szCs w:val="28"/>
              <w:lang w:val="en-US" w:eastAsia="en-US" w:bidi="ar-SA"/>
            </w:rPr>
            <w:fldChar w:fldCharType="end"/>
          </w:r>
        </w:p>
        <w:p w14:paraId="0CF5EFD0">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_Toc19825 </w:instrText>
          </w:r>
          <w:r>
            <w:rPr>
              <w:rFonts w:ascii="微软雅黑" w:hAnsi="微软雅黑" w:eastAsia="微软雅黑" w:cstheme="majorBidi"/>
              <w:bCs/>
              <w:szCs w:val="28"/>
              <w:lang w:val="en-US" w:eastAsia="en-US" w:bidi="ar-SA"/>
            </w:rPr>
            <w:fldChar w:fldCharType="separate"/>
          </w:r>
          <w:r>
            <w:rPr>
              <w:rFonts w:hint="default"/>
            </w:rPr>
            <w:t xml:space="preserve">7.4 </w:t>
          </w:r>
          <w:r>
            <w:t>边聚合、关系详情与证据卡片</w:t>
          </w:r>
          <w:r>
            <w:tab/>
          </w:r>
          <w:r>
            <w:fldChar w:fldCharType="begin"/>
          </w:r>
          <w:r>
            <w:instrText xml:space="preserve"> PAGEREF _Toc19825 \h </w:instrText>
          </w:r>
          <w:r>
            <w:fldChar w:fldCharType="separate"/>
          </w:r>
          <w:r>
            <w:t>13</w:t>
          </w:r>
          <w:r>
            <w:fldChar w:fldCharType="end"/>
          </w:r>
          <w:r>
            <w:rPr>
              <w:rFonts w:ascii="微软雅黑" w:hAnsi="微软雅黑" w:eastAsia="微软雅黑" w:cstheme="majorBidi"/>
              <w:bCs/>
              <w:color w:val="2E74B5"/>
              <w:szCs w:val="28"/>
              <w:lang w:val="en-US" w:eastAsia="en-US" w:bidi="ar-SA"/>
            </w:rPr>
            <w:fldChar w:fldCharType="end"/>
          </w:r>
        </w:p>
        <w:p w14:paraId="5C49393E">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_Toc16063 </w:instrText>
          </w:r>
          <w:r>
            <w:rPr>
              <w:rFonts w:ascii="微软雅黑" w:hAnsi="微软雅黑" w:eastAsia="微软雅黑" w:cstheme="majorBidi"/>
              <w:bCs/>
              <w:szCs w:val="28"/>
              <w:lang w:val="en-US" w:eastAsia="en-US" w:bidi="ar-SA"/>
            </w:rPr>
            <w:fldChar w:fldCharType="separate"/>
          </w:r>
          <w:r>
            <w:rPr>
              <w:rFonts w:hint="default"/>
            </w:rPr>
            <w:t xml:space="preserve">7.5 </w:t>
          </w:r>
          <w:r>
            <w:t>单画布软分区网络布局</w:t>
          </w:r>
          <w:r>
            <w:tab/>
          </w:r>
          <w:r>
            <w:fldChar w:fldCharType="begin"/>
          </w:r>
          <w:r>
            <w:instrText xml:space="preserve"> PAGEREF _Toc16063 \h </w:instrText>
          </w:r>
          <w:r>
            <w:fldChar w:fldCharType="separate"/>
          </w:r>
          <w:r>
            <w:t>13</w:t>
          </w:r>
          <w:r>
            <w:fldChar w:fldCharType="end"/>
          </w:r>
          <w:r>
            <w:rPr>
              <w:rFonts w:ascii="微软雅黑" w:hAnsi="微软雅黑" w:eastAsia="微软雅黑" w:cstheme="majorBidi"/>
              <w:bCs/>
              <w:color w:val="2E74B5"/>
              <w:szCs w:val="28"/>
              <w:lang w:val="en-US" w:eastAsia="en-US" w:bidi="ar-SA"/>
            </w:rPr>
            <w:fldChar w:fldCharType="end"/>
          </w:r>
        </w:p>
        <w:p w14:paraId="6E542971">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_Toc29654 </w:instrText>
          </w:r>
          <w:r>
            <w:rPr>
              <w:rFonts w:ascii="微软雅黑" w:hAnsi="微软雅黑" w:eastAsia="微软雅黑" w:cstheme="majorBidi"/>
              <w:bCs/>
              <w:szCs w:val="28"/>
              <w:lang w:val="en-US" w:eastAsia="en-US" w:bidi="ar-SA"/>
            </w:rPr>
            <w:fldChar w:fldCharType="separate"/>
          </w:r>
          <w:r>
            <w:rPr>
              <w:rFonts w:hint="default"/>
            </w:rPr>
            <w:t xml:space="preserve">7.6 </w:t>
          </w:r>
          <w:r>
            <w:t>2.5D 立体可翻转图谱设计</w:t>
          </w:r>
          <w:r>
            <w:tab/>
          </w:r>
          <w:r>
            <w:fldChar w:fldCharType="begin"/>
          </w:r>
          <w:r>
            <w:instrText xml:space="preserve"> PAGEREF _Toc29654 \h </w:instrText>
          </w:r>
          <w:r>
            <w:fldChar w:fldCharType="separate"/>
          </w:r>
          <w:r>
            <w:t>14</w:t>
          </w:r>
          <w:r>
            <w:fldChar w:fldCharType="end"/>
          </w:r>
          <w:r>
            <w:rPr>
              <w:rFonts w:ascii="微软雅黑" w:hAnsi="微软雅黑" w:eastAsia="微软雅黑" w:cstheme="majorBidi"/>
              <w:bCs/>
              <w:color w:val="2E74B5"/>
              <w:szCs w:val="28"/>
              <w:lang w:val="en-US" w:eastAsia="en-US" w:bidi="ar-SA"/>
            </w:rPr>
            <w:fldChar w:fldCharType="end"/>
          </w:r>
        </w:p>
        <w:p w14:paraId="44147C67">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_Toc2745 </w:instrText>
          </w:r>
          <w:r>
            <w:rPr>
              <w:rFonts w:ascii="微软雅黑" w:hAnsi="微软雅黑" w:eastAsia="微软雅黑" w:cstheme="majorBidi"/>
              <w:bCs/>
              <w:szCs w:val="28"/>
              <w:lang w:val="en-US" w:eastAsia="en-US" w:bidi="ar-SA"/>
            </w:rPr>
            <w:fldChar w:fldCharType="separate"/>
          </w:r>
          <w:r>
            <w:rPr>
              <w:rFonts w:hint="default"/>
            </w:rPr>
            <w:t xml:space="preserve">7.7 </w:t>
          </w:r>
          <w:r>
            <w:t>汇报截图模式与交互验证</w:t>
          </w:r>
          <w:r>
            <w:tab/>
          </w:r>
          <w:r>
            <w:fldChar w:fldCharType="begin"/>
          </w:r>
          <w:r>
            <w:instrText xml:space="preserve"> PAGEREF _Toc2745 \h </w:instrText>
          </w:r>
          <w:r>
            <w:fldChar w:fldCharType="separate"/>
          </w:r>
          <w:r>
            <w:t>14</w:t>
          </w:r>
          <w:r>
            <w:fldChar w:fldCharType="end"/>
          </w:r>
          <w:r>
            <w:rPr>
              <w:rFonts w:ascii="微软雅黑" w:hAnsi="微软雅黑" w:eastAsia="微软雅黑" w:cstheme="majorBidi"/>
              <w:bCs/>
              <w:color w:val="2E74B5"/>
              <w:szCs w:val="28"/>
              <w:lang w:val="en-US" w:eastAsia="en-US" w:bidi="ar-SA"/>
            </w:rPr>
            <w:fldChar w:fldCharType="end"/>
          </w:r>
        </w:p>
        <w:p w14:paraId="69EDC9EE">
          <w:pPr>
            <w:pStyle w:val="17"/>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_Toc28681 </w:instrText>
          </w:r>
          <w:r>
            <w:rPr>
              <w:rFonts w:ascii="微软雅黑" w:hAnsi="微软雅黑" w:eastAsia="微软雅黑" w:cstheme="majorBidi"/>
              <w:bCs/>
              <w:szCs w:val="28"/>
              <w:lang w:val="en-US" w:eastAsia="en-US" w:bidi="ar-SA"/>
            </w:rPr>
            <w:fldChar w:fldCharType="separate"/>
          </w:r>
          <w:r>
            <w:rPr>
              <w:rFonts w:hint="default"/>
              <w:b/>
              <w:bCs/>
            </w:rPr>
            <w:t xml:space="preserve">8 </w:t>
          </w:r>
          <w:r>
            <w:rPr>
              <w:b/>
              <w:bCs/>
            </w:rPr>
            <w:t>实验结果与测试分析</w:t>
          </w:r>
          <w:r>
            <w:tab/>
          </w:r>
          <w:r>
            <w:fldChar w:fldCharType="begin"/>
          </w:r>
          <w:r>
            <w:instrText xml:space="preserve"> PAGEREF _Toc28681 \h </w:instrText>
          </w:r>
          <w:r>
            <w:fldChar w:fldCharType="separate"/>
          </w:r>
          <w:r>
            <w:t>15</w:t>
          </w:r>
          <w:r>
            <w:fldChar w:fldCharType="end"/>
          </w:r>
          <w:r>
            <w:rPr>
              <w:rFonts w:ascii="微软雅黑" w:hAnsi="微软雅黑" w:eastAsia="微软雅黑" w:cstheme="majorBidi"/>
              <w:bCs/>
              <w:color w:val="2E74B5"/>
              <w:szCs w:val="28"/>
              <w:lang w:val="en-US" w:eastAsia="en-US" w:bidi="ar-SA"/>
            </w:rPr>
            <w:fldChar w:fldCharType="end"/>
          </w:r>
        </w:p>
        <w:p w14:paraId="1F34B485">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_Toc7396 </w:instrText>
          </w:r>
          <w:r>
            <w:rPr>
              <w:rFonts w:ascii="微软雅黑" w:hAnsi="微软雅黑" w:eastAsia="微软雅黑" w:cstheme="majorBidi"/>
              <w:bCs/>
              <w:szCs w:val="28"/>
              <w:lang w:val="en-US" w:eastAsia="en-US" w:bidi="ar-SA"/>
            </w:rPr>
            <w:fldChar w:fldCharType="separate"/>
          </w:r>
          <w:r>
            <w:rPr>
              <w:rFonts w:hint="default"/>
            </w:rPr>
            <w:t xml:space="preserve">8.1 </w:t>
          </w:r>
          <w:r>
            <w:t>图谱核心规模指标分析</w:t>
          </w:r>
          <w:r>
            <w:tab/>
          </w:r>
          <w:r>
            <w:fldChar w:fldCharType="begin"/>
          </w:r>
          <w:r>
            <w:instrText xml:space="preserve"> PAGEREF _Toc7396 \h </w:instrText>
          </w:r>
          <w:r>
            <w:fldChar w:fldCharType="separate"/>
          </w:r>
          <w:r>
            <w:t>15</w:t>
          </w:r>
          <w:r>
            <w:fldChar w:fldCharType="end"/>
          </w:r>
          <w:r>
            <w:rPr>
              <w:rFonts w:ascii="微软雅黑" w:hAnsi="微软雅黑" w:eastAsia="微软雅黑" w:cstheme="majorBidi"/>
              <w:bCs/>
              <w:color w:val="2E74B5"/>
              <w:szCs w:val="28"/>
              <w:lang w:val="en-US" w:eastAsia="en-US" w:bidi="ar-SA"/>
            </w:rPr>
            <w:fldChar w:fldCharType="end"/>
          </w:r>
        </w:p>
        <w:p w14:paraId="7F8F0336">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_Toc12256 </w:instrText>
          </w:r>
          <w:r>
            <w:rPr>
              <w:rFonts w:ascii="微软雅黑" w:hAnsi="微软雅黑" w:eastAsia="微软雅黑" w:cstheme="majorBidi"/>
              <w:bCs/>
              <w:szCs w:val="28"/>
              <w:lang w:val="en-US" w:eastAsia="en-US" w:bidi="ar-SA"/>
            </w:rPr>
            <w:fldChar w:fldCharType="separate"/>
          </w:r>
          <w:r>
            <w:rPr>
              <w:rFonts w:hint="default"/>
            </w:rPr>
            <w:t xml:space="preserve">8.2 </w:t>
          </w:r>
          <w:r>
            <w:t>实体类型分布分析</w:t>
          </w:r>
          <w:r>
            <w:tab/>
          </w:r>
          <w:r>
            <w:fldChar w:fldCharType="begin"/>
          </w:r>
          <w:r>
            <w:instrText xml:space="preserve"> PAGEREF _Toc12256 \h </w:instrText>
          </w:r>
          <w:r>
            <w:fldChar w:fldCharType="separate"/>
          </w:r>
          <w:r>
            <w:t>15</w:t>
          </w:r>
          <w:r>
            <w:fldChar w:fldCharType="end"/>
          </w:r>
          <w:r>
            <w:rPr>
              <w:rFonts w:ascii="微软雅黑" w:hAnsi="微软雅黑" w:eastAsia="微软雅黑" w:cstheme="majorBidi"/>
              <w:bCs/>
              <w:color w:val="2E74B5"/>
              <w:szCs w:val="28"/>
              <w:lang w:val="en-US" w:eastAsia="en-US" w:bidi="ar-SA"/>
            </w:rPr>
            <w:fldChar w:fldCharType="end"/>
          </w:r>
        </w:p>
        <w:p w14:paraId="62896830">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_Toc23154 </w:instrText>
          </w:r>
          <w:r>
            <w:rPr>
              <w:rFonts w:ascii="微软雅黑" w:hAnsi="微软雅黑" w:eastAsia="微软雅黑" w:cstheme="majorBidi"/>
              <w:bCs/>
              <w:szCs w:val="28"/>
              <w:lang w:val="en-US" w:eastAsia="en-US" w:bidi="ar-SA"/>
            </w:rPr>
            <w:fldChar w:fldCharType="separate"/>
          </w:r>
          <w:r>
            <w:rPr>
              <w:rFonts w:hint="default"/>
            </w:rPr>
            <w:t xml:space="preserve">8.3 </w:t>
          </w:r>
          <w:r>
            <w:t>关系类型分布分析</w:t>
          </w:r>
          <w:r>
            <w:tab/>
          </w:r>
          <w:r>
            <w:fldChar w:fldCharType="begin"/>
          </w:r>
          <w:r>
            <w:instrText xml:space="preserve"> PAGEREF _Toc23154 \h </w:instrText>
          </w:r>
          <w:r>
            <w:fldChar w:fldCharType="separate"/>
          </w:r>
          <w:r>
            <w:t>16</w:t>
          </w:r>
          <w:r>
            <w:fldChar w:fldCharType="end"/>
          </w:r>
          <w:r>
            <w:rPr>
              <w:rFonts w:ascii="微软雅黑" w:hAnsi="微软雅黑" w:eastAsia="微软雅黑" w:cstheme="majorBidi"/>
              <w:bCs/>
              <w:color w:val="2E74B5"/>
              <w:szCs w:val="28"/>
              <w:lang w:val="en-US" w:eastAsia="en-US" w:bidi="ar-SA"/>
            </w:rPr>
            <w:fldChar w:fldCharType="end"/>
          </w:r>
        </w:p>
        <w:p w14:paraId="0223C0F4">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_Toc24475 </w:instrText>
          </w:r>
          <w:r>
            <w:rPr>
              <w:rFonts w:ascii="微软雅黑" w:hAnsi="微软雅黑" w:eastAsia="微软雅黑" w:cstheme="majorBidi"/>
              <w:bCs/>
              <w:szCs w:val="28"/>
              <w:lang w:val="en-US" w:eastAsia="en-US" w:bidi="ar-SA"/>
            </w:rPr>
            <w:fldChar w:fldCharType="separate"/>
          </w:r>
          <w:r>
            <w:rPr>
              <w:rFonts w:hint="default"/>
            </w:rPr>
            <w:t xml:space="preserve">8.4 </w:t>
          </w:r>
          <w:r>
            <w:t>证据来源与置信度分析</w:t>
          </w:r>
          <w:r>
            <w:tab/>
          </w:r>
          <w:r>
            <w:fldChar w:fldCharType="begin"/>
          </w:r>
          <w:r>
            <w:instrText xml:space="preserve"> PAGEREF _Toc24475 \h </w:instrText>
          </w:r>
          <w:r>
            <w:fldChar w:fldCharType="separate"/>
          </w:r>
          <w:r>
            <w:t>17</w:t>
          </w:r>
          <w:r>
            <w:fldChar w:fldCharType="end"/>
          </w:r>
          <w:r>
            <w:rPr>
              <w:rFonts w:ascii="微软雅黑" w:hAnsi="微软雅黑" w:eastAsia="微软雅黑" w:cstheme="majorBidi"/>
              <w:bCs/>
              <w:color w:val="2E74B5"/>
              <w:szCs w:val="28"/>
              <w:lang w:val="en-US" w:eastAsia="en-US" w:bidi="ar-SA"/>
            </w:rPr>
            <w:fldChar w:fldCharType="end"/>
          </w:r>
        </w:p>
        <w:p w14:paraId="63EACD4B">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_Toc29486 </w:instrText>
          </w:r>
          <w:r>
            <w:rPr>
              <w:rFonts w:ascii="微软雅黑" w:hAnsi="微软雅黑" w:eastAsia="微软雅黑" w:cstheme="majorBidi"/>
              <w:bCs/>
              <w:szCs w:val="28"/>
              <w:lang w:val="en-US" w:eastAsia="en-US" w:bidi="ar-SA"/>
            </w:rPr>
            <w:fldChar w:fldCharType="separate"/>
          </w:r>
          <w:r>
            <w:rPr>
              <w:rFonts w:hint="default"/>
            </w:rPr>
            <w:t xml:space="preserve">8.5 </w:t>
          </w:r>
          <w:r>
            <w:t>技术社区结果分析</w:t>
          </w:r>
          <w:r>
            <w:tab/>
          </w:r>
          <w:r>
            <w:fldChar w:fldCharType="begin"/>
          </w:r>
          <w:r>
            <w:instrText xml:space="preserve"> PAGEREF _Toc29486 \h </w:instrText>
          </w:r>
          <w:r>
            <w:fldChar w:fldCharType="separate"/>
          </w:r>
          <w:r>
            <w:t>17</w:t>
          </w:r>
          <w:r>
            <w:fldChar w:fldCharType="end"/>
          </w:r>
          <w:r>
            <w:rPr>
              <w:rFonts w:ascii="微软雅黑" w:hAnsi="微软雅黑" w:eastAsia="微软雅黑" w:cstheme="majorBidi"/>
              <w:bCs/>
              <w:color w:val="2E74B5"/>
              <w:szCs w:val="28"/>
              <w:lang w:val="en-US" w:eastAsia="en-US" w:bidi="ar-SA"/>
            </w:rPr>
            <w:fldChar w:fldCharType="end"/>
          </w:r>
        </w:p>
        <w:p w14:paraId="11E0D789">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_Toc31292 </w:instrText>
          </w:r>
          <w:r>
            <w:rPr>
              <w:rFonts w:ascii="微软雅黑" w:hAnsi="微软雅黑" w:eastAsia="微软雅黑" w:cstheme="majorBidi"/>
              <w:bCs/>
              <w:szCs w:val="28"/>
              <w:lang w:val="en-US" w:eastAsia="en-US" w:bidi="ar-SA"/>
            </w:rPr>
            <w:fldChar w:fldCharType="separate"/>
          </w:r>
          <w:r>
            <w:rPr>
              <w:rFonts w:hint="default"/>
            </w:rPr>
            <w:t xml:space="preserve">8.6 </w:t>
          </w:r>
          <w:r>
            <w:t>前端交互测试结果</w:t>
          </w:r>
          <w:r>
            <w:tab/>
          </w:r>
          <w:r>
            <w:fldChar w:fldCharType="begin"/>
          </w:r>
          <w:r>
            <w:instrText xml:space="preserve"> PAGEREF _Toc31292 \h </w:instrText>
          </w:r>
          <w:r>
            <w:fldChar w:fldCharType="separate"/>
          </w:r>
          <w:r>
            <w:t>18</w:t>
          </w:r>
          <w:r>
            <w:fldChar w:fldCharType="end"/>
          </w:r>
          <w:r>
            <w:rPr>
              <w:rFonts w:ascii="微软雅黑" w:hAnsi="微软雅黑" w:eastAsia="微软雅黑" w:cstheme="majorBidi"/>
              <w:bCs/>
              <w:color w:val="2E74B5"/>
              <w:szCs w:val="28"/>
              <w:lang w:val="en-US" w:eastAsia="en-US" w:bidi="ar-SA"/>
            </w:rPr>
            <w:fldChar w:fldCharType="end"/>
          </w:r>
        </w:p>
        <w:p w14:paraId="169EEED6">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_Toc24304 </w:instrText>
          </w:r>
          <w:r>
            <w:rPr>
              <w:rFonts w:ascii="微软雅黑" w:hAnsi="微软雅黑" w:eastAsia="微软雅黑" w:cstheme="majorBidi"/>
              <w:bCs/>
              <w:szCs w:val="28"/>
              <w:lang w:val="en-US" w:eastAsia="en-US" w:bidi="ar-SA"/>
            </w:rPr>
            <w:fldChar w:fldCharType="separate"/>
          </w:r>
          <w:r>
            <w:rPr>
              <w:rFonts w:hint="default"/>
            </w:rPr>
            <w:t xml:space="preserve">8.7 </w:t>
          </w:r>
          <w:r>
            <w:t>文件完整性与索引一致性测试</w:t>
          </w:r>
          <w:r>
            <w:tab/>
          </w:r>
          <w:r>
            <w:fldChar w:fldCharType="begin"/>
          </w:r>
          <w:r>
            <w:instrText xml:space="preserve"> PAGEREF _Toc24304 \h </w:instrText>
          </w:r>
          <w:r>
            <w:fldChar w:fldCharType="separate"/>
          </w:r>
          <w:r>
            <w:t>19</w:t>
          </w:r>
          <w:r>
            <w:fldChar w:fldCharType="end"/>
          </w:r>
          <w:r>
            <w:rPr>
              <w:rFonts w:ascii="微软雅黑" w:hAnsi="微软雅黑" w:eastAsia="微软雅黑" w:cstheme="majorBidi"/>
              <w:bCs/>
              <w:color w:val="2E74B5"/>
              <w:szCs w:val="28"/>
              <w:lang w:val="en-US" w:eastAsia="en-US" w:bidi="ar-SA"/>
            </w:rPr>
            <w:fldChar w:fldCharType="end"/>
          </w:r>
        </w:p>
        <w:p w14:paraId="50179757">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_Toc17833 </w:instrText>
          </w:r>
          <w:r>
            <w:rPr>
              <w:rFonts w:ascii="微软雅黑" w:hAnsi="微软雅黑" w:eastAsia="微软雅黑" w:cstheme="majorBidi"/>
              <w:bCs/>
              <w:szCs w:val="28"/>
              <w:lang w:val="en-US" w:eastAsia="en-US" w:bidi="ar-SA"/>
            </w:rPr>
            <w:fldChar w:fldCharType="separate"/>
          </w:r>
          <w:r>
            <w:rPr>
              <w:rFonts w:hint="default"/>
            </w:rPr>
            <w:t xml:space="preserve">8.8 </w:t>
          </w:r>
          <w:r>
            <w:t>当前问题与风险分析</w:t>
          </w:r>
          <w:r>
            <w:tab/>
          </w:r>
          <w:r>
            <w:fldChar w:fldCharType="begin"/>
          </w:r>
          <w:r>
            <w:instrText xml:space="preserve"> PAGEREF _Toc17833 \h </w:instrText>
          </w:r>
          <w:r>
            <w:fldChar w:fldCharType="separate"/>
          </w:r>
          <w:r>
            <w:t>19</w:t>
          </w:r>
          <w:r>
            <w:fldChar w:fldCharType="end"/>
          </w:r>
          <w:r>
            <w:rPr>
              <w:rFonts w:ascii="微软雅黑" w:hAnsi="微软雅黑" w:eastAsia="微软雅黑" w:cstheme="majorBidi"/>
              <w:bCs/>
              <w:color w:val="2E74B5"/>
              <w:szCs w:val="28"/>
              <w:lang w:val="en-US" w:eastAsia="en-US" w:bidi="ar-SA"/>
            </w:rPr>
            <w:fldChar w:fldCharType="end"/>
          </w:r>
        </w:p>
        <w:p w14:paraId="49A07F6A">
          <w:pPr>
            <w:pStyle w:val="17"/>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_Toc2988 </w:instrText>
          </w:r>
          <w:r>
            <w:rPr>
              <w:rFonts w:ascii="微软雅黑" w:hAnsi="微软雅黑" w:eastAsia="微软雅黑" w:cstheme="majorBidi"/>
              <w:bCs/>
              <w:szCs w:val="28"/>
              <w:lang w:val="en-US" w:eastAsia="en-US" w:bidi="ar-SA"/>
            </w:rPr>
            <w:fldChar w:fldCharType="separate"/>
          </w:r>
          <w:r>
            <w:rPr>
              <w:rFonts w:hint="default"/>
              <w:b/>
              <w:bCs/>
            </w:rPr>
            <w:t xml:space="preserve">9 </w:t>
          </w:r>
          <w:r>
            <w:rPr>
              <w:b/>
              <w:bCs/>
            </w:rPr>
            <w:t>总结与展望</w:t>
          </w:r>
          <w:r>
            <w:tab/>
          </w:r>
          <w:r>
            <w:fldChar w:fldCharType="begin"/>
          </w:r>
          <w:r>
            <w:instrText xml:space="preserve"> PAGEREF _Toc2988 \h </w:instrText>
          </w:r>
          <w:r>
            <w:fldChar w:fldCharType="separate"/>
          </w:r>
          <w:r>
            <w:t>20</w:t>
          </w:r>
          <w:r>
            <w:fldChar w:fldCharType="end"/>
          </w:r>
          <w:r>
            <w:rPr>
              <w:rFonts w:ascii="微软雅黑" w:hAnsi="微软雅黑" w:eastAsia="微软雅黑" w:cstheme="majorBidi"/>
              <w:bCs/>
              <w:color w:val="2E74B5"/>
              <w:szCs w:val="28"/>
              <w:lang w:val="en-US" w:eastAsia="en-US" w:bidi="ar-SA"/>
            </w:rPr>
            <w:fldChar w:fldCharType="end"/>
          </w:r>
        </w:p>
        <w:p w14:paraId="2080B9A3">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_Toc24846 </w:instrText>
          </w:r>
          <w:r>
            <w:rPr>
              <w:rFonts w:ascii="微软雅黑" w:hAnsi="微软雅黑" w:eastAsia="微软雅黑" w:cstheme="majorBidi"/>
              <w:bCs/>
              <w:szCs w:val="28"/>
              <w:lang w:val="en-US" w:eastAsia="en-US" w:bidi="ar-SA"/>
            </w:rPr>
            <w:fldChar w:fldCharType="separate"/>
          </w:r>
          <w:r>
            <w:rPr>
              <w:rFonts w:hint="default"/>
            </w:rPr>
            <w:t xml:space="preserve">9.1 </w:t>
          </w:r>
          <w:r>
            <w:t>两名成员工作成果总结</w:t>
          </w:r>
          <w:r>
            <w:tab/>
          </w:r>
          <w:r>
            <w:fldChar w:fldCharType="begin"/>
          </w:r>
          <w:r>
            <w:instrText xml:space="preserve"> PAGEREF _Toc24846 \h </w:instrText>
          </w:r>
          <w:r>
            <w:fldChar w:fldCharType="separate"/>
          </w:r>
          <w:r>
            <w:t>20</w:t>
          </w:r>
          <w:r>
            <w:fldChar w:fldCharType="end"/>
          </w:r>
          <w:r>
            <w:rPr>
              <w:rFonts w:ascii="微软雅黑" w:hAnsi="微软雅黑" w:eastAsia="微软雅黑" w:cstheme="majorBidi"/>
              <w:bCs/>
              <w:color w:val="2E74B5"/>
              <w:szCs w:val="28"/>
              <w:lang w:val="en-US" w:eastAsia="en-US" w:bidi="ar-SA"/>
            </w:rPr>
            <w:fldChar w:fldCharType="end"/>
          </w:r>
        </w:p>
        <w:p w14:paraId="7363CEFF">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_Toc26841 </w:instrText>
          </w:r>
          <w:r>
            <w:rPr>
              <w:rFonts w:ascii="微软雅黑" w:hAnsi="微软雅黑" w:eastAsia="微软雅黑" w:cstheme="majorBidi"/>
              <w:bCs/>
              <w:szCs w:val="28"/>
              <w:lang w:val="en-US" w:eastAsia="en-US" w:bidi="ar-SA"/>
            </w:rPr>
            <w:fldChar w:fldCharType="separate"/>
          </w:r>
          <w:r>
            <w:rPr>
              <w:rFonts w:hint="default"/>
            </w:rPr>
            <w:t xml:space="preserve">9.2 </w:t>
          </w:r>
          <w:r>
            <w:t>项目创新点与课程实践价值</w:t>
          </w:r>
          <w:r>
            <w:tab/>
          </w:r>
          <w:r>
            <w:fldChar w:fldCharType="begin"/>
          </w:r>
          <w:r>
            <w:instrText xml:space="preserve"> PAGEREF _Toc26841 \h </w:instrText>
          </w:r>
          <w:r>
            <w:fldChar w:fldCharType="separate"/>
          </w:r>
          <w:r>
            <w:t>20</w:t>
          </w:r>
          <w:r>
            <w:fldChar w:fldCharType="end"/>
          </w:r>
          <w:r>
            <w:rPr>
              <w:rFonts w:ascii="微软雅黑" w:hAnsi="微软雅黑" w:eastAsia="微软雅黑" w:cstheme="majorBidi"/>
              <w:bCs/>
              <w:color w:val="2E74B5"/>
              <w:szCs w:val="28"/>
              <w:lang w:val="en-US" w:eastAsia="en-US" w:bidi="ar-SA"/>
            </w:rPr>
            <w:fldChar w:fldCharType="end"/>
          </w:r>
        </w:p>
        <w:p w14:paraId="00F211CC">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_Toc32530 </w:instrText>
          </w:r>
          <w:r>
            <w:rPr>
              <w:rFonts w:ascii="微软雅黑" w:hAnsi="微软雅黑" w:eastAsia="微软雅黑" w:cstheme="majorBidi"/>
              <w:bCs/>
              <w:szCs w:val="28"/>
              <w:lang w:val="en-US" w:eastAsia="en-US" w:bidi="ar-SA"/>
            </w:rPr>
            <w:fldChar w:fldCharType="separate"/>
          </w:r>
          <w:r>
            <w:rPr>
              <w:rFonts w:hint="default"/>
            </w:rPr>
            <w:t xml:space="preserve">9.3 </w:t>
          </w:r>
          <w:r>
            <w:t>当前不足</w:t>
          </w:r>
          <w:r>
            <w:tab/>
          </w:r>
          <w:r>
            <w:fldChar w:fldCharType="begin"/>
          </w:r>
          <w:r>
            <w:instrText xml:space="preserve"> PAGEREF _Toc32530 \h </w:instrText>
          </w:r>
          <w:r>
            <w:fldChar w:fldCharType="separate"/>
          </w:r>
          <w:r>
            <w:t>20</w:t>
          </w:r>
          <w:r>
            <w:fldChar w:fldCharType="end"/>
          </w:r>
          <w:r>
            <w:rPr>
              <w:rFonts w:ascii="微软雅黑" w:hAnsi="微软雅黑" w:eastAsia="微软雅黑" w:cstheme="majorBidi"/>
              <w:bCs/>
              <w:color w:val="2E74B5"/>
              <w:szCs w:val="28"/>
              <w:lang w:val="en-US" w:eastAsia="en-US" w:bidi="ar-SA"/>
            </w:rPr>
            <w:fldChar w:fldCharType="end"/>
          </w:r>
        </w:p>
        <w:p w14:paraId="704525EE">
          <w:pPr>
            <w:pStyle w:val="12"/>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_Toc9038 </w:instrText>
          </w:r>
          <w:r>
            <w:rPr>
              <w:rFonts w:ascii="微软雅黑" w:hAnsi="微软雅黑" w:eastAsia="微软雅黑" w:cstheme="majorBidi"/>
              <w:bCs/>
              <w:szCs w:val="28"/>
              <w:lang w:val="en-US" w:eastAsia="en-US" w:bidi="ar-SA"/>
            </w:rPr>
            <w:fldChar w:fldCharType="separate"/>
          </w:r>
          <w:r>
            <w:rPr>
              <w:rFonts w:hint="default"/>
            </w:rPr>
            <w:t xml:space="preserve">9.4 </w:t>
          </w:r>
          <w:r>
            <w:t>后续改进方向</w:t>
          </w:r>
          <w:r>
            <w:tab/>
          </w:r>
          <w:r>
            <w:fldChar w:fldCharType="begin"/>
          </w:r>
          <w:r>
            <w:instrText xml:space="preserve"> PAGEREF _Toc9038 \h </w:instrText>
          </w:r>
          <w:r>
            <w:fldChar w:fldCharType="separate"/>
          </w:r>
          <w:r>
            <w:t>21</w:t>
          </w:r>
          <w:r>
            <w:fldChar w:fldCharType="end"/>
          </w:r>
          <w:r>
            <w:rPr>
              <w:rFonts w:ascii="微软雅黑" w:hAnsi="微软雅黑" w:eastAsia="微软雅黑" w:cstheme="majorBidi"/>
              <w:bCs/>
              <w:color w:val="2E74B5"/>
              <w:szCs w:val="28"/>
              <w:lang w:val="en-US" w:eastAsia="en-US" w:bidi="ar-SA"/>
            </w:rPr>
            <w:fldChar w:fldCharType="end"/>
          </w:r>
        </w:p>
        <w:p w14:paraId="40EEE2B4">
          <w:pPr>
            <w:pStyle w:val="15"/>
            <w:tabs>
              <w:tab w:val="right" w:leader="dot" w:pos="8306"/>
            </w:tabs>
          </w:pPr>
          <w:r>
            <w:rPr>
              <w:rFonts w:ascii="微软雅黑" w:hAnsi="微软雅黑" w:eastAsia="微软雅黑" w:cstheme="majorBidi"/>
              <w:bCs/>
              <w:color w:val="2E74B5"/>
              <w:szCs w:val="28"/>
              <w:lang w:val="en-US" w:eastAsia="en-US" w:bidi="ar-SA"/>
            </w:rPr>
            <w:fldChar w:fldCharType="begin"/>
          </w:r>
          <w:r>
            <w:rPr>
              <w:rFonts w:ascii="微软雅黑" w:hAnsi="微软雅黑" w:eastAsia="微软雅黑" w:cstheme="majorBidi"/>
              <w:bCs/>
              <w:szCs w:val="28"/>
              <w:lang w:val="en-US" w:eastAsia="en-US" w:bidi="ar-SA"/>
            </w:rPr>
            <w:instrText xml:space="preserve"> HYPERLINK \l _Toc29396 </w:instrText>
          </w:r>
          <w:r>
            <w:rPr>
              <w:rFonts w:ascii="微软雅黑" w:hAnsi="微软雅黑" w:eastAsia="微软雅黑" w:cstheme="majorBidi"/>
              <w:bCs/>
              <w:szCs w:val="28"/>
              <w:lang w:val="en-US" w:eastAsia="en-US" w:bidi="ar-SA"/>
            </w:rPr>
            <w:fldChar w:fldCharType="separate"/>
          </w:r>
          <w:r>
            <w:rPr>
              <w:b/>
              <w:bCs/>
            </w:rPr>
            <w:t>参考文献</w:t>
          </w:r>
          <w:r>
            <w:tab/>
          </w:r>
          <w:r>
            <w:fldChar w:fldCharType="begin"/>
          </w:r>
          <w:r>
            <w:instrText xml:space="preserve"> PAGEREF _Toc29396 \h </w:instrText>
          </w:r>
          <w:r>
            <w:fldChar w:fldCharType="separate"/>
          </w:r>
          <w:r>
            <w:t>21</w:t>
          </w:r>
          <w:r>
            <w:fldChar w:fldCharType="end"/>
          </w:r>
          <w:r>
            <w:rPr>
              <w:rFonts w:ascii="微软雅黑" w:hAnsi="微软雅黑" w:eastAsia="微软雅黑" w:cstheme="majorBidi"/>
              <w:bCs/>
              <w:color w:val="2E74B5"/>
              <w:szCs w:val="28"/>
              <w:lang w:val="en-US" w:eastAsia="en-US" w:bidi="ar-SA"/>
            </w:rPr>
            <w:fldChar w:fldCharType="end"/>
          </w:r>
        </w:p>
        <w:p w14:paraId="4EE48E05">
          <w:pPr>
            <w:keepNext/>
            <w:keepLines/>
            <w:spacing w:before="200" w:after="100" w:line="300" w:lineRule="auto"/>
            <w:outlineLvl w:val="9"/>
            <w:rPr>
              <w:rFonts w:ascii="微软雅黑" w:hAnsi="微软雅黑" w:eastAsia="微软雅黑" w:cstheme="majorBidi"/>
              <w:bCs/>
              <w:color w:val="2E74B5"/>
              <w:sz w:val="22"/>
              <w:szCs w:val="28"/>
              <w:lang w:val="en-US" w:eastAsia="en-US" w:bidi="ar-SA"/>
            </w:rPr>
          </w:pPr>
          <w:r>
            <w:rPr>
              <w:rFonts w:ascii="微软雅黑" w:hAnsi="微软雅黑" w:eastAsia="微软雅黑" w:cstheme="majorBidi"/>
              <w:bCs/>
              <w:color w:val="2E74B5"/>
              <w:szCs w:val="28"/>
              <w:lang w:val="en-US" w:eastAsia="en-US" w:bidi="ar-SA"/>
            </w:rPr>
            <w:fldChar w:fldCharType="end"/>
          </w:r>
        </w:p>
      </w:sdtContent>
    </w:sdt>
    <w:p w14:paraId="259F5E8D">
      <w:pPr>
        <w:pStyle w:val="3"/>
      </w:pPr>
      <w:bookmarkStart w:id="0" w:name="_Toc32162"/>
      <w:bookmarkStart w:id="1" w:name="_Toc7957"/>
      <w:r>
        <w:t>成员分工与报告结构说明</w:t>
      </w:r>
      <w:bookmarkEnd w:id="0"/>
      <w:bookmarkEnd w:id="1"/>
    </w:p>
    <w:p w14:paraId="6B08720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报告由两名成员共同完成，最终成果统一合并为一份自然语言处理课程实验报告。为了使分工边界清晰、内容组织连贯，正文内部按照工作内容拆分为两个相对独立的子报告。第一部分由翁存负责，重点放在资料基础、本体设计与 GraphRAG 理论框架；第二部分由成雕负责，重点放在系统实现、图谱构建、前端展示与结果分析。</w:t>
      </w:r>
    </w:p>
    <w:p w14:paraId="0E71B862">
      <w:pPr>
        <w:pStyle w:val="27"/>
        <w:widowControl/>
      </w:pPr>
      <w:r>
        <w:t>表 0-1 成员分工与报告结构说明表</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7"/>
        <w:gridCol w:w="2848"/>
        <w:gridCol w:w="2848"/>
      </w:tblGrid>
      <w:tr w14:paraId="78F2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E8EEF5"/>
            <w:tcMar>
              <w:top w:w="80" w:type="dxa"/>
              <w:left w:w="120" w:type="dxa"/>
              <w:bottom w:w="80" w:type="dxa"/>
              <w:right w:w="120" w:type="dxa"/>
            </w:tcMar>
            <w:vAlign w:val="center"/>
          </w:tcPr>
          <w:p w14:paraId="175594F6">
            <w:pPr>
              <w:spacing w:after="0" w:line="264" w:lineRule="auto"/>
            </w:pPr>
            <w:r>
              <w:rPr>
                <w:rFonts w:ascii="微软雅黑" w:hAnsi="微软雅黑" w:eastAsia="微软雅黑"/>
                <w:sz w:val="18"/>
              </w:rPr>
              <w:t>成员</w:t>
            </w:r>
          </w:p>
        </w:tc>
        <w:tc>
          <w:tcPr>
            <w:tcW w:w="1666" w:type="pct"/>
            <w:shd w:val="clear" w:color="auto" w:fill="E8EEF5"/>
            <w:tcMar>
              <w:top w:w="80" w:type="dxa"/>
              <w:left w:w="120" w:type="dxa"/>
              <w:bottom w:w="80" w:type="dxa"/>
              <w:right w:w="120" w:type="dxa"/>
            </w:tcMar>
            <w:vAlign w:val="center"/>
          </w:tcPr>
          <w:p w14:paraId="2085FA42">
            <w:pPr>
              <w:spacing w:after="0" w:line="264" w:lineRule="auto"/>
            </w:pPr>
            <w:r>
              <w:rPr>
                <w:rFonts w:ascii="微软雅黑" w:hAnsi="微软雅黑" w:eastAsia="微软雅黑"/>
                <w:sz w:val="18"/>
              </w:rPr>
              <w:t>负责部分</w:t>
            </w:r>
          </w:p>
        </w:tc>
        <w:tc>
          <w:tcPr>
            <w:tcW w:w="1666" w:type="pct"/>
            <w:shd w:val="clear" w:color="auto" w:fill="E8EEF5"/>
            <w:tcMar>
              <w:top w:w="80" w:type="dxa"/>
              <w:left w:w="120" w:type="dxa"/>
              <w:bottom w:w="80" w:type="dxa"/>
              <w:right w:w="120" w:type="dxa"/>
            </w:tcMar>
            <w:vAlign w:val="center"/>
          </w:tcPr>
          <w:p w14:paraId="5F2FBC9E">
            <w:pPr>
              <w:spacing w:after="0" w:line="264" w:lineRule="auto"/>
            </w:pPr>
            <w:r>
              <w:rPr>
                <w:rFonts w:ascii="微软雅黑" w:hAnsi="微软雅黑" w:eastAsia="微软雅黑"/>
                <w:sz w:val="18"/>
              </w:rPr>
              <w:t>主要工作内容</w:t>
            </w:r>
          </w:p>
        </w:tc>
      </w:tr>
      <w:tr w14:paraId="1CC1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68347EB4">
            <w:pPr>
              <w:spacing w:after="0" w:line="264" w:lineRule="auto"/>
            </w:pPr>
            <w:r>
              <w:rPr>
                <w:rFonts w:ascii="微软雅黑" w:hAnsi="微软雅黑" w:eastAsia="微软雅黑"/>
                <w:sz w:val="18"/>
              </w:rPr>
              <w:t>翁存</w:t>
            </w:r>
          </w:p>
        </w:tc>
        <w:tc>
          <w:tcPr>
            <w:tcW w:w="1666" w:type="pct"/>
            <w:tcMar>
              <w:top w:w="80" w:type="dxa"/>
              <w:left w:w="120" w:type="dxa"/>
              <w:bottom w:w="80" w:type="dxa"/>
              <w:right w:w="120" w:type="dxa"/>
            </w:tcMar>
            <w:vAlign w:val="center"/>
          </w:tcPr>
          <w:p w14:paraId="6E185552">
            <w:pPr>
              <w:spacing w:after="0" w:line="264" w:lineRule="auto"/>
            </w:pPr>
            <w:r>
              <w:rPr>
                <w:rFonts w:ascii="微软雅黑" w:hAnsi="微软雅黑" w:eastAsia="微软雅黑"/>
                <w:sz w:val="18"/>
              </w:rPr>
              <w:t>资料基础、本体设计与 GraphRAG 理论框架</w:t>
            </w:r>
          </w:p>
        </w:tc>
        <w:tc>
          <w:tcPr>
            <w:tcW w:w="1666" w:type="pct"/>
            <w:tcMar>
              <w:top w:w="80" w:type="dxa"/>
              <w:left w:w="120" w:type="dxa"/>
              <w:bottom w:w="80" w:type="dxa"/>
              <w:right w:w="120" w:type="dxa"/>
            </w:tcMar>
            <w:vAlign w:val="center"/>
          </w:tcPr>
          <w:p w14:paraId="0C0B3ADC">
            <w:pPr>
              <w:spacing w:after="0" w:line="264" w:lineRule="auto"/>
            </w:pPr>
            <w:r>
              <w:rPr>
                <w:rFonts w:ascii="微软雅黑" w:hAnsi="微软雅黑" w:eastAsia="微软雅黑"/>
                <w:sz w:val="18"/>
              </w:rPr>
              <w:t>研究背景、资料来源、地震专题语料组织、GraphRAG 方法说明、本体层设计、关系层设计、证据追溯机制和资料核验机制。</w:t>
            </w:r>
          </w:p>
        </w:tc>
      </w:tr>
      <w:tr w14:paraId="597C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3D29639E">
            <w:pPr>
              <w:spacing w:after="0" w:line="264" w:lineRule="auto"/>
            </w:pPr>
            <w:r>
              <w:rPr>
                <w:rFonts w:ascii="微软雅黑" w:hAnsi="微软雅黑" w:eastAsia="微软雅黑"/>
                <w:sz w:val="18"/>
              </w:rPr>
              <w:t>成雕</w:t>
            </w:r>
          </w:p>
        </w:tc>
        <w:tc>
          <w:tcPr>
            <w:tcW w:w="1666" w:type="pct"/>
            <w:tcMar>
              <w:top w:w="80" w:type="dxa"/>
              <w:left w:w="120" w:type="dxa"/>
              <w:bottom w:w="80" w:type="dxa"/>
              <w:right w:w="120" w:type="dxa"/>
            </w:tcMar>
            <w:vAlign w:val="center"/>
          </w:tcPr>
          <w:p w14:paraId="59EB9744">
            <w:pPr>
              <w:spacing w:after="0" w:line="264" w:lineRule="auto"/>
            </w:pPr>
            <w:r>
              <w:rPr>
                <w:rFonts w:ascii="微软雅黑" w:hAnsi="微软雅黑" w:eastAsia="微软雅黑"/>
                <w:sz w:val="18"/>
              </w:rPr>
              <w:t>系统实现、图谱构建、前端交互与测试分析</w:t>
            </w:r>
          </w:p>
        </w:tc>
        <w:tc>
          <w:tcPr>
            <w:tcW w:w="1666" w:type="pct"/>
            <w:tcMar>
              <w:top w:w="80" w:type="dxa"/>
              <w:left w:w="120" w:type="dxa"/>
              <w:bottom w:w="80" w:type="dxa"/>
              <w:right w:w="120" w:type="dxa"/>
            </w:tcMar>
            <w:vAlign w:val="center"/>
          </w:tcPr>
          <w:p w14:paraId="1A0C5BFA">
            <w:pPr>
              <w:spacing w:after="0" w:line="264" w:lineRule="auto"/>
            </w:pPr>
            <w:r>
              <w:rPr>
                <w:rFonts w:ascii="微软雅黑" w:hAnsi="微软雅黑" w:eastAsia="微软雅黑"/>
                <w:sz w:val="18"/>
              </w:rPr>
              <w:t>工程目录组织、语料切块、实体关系抽取、证据边绑定、社区报告生成、atlas 数据发布、交互图谱实现、结果测试和问题分析。</w:t>
            </w:r>
          </w:p>
        </w:tc>
      </w:tr>
    </w:tbl>
    <w:p w14:paraId="067FE5E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表将报告结构与成员分工对应起来。这样安排的原因在于，知识图谱课程实践既需要解释资料、实体、关系和证据链的设计逻辑，也需要说明索引构建、数据导出和前端展示的工程实现过程。两个部分分别对应“设计依据”和“实现验证”两个层次。</w:t>
      </w:r>
    </w:p>
    <w:p w14:paraId="0F49AEF9">
      <w:pPr>
        <w:pStyle w:val="11"/>
        <w:widowControl/>
        <w:rPr>
          <w:rFonts w:ascii="Times New Roman" w:hAnsi="Times New Roman" w:eastAsia="宋体" w:cs="Times New Roman"/>
          <w:sz w:val="24"/>
          <w:szCs w:val="24"/>
        </w:rPr>
      </w:pPr>
    </w:p>
    <w:p w14:paraId="7CA1E116">
      <w:pPr>
        <w:pStyle w:val="11"/>
        <w:widowControl/>
        <w:rPr>
          <w:rFonts w:ascii="Times New Roman" w:hAnsi="Times New Roman" w:eastAsia="宋体" w:cs="Times New Roman"/>
          <w:sz w:val="24"/>
          <w:szCs w:val="24"/>
        </w:rPr>
      </w:pPr>
    </w:p>
    <w:p w14:paraId="549615B5">
      <w:pPr>
        <w:pStyle w:val="25"/>
        <w:widowControl/>
      </w:pPr>
      <w:bookmarkStart w:id="2" w:name="_Toc22467"/>
      <w:bookmarkStart w:id="3" w:name="_Toc6999"/>
      <w:r>
        <w:t>摘要</w:t>
      </w:r>
      <w:bookmarkEnd w:id="2"/>
      <w:bookmarkEnd w:id="3"/>
    </w:p>
    <w:p w14:paraId="0DF5B27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本报告围绕“GraphRAG 驱动的地震灾害 AI 防灾减灾关键技术图谱构建”展开，面向自然语言处理课程期末大作业，完成从地震专题资料整理到可交互图谱展示的完整实践链条。项目以地震灾害为统一研究尺度，整理原始来源核验、全球典型地震事件参数、ShakeMap 与 PAGER 影响评估、灾后应急响应、遥感影像与建筑震损标签、生命线韧性、分布式 AI 地震预警、工程损失评估系统、应急治理政策标准以及本体复核机制等专题语料，并将文档切分为 31 个文本块。在此基础上，项目采用规则抽取和结构化整理方式，形成 199 个图谱实体、270 条关系、270 条声明和 8 个技术社区。报告重点说明资料字段设计、本体层设计、关系类型设计、证据边绑定、GraphRAG 索引生成、Neo4j 与 GraphML 导出、前端 atlas 数据发布以及交互图谱验证过程。结果表明，课程实践级图谱能够把分散的地震灾害 AI 技术资料组织为可检索、可追溯、可展示的结构化网络，为后续专家复核、问答评测和真实灾害数据接入提供基础。</w:t>
      </w:r>
    </w:p>
    <w:p w14:paraId="3CFAC58F">
      <w:pPr>
        <w:pStyle w:val="11"/>
        <w:widowControl/>
        <w:ind w:left="0" w:leftChars="0" w:firstLine="0" w:firstLineChars="0"/>
        <w:rPr>
          <w:rStyle w:val="24"/>
          <w:rFonts w:hint="eastAsia" w:eastAsia="宋体"/>
          <w:lang w:eastAsia="zh-CN"/>
        </w:rPr>
      </w:pPr>
      <w:bookmarkStart w:id="4" w:name="_Toc22824"/>
    </w:p>
    <w:p w14:paraId="7BD582A9">
      <w:pPr>
        <w:pStyle w:val="11"/>
        <w:widowControl/>
        <w:ind w:left="0" w:leftChars="0" w:firstLine="0" w:firstLineChars="0"/>
        <w:rPr>
          <w:rFonts w:ascii="Times New Roman" w:hAnsi="Times New Roman" w:eastAsia="宋体" w:cs="Times New Roman"/>
          <w:sz w:val="24"/>
          <w:szCs w:val="24"/>
        </w:rPr>
      </w:pPr>
      <w:r>
        <w:rPr>
          <w:rStyle w:val="24"/>
        </w:rPr>
        <w:t>关键词</w:t>
      </w:r>
      <w:bookmarkEnd w:id="4"/>
      <w:r>
        <w:rPr>
          <w:rStyle w:val="24"/>
          <w:rFonts w:hint="eastAsia"/>
          <w:lang w:eastAsia="zh-CN"/>
        </w:rPr>
        <w:t>：</w:t>
      </w:r>
      <w:r>
        <w:rPr>
          <w:rFonts w:ascii="Times New Roman" w:hAnsi="Times New Roman" w:eastAsia="宋体" w:cs="Times New Roman"/>
          <w:sz w:val="24"/>
          <w:szCs w:val="24"/>
        </w:rPr>
        <w:t>GraphRAG；地震灾害；AI 防灾减灾；知识图谱；证据边；前端交互图谱</w:t>
      </w:r>
    </w:p>
    <w:p w14:paraId="06CABD96">
      <w:pPr>
        <w:keepNext/>
        <w:keepLines/>
        <w:spacing w:before="200" w:after="100" w:line="300" w:lineRule="auto"/>
        <w:outlineLvl w:val="9"/>
        <w:rPr>
          <w:rFonts w:ascii="微软雅黑" w:hAnsi="微软雅黑" w:eastAsia="微软雅黑" w:cstheme="majorBidi"/>
          <w:bCs/>
          <w:color w:val="2E74B5"/>
          <w:sz w:val="22"/>
          <w:szCs w:val="28"/>
          <w:lang w:val="en-US" w:eastAsia="en-US" w:bidi="ar-SA"/>
        </w:rPr>
      </w:pPr>
    </w:p>
    <w:p w14:paraId="66FA863A">
      <w:pPr>
        <w:pStyle w:val="2"/>
      </w:pPr>
      <w:bookmarkStart w:id="5" w:name="_Toc31408"/>
      <w:r>
        <w:t>第二部分 ：系统实现、图谱构建、前端展示与结果分析</w:t>
      </w:r>
      <w:bookmarkEnd w:id="5"/>
      <w:r>
        <w:t xml:space="preserve"> </w:t>
      </w:r>
    </w:p>
    <w:p w14:paraId="6DABF3F3">
      <w:pPr>
        <w:pStyle w:val="3"/>
      </w:pPr>
      <w:bookmarkStart w:id="6" w:name="_Toc29675"/>
      <w:r>
        <w:t>5 系统总体设计与工程目录</w:t>
      </w:r>
      <w:bookmarkEnd w:id="6"/>
    </w:p>
    <w:p w14:paraId="7CE261B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第二部分说明本项目如何从整理资料进入工程实现。系统总体设计围绕“数据包、源码、演示录像、技术方案、汇报材料”组织成果，并将 GraphRAG 索引结果复制到可提交目录。图 5-1 展示了提交根目录下的成果组织方式。</w:t>
      </w:r>
    </w:p>
    <w:p w14:paraId="54ECD685">
      <w:pPr>
        <w:jc w:val="center"/>
      </w:pPr>
      <w:r>
        <w:drawing>
          <wp:inline distT="0" distB="0" distL="114300" distR="114300">
            <wp:extent cx="5274310" cy="2285365"/>
            <wp:effectExtent l="0" t="0" r="889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4310" cy="2285365"/>
                    </a:xfrm>
                    <a:prstGeom prst="rect">
                      <a:avLst/>
                    </a:prstGeom>
                  </pic:spPr>
                </pic:pic>
              </a:graphicData>
            </a:graphic>
          </wp:inline>
        </w:drawing>
      </w:r>
    </w:p>
    <w:p w14:paraId="0300F9C4">
      <w:pPr>
        <w:pStyle w:val="27"/>
        <w:widowControl/>
      </w:pPr>
      <w:r>
        <w:t>图 5-1 项目目录结构与成果文件组织图</w:t>
      </w:r>
    </w:p>
    <w:p w14:paraId="37E363E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该图说明项目没有把原始资料、处理数据、源码和展示材料混放在一个目录中，而是按提交包结构保存。这样的目录组织便于检查成果完整性，也便于后续重新运行前端或定位图谱数据。</w:t>
      </w:r>
    </w:p>
    <w:p w14:paraId="7C50CFE0">
      <w:pPr>
        <w:pStyle w:val="4"/>
        <w:numPr>
          <w:ilvl w:val="0"/>
          <w:numId w:val="1"/>
        </w:numPr>
        <w:ind w:left="0" w:leftChars="0" w:firstLine="0" w:firstLineChars="0"/>
        <w:rPr>
          <w:b w:val="0"/>
        </w:rPr>
      </w:pPr>
      <w:bookmarkStart w:id="7" w:name="_Toc16470"/>
      <w:r>
        <w:t>项目目录结构与成果组织方式</w:t>
      </w:r>
      <w:bookmarkEnd w:id="7"/>
    </w:p>
    <w:p w14:paraId="51E9E72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1_数据包保存 raw_data、processed_data、graphrag_index、public_atlas 和截图材料，是报告统计和图件生成的主要来源。2_源码保存前端工程和图谱构建相关脚本，可用于运行展示系统。3_演示录像用于保存运行演示资料。4_技术方案保存报告、说明文档和其他文字成果。5_汇报PPT 作为后续汇报材料预留目录。</w:t>
      </w:r>
    </w:p>
    <w:p w14:paraId="070A712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这种目录结构的优点是把原始材料、处理后数据、前端代码和提交文档分开管理。对于课程大作业而言，教师可以直接查看报告，也可以进一步检查 CSV、JSON、GraphML 和前端截图，判断报告结论是否有对应成果文件支撑。</w:t>
      </w:r>
    </w:p>
    <w:p w14:paraId="29BDE09A">
      <w:pPr>
        <w:pStyle w:val="4"/>
        <w:numPr>
          <w:ilvl w:val="0"/>
          <w:numId w:val="1"/>
        </w:numPr>
        <w:ind w:left="0" w:leftChars="0" w:firstLine="0" w:firstLineChars="0"/>
        <w:rPr>
          <w:b w:val="0"/>
        </w:rPr>
      </w:pPr>
      <w:bookmarkStart w:id="8" w:name="_Toc30961"/>
      <w:r>
        <w:t>GraphRAG 索引重建流程</w:t>
      </w:r>
      <w:bookmarkEnd w:id="8"/>
    </w:p>
    <w:p w14:paraId="2686ECA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索引重建流程从 Word 或 Markdown 资料读取开始，随后生成 corpus_manifest.csv 和 chunks.csv，再抽取实体、关系和声明，最后形成 graph_nodes.csv、graph_edges_neo4j.csv、claims.csv、evidence_edges.csv、community_reports.csv 和 atlas_quality_report.json。</w:t>
      </w:r>
    </w:p>
    <w:p w14:paraId="7F353D9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本项目保留了运行日志和索引质量检查文件，用于说明索引生成过程。index_summary.json 中记录 generated_at、source_file、documents、chunks、entities、claims、relations、communities、extractor、extraction_method 和 quality_status 等关键信息，这些字段被报告用于形成真实规模指标。</w:t>
      </w:r>
    </w:p>
    <w:p w14:paraId="035911AF">
      <w:pPr>
        <w:pStyle w:val="4"/>
        <w:numPr>
          <w:ilvl w:val="0"/>
          <w:numId w:val="1"/>
        </w:numPr>
        <w:ind w:left="0" w:leftChars="0" w:firstLine="0" w:firstLineChars="0"/>
        <w:rPr>
          <w:b w:val="0"/>
        </w:rPr>
      </w:pPr>
      <w:bookmarkStart w:id="9" w:name="_Toc25338"/>
      <w:r>
        <w:t>后端数据文件与前端 atlas 数据衔接</w:t>
      </w:r>
      <w:bookmarkEnd w:id="9"/>
    </w:p>
    <w:p w14:paraId="71BBFB6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后端数据文件主要服务于图谱构建和导出，前端 atlas 数据主要服务于展示。graph_nodes.csv 和 graph_edges_neo4j.csv 面向图谱实体关系；evidence_edges.csv 面向证据片段；community_reports.csv 面向技术社区；atlas_frontend.json 则把节点、聚合边、证据、社区和界面所需字段组织为前端可加载结构。</w:t>
      </w:r>
    </w:p>
    <w:p w14:paraId="70DB75F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这种衔接方式使前端无需直接解析所有原始 CSV，而是读取已经整理过的 atlas 数据。与此同时，报告仍保留 CSV 统计来源，避免只依赖前端截图判断成果规模。数据文件与界面展示之间形成可追溯关系。</w:t>
      </w:r>
    </w:p>
    <w:p w14:paraId="189657A5">
      <w:pPr>
        <w:pStyle w:val="4"/>
        <w:numPr>
          <w:ilvl w:val="0"/>
          <w:numId w:val="1"/>
        </w:numPr>
        <w:ind w:left="0" w:leftChars="0" w:firstLine="0" w:firstLineChars="0"/>
        <w:rPr>
          <w:b w:val="0"/>
        </w:rPr>
      </w:pPr>
      <w:bookmarkStart w:id="10" w:name="_Toc24832"/>
      <w:r>
        <w:t>本项目不进行模型训练的实验边界</w:t>
      </w:r>
      <w:bookmarkEnd w:id="10"/>
    </w:p>
    <w:p w14:paraId="13F0066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本项目属于自然语言处理课程中的图谱构建实践，重点是资料组织、实体关系抽取、证据链绑定和交互展示，不进行新的深度学习模型训练。报告不写准确率、召回率、F1 等未实际计算的模型指标，也不把规则抽取结果描述为完全准确结果。</w:t>
      </w:r>
    </w:p>
    <w:p w14:paraId="470330E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边界并不削弱项目价值。相反，明确边界可以使评价重点回到图谱构建链路本身：资料是否可追溯，文本块是否可定位，实体和关系是否有字段约束，证据片段是否绑定，前端是否能展示图谱结构，输出文件是否可复现。</w:t>
      </w:r>
    </w:p>
    <w:p w14:paraId="5DB7265F">
      <w:pPr>
        <w:pStyle w:val="4"/>
        <w:numPr>
          <w:ilvl w:val="0"/>
          <w:numId w:val="1"/>
        </w:numPr>
        <w:ind w:left="0" w:leftChars="0" w:firstLine="0" w:firstLineChars="0"/>
        <w:rPr>
          <w:b w:val="0"/>
        </w:rPr>
      </w:pPr>
      <w:bookmarkStart w:id="11" w:name="_Toc2938"/>
      <w:r>
        <w:t>复现流程与运行环境说明</w:t>
      </w:r>
      <w:bookmarkEnd w:id="11"/>
    </w:p>
    <w:p w14:paraId="75F3DD9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复现流程包括检查数据包、确认 GraphRAG 索引输出、查看 public_atlas 目录、运行前端工程、打开本地地址并进行交互验证。对于本报告中的图表，统计图直接从 CSV 和 JSON 生成，前端展示图依据已实现功能重新绘制为结构配图。这样可以保证报告内容与项目目录中的成果一致。</w:t>
      </w:r>
    </w:p>
    <w:p w14:paraId="030ED3A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运行环境主要依赖本地 Windows 项目目录、Node 前端环境和 Python 数据处理环境。若重新生成图谱索引，应先备份原始输出，再重新运行索引脚本，避免覆盖已提交成果。若只验证前端展示，则无需修改 GraphRAG 索引数据。</w:t>
      </w:r>
    </w:p>
    <w:p w14:paraId="75A194B1">
      <w:pPr>
        <w:pStyle w:val="3"/>
        <w:numPr>
          <w:ilvl w:val="0"/>
          <w:numId w:val="2"/>
        </w:numPr>
        <w:ind w:left="0" w:leftChars="0" w:firstLine="0" w:firstLineChars="0"/>
        <w:rPr>
          <w:b w:val="0"/>
        </w:rPr>
      </w:pPr>
      <w:bookmarkStart w:id="12" w:name="_Toc21401"/>
      <w:r>
        <w:t>图谱构建详细实现</w:t>
      </w:r>
      <w:bookmarkEnd w:id="12"/>
    </w:p>
    <w:p w14:paraId="4F9A2E3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图谱构建是本报告第二部分的重点。本项目从文本块出发，依次完成实体候选抽取、实体类型归一、关系抽取、声明生成、证据边绑定、社区归纳和多格式导出。图 6-1 展示了从 chunk 到 evidence_edge 的处理流程。</w:t>
      </w:r>
    </w:p>
    <w:p w14:paraId="0AD55346">
      <w:pPr>
        <w:jc w:val="center"/>
      </w:pPr>
      <w:r>
        <w:drawing>
          <wp:inline distT="0" distB="0" distL="114300" distR="114300">
            <wp:extent cx="5274310" cy="1776095"/>
            <wp:effectExtent l="0" t="0" r="889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4310" cy="1776095"/>
                    </a:xfrm>
                    <a:prstGeom prst="rect">
                      <a:avLst/>
                    </a:prstGeom>
                  </pic:spPr>
                </pic:pic>
              </a:graphicData>
            </a:graphic>
          </wp:inline>
        </w:drawing>
      </w:r>
    </w:p>
    <w:p w14:paraId="5C32FE26">
      <w:pPr>
        <w:pStyle w:val="27"/>
        <w:widowControl/>
      </w:pPr>
      <w:r>
        <w:t>图 6-1 实体抽取与关系抽取流程图</w:t>
      </w:r>
    </w:p>
    <w:p w14:paraId="7F14561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该图展示了图谱构建的最小处理链条。chunk 是证据基础，entity 是图谱节点，relation 是节点间语义连接，claim 是可读声明，evidence_edge 则把关系和证据片段绑定起来。</w:t>
      </w:r>
    </w:p>
    <w:p w14:paraId="1AB5CF92">
      <w:pPr>
        <w:pStyle w:val="4"/>
        <w:numPr>
          <w:ilvl w:val="0"/>
          <w:numId w:val="3"/>
        </w:numPr>
        <w:ind w:left="0" w:leftChars="0" w:firstLine="0" w:firstLineChars="0"/>
        <w:rPr>
          <w:b w:val="0"/>
        </w:rPr>
      </w:pPr>
      <w:bookmarkStart w:id="13" w:name="_Toc17670"/>
      <w:r>
        <w:t>文档读取、Markdown 语料拆分与文本切块</w:t>
      </w:r>
      <w:bookmarkEnd w:id="13"/>
    </w:p>
    <w:p w14:paraId="72E18B5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文档读取阶段首先把地震灾害数据整理文档和 Markdown 语料纳入处理范围。corpus_manifest.csv 用于记录每个主题文档的基本信息，chunks.csv 用于记录拆分后的文本块。文本切块既要控制长度，也要保留专题语义边界，避免把 ShakeMap 与 PAGER、遥感震损识别、生命线韧性等主题拆得过碎。</w:t>
      </w:r>
    </w:p>
    <w:p w14:paraId="136C6AC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当前 chunks.csv 中共有 31 个文本块，质量状态均为待复核。每个文本块都保留 doc_id 和 document_title，使后续实体和关系能够回到具体主题文档。对于课程实验而言，这种文本块管理方式比直接把整篇文档送入抽取器更便于检查和调试。</w:t>
      </w:r>
    </w:p>
    <w:p w14:paraId="41896197">
      <w:pPr>
        <w:pStyle w:val="4"/>
        <w:numPr>
          <w:ilvl w:val="0"/>
          <w:numId w:val="3"/>
        </w:numPr>
        <w:ind w:left="0" w:leftChars="0" w:firstLine="0" w:firstLineChars="0"/>
        <w:rPr>
          <w:b w:val="0"/>
        </w:rPr>
      </w:pPr>
      <w:bookmarkStart w:id="14" w:name="_Toc29206"/>
      <w:r>
        <w:t>实体候选抽取与实体类型归一化</w:t>
      </w:r>
      <w:bookmarkEnd w:id="14"/>
    </w:p>
    <w:p w14:paraId="4186CD7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实体候选抽取从文本块中识别技术、模型、数据、任务、案例、政策、限制和证据等对象。抽取后需要做类型归一化，例如将“图神经网络”和“生命线震损风险传播 GNN”分别归到 Model 或 AITech 相关类别；将“xBD”“灾前灾后遥感影像”和“建筑足迹数据”归到 Dataset；将“震后建筑损毁识别”和“地震风险评估”归到 Task。</w:t>
      </w:r>
    </w:p>
    <w:p w14:paraId="141F894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当前 graph_nodes.csv 共记录 199 个实体，其中技术节点 11 个，模型节点 18 个，数据节点 23 个，案例节点 14 个，限制节点 18 个。实体类型分布将在第 8 章进一步统计。</w:t>
      </w:r>
    </w:p>
    <w:p w14:paraId="4452A54E">
      <w:pPr>
        <w:pStyle w:val="4"/>
        <w:numPr>
          <w:ilvl w:val="0"/>
          <w:numId w:val="3"/>
        </w:numPr>
        <w:ind w:left="0" w:leftChars="0" w:firstLine="0" w:firstLineChars="0"/>
        <w:rPr>
          <w:b w:val="0"/>
        </w:rPr>
      </w:pPr>
      <w:bookmarkStart w:id="15" w:name="_Toc2767"/>
      <w:r>
        <w:t>关系抽取规则与边类型编码</w:t>
      </w:r>
      <w:bookmarkEnd w:id="15"/>
    </w:p>
    <w:p w14:paraId="0F60530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关系抽取阶段依据关系词、主题语义和字段规则识别头实体、尾实体和关系类型。比如“某技术采用某模型”对应 USES_MODEL，“某任务依赖某数据”对应 DEPENDS_ON，“某技术解决某任务”对应 SOLVES，“某案例验证某技术或方法”对应 VALIDATED_IN。为了便于前端显示，关系类型保留英文编码，同时在界面和报告中给出中文解释。</w:t>
      </w:r>
    </w:p>
    <w:p w14:paraId="3A9A60C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当前 graph_edges_neo4j.csv 共记录 270 条关系。所有关系的 extraction_method 均为规则抽取，review_status 均为待复核。该结果说明图谱已经形成关系网络雏形，但仍需对低置信度关系、跨句关系和方向性关系进行人工检查。</w:t>
      </w:r>
    </w:p>
    <w:p w14:paraId="2E22054F">
      <w:pPr>
        <w:pStyle w:val="4"/>
        <w:numPr>
          <w:ilvl w:val="0"/>
          <w:numId w:val="3"/>
        </w:numPr>
        <w:ind w:left="0" w:leftChars="0" w:firstLine="0" w:firstLineChars="0"/>
        <w:rPr>
          <w:b w:val="0"/>
        </w:rPr>
      </w:pPr>
      <w:bookmarkStart w:id="16" w:name="_Toc13597"/>
      <w:r>
        <w:t>证据边绑定与置信度设计</w:t>
      </w:r>
      <w:bookmarkEnd w:id="16"/>
    </w:p>
    <w:p w14:paraId="4150078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证据边绑定使关系抽取结果具有可追溯性。图 6-2 展示了 relation_id、source_id、doc_id、chunk_id、evidence_text、confidence 和 review_status 的绑定机制。关系边不以孤立三元组形式存在，而是保留支撑片段和复核状态。</w:t>
      </w:r>
    </w:p>
    <w:p w14:paraId="6987B135">
      <w:pPr>
        <w:jc w:val="center"/>
      </w:pPr>
      <w:r>
        <w:drawing>
          <wp:inline distT="0" distB="0" distL="114300" distR="114300">
            <wp:extent cx="5274310" cy="1776095"/>
            <wp:effectExtent l="0" t="0" r="889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74310" cy="1776095"/>
                    </a:xfrm>
                    <a:prstGeom prst="rect">
                      <a:avLst/>
                    </a:prstGeom>
                  </pic:spPr>
                </pic:pic>
              </a:graphicData>
            </a:graphic>
          </wp:inline>
        </w:drawing>
      </w:r>
    </w:p>
    <w:p w14:paraId="47722745">
      <w:pPr>
        <w:pStyle w:val="27"/>
        <w:widowControl/>
      </w:pPr>
      <w:r>
        <w:t>图 6-2 证据边绑定机制图</w:t>
      </w:r>
    </w:p>
    <w:p w14:paraId="10C5785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该图显示，证据边将关系边与文档、文本块和证据片段连接起来。该机制是本项目从普通技术图谱走向证据图谱的关键，也是后续专家复核和问答评测的基础。</w:t>
      </w:r>
    </w:p>
    <w:p w14:paraId="69F01D3E">
      <w:pPr>
        <w:pStyle w:val="4"/>
        <w:numPr>
          <w:ilvl w:val="0"/>
          <w:numId w:val="3"/>
        </w:numPr>
        <w:ind w:left="0" w:leftChars="0" w:firstLine="0" w:firstLineChars="0"/>
        <w:rPr>
          <w:b w:val="0"/>
        </w:rPr>
      </w:pPr>
      <w:bookmarkStart w:id="17" w:name="_Toc7220"/>
      <w:r>
        <w:t>claims 声明抽取与证据片段组织</w:t>
      </w:r>
      <w:bookmarkEnd w:id="17"/>
    </w:p>
    <w:p w14:paraId="1CF50A9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claims.csv 中共有 270 条声明，每条声明通常以“头实体 关系类型 尾实体”的可读形式保存，并附带 doc_id、chunk_id、evidence_text、confidence、expert_status 和 source_file。声明层的作用是把结构化关系转化为便于人工阅读和复核的自然语言证据单元。</w:t>
      </w:r>
    </w:p>
    <w:p w14:paraId="716944D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证据片段组织需要兼顾完整性和简洁性。片段过短会丢失语境，片段过长会降低复核效率。本项目在前端证据卡片中展示关系类型、来源、置信度、复核状态和证据片段，使查看者能够从节点关系快速进入证据文本。</w:t>
      </w:r>
    </w:p>
    <w:p w14:paraId="67106550">
      <w:pPr>
        <w:pStyle w:val="4"/>
        <w:numPr>
          <w:ilvl w:val="0"/>
          <w:numId w:val="3"/>
        </w:numPr>
        <w:ind w:left="0" w:leftChars="0" w:firstLine="0" w:firstLineChars="0"/>
        <w:rPr>
          <w:b w:val="0"/>
        </w:rPr>
      </w:pPr>
      <w:bookmarkStart w:id="18" w:name="_Toc10907"/>
      <w:r>
        <w:t>技术社区生成与主题归纳</w:t>
      </w:r>
      <w:bookmarkEnd w:id="18"/>
    </w:p>
    <w:p w14:paraId="038A769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技术社区生成用于解决图谱规模扩大后难以整体理解的问题。社区报告把相互关联的技术、模型、数据、任务和证据归纳为主题板块。当前社区包括 AI 技术与模型方法、任务场景链、数据与影响产品、组织政策标准、限制与复核风险等。</w:t>
      </w:r>
    </w:p>
    <w:p w14:paraId="740C096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社区报告中的 open_questions 和 review_focus 对后续工作尤其有用。open_questions 可以转化为问答评测题，review_focus 可以转化为人工复核优先级。这样，图谱构建结果不仅能展示，还能引导下一轮资料补充和质量提升。</w:t>
      </w:r>
    </w:p>
    <w:p w14:paraId="65FF4EC4">
      <w:pPr>
        <w:pStyle w:val="4"/>
        <w:numPr>
          <w:ilvl w:val="0"/>
          <w:numId w:val="3"/>
        </w:numPr>
        <w:ind w:left="0" w:leftChars="0" w:firstLine="0" w:firstLineChars="0"/>
        <w:rPr>
          <w:b w:val="0"/>
        </w:rPr>
      </w:pPr>
      <w:bookmarkStart w:id="19" w:name="_Toc4948"/>
      <w:r>
        <w:t>Neo4j、GraphML、CSV、JSON 多格式导出</w:t>
      </w:r>
      <w:bookmarkEnd w:id="19"/>
    </w:p>
    <w:p w14:paraId="1049150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多格式导出是保证成果可复用的重要环节。CSV 文件便于人工检查和统计分析，JSON 文件便于前端加载和程序处理，GraphML 便于图分析工具查看网络结构，Neo4j 导入脚本便于后续进入图数据库查询。不同格式服务于不同使用场景，共同提高了成果的可复现性。</w:t>
      </w:r>
    </w:p>
    <w:p w14:paraId="4DEFE62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本项目主要导出 graph_nodes.csv、graph_edges_neo4j.csv、evidence_edges.csv、community_reports.csv、atlas.graphml、neo4j_import.cypher、atlas_quality_report.json 和 index_summary.json。报告中的统计图表均优先读取这些真实文件，而不是手工编写规模指标。</w:t>
      </w:r>
    </w:p>
    <w:p w14:paraId="1DC86D82">
      <w:pPr>
        <w:pStyle w:val="4"/>
        <w:numPr>
          <w:ilvl w:val="0"/>
          <w:numId w:val="3"/>
        </w:numPr>
        <w:ind w:left="0" w:leftChars="0" w:firstLine="0" w:firstLineChars="0"/>
        <w:rPr>
          <w:b w:val="0"/>
        </w:rPr>
      </w:pPr>
      <w:bookmarkStart w:id="20" w:name="_Toc16523"/>
      <w:r>
        <w:t>前端 atlas_frontend.json 与 index_summary.json 发布</w:t>
      </w:r>
      <w:bookmarkEnd w:id="20"/>
    </w:p>
    <w:p w14:paraId="296280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atlas_frontend.json 是前端交互图谱的核心数据文件，负责承载节点、关系、证据、社区和界面所需字段。index_summary.json 则记录索引规模、生成时间、抽取方法和质量状态。两者共同使前端既能展示图谱，也能显示顶部指标和说明信息。</w:t>
      </w:r>
    </w:p>
    <w:p w14:paraId="33D8987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发布 atlas 数据时需要保持后端索引与前端展示同步。若只替换部分文件，可能出现节点存在但边缺失、证据无法显示或统计数不一致的问题。因此，本项目在数据包和源码目录中均保留 atlas 与 index_summary 的对应版本，便于检查。</w:t>
      </w:r>
    </w:p>
    <w:p w14:paraId="4AF04F0D">
      <w:pPr>
        <w:pStyle w:val="27"/>
        <w:widowControl/>
      </w:pPr>
      <w:r>
        <w:t>表 6-1 主要输出文件说明表</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7"/>
        <w:gridCol w:w="2848"/>
        <w:gridCol w:w="2848"/>
      </w:tblGrid>
      <w:tr w14:paraId="6BCDC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E8EEF5"/>
            <w:tcMar>
              <w:top w:w="80" w:type="dxa"/>
              <w:left w:w="120" w:type="dxa"/>
              <w:bottom w:w="80" w:type="dxa"/>
              <w:right w:w="120" w:type="dxa"/>
            </w:tcMar>
            <w:vAlign w:val="center"/>
          </w:tcPr>
          <w:p w14:paraId="239A2E4D">
            <w:pPr>
              <w:spacing w:after="0" w:line="264" w:lineRule="auto"/>
            </w:pPr>
            <w:r>
              <w:rPr>
                <w:rFonts w:ascii="微软雅黑" w:hAnsi="微软雅黑" w:eastAsia="微软雅黑"/>
                <w:sz w:val="18"/>
              </w:rPr>
              <w:t>文件</w:t>
            </w:r>
          </w:p>
        </w:tc>
        <w:tc>
          <w:tcPr>
            <w:tcW w:w="1666" w:type="pct"/>
            <w:shd w:val="clear" w:color="auto" w:fill="E8EEF5"/>
            <w:tcMar>
              <w:top w:w="80" w:type="dxa"/>
              <w:left w:w="120" w:type="dxa"/>
              <w:bottom w:w="80" w:type="dxa"/>
              <w:right w:w="120" w:type="dxa"/>
            </w:tcMar>
            <w:vAlign w:val="center"/>
          </w:tcPr>
          <w:p w14:paraId="3B242D90">
            <w:pPr>
              <w:spacing w:after="0" w:line="264" w:lineRule="auto"/>
            </w:pPr>
            <w:r>
              <w:rPr>
                <w:rFonts w:ascii="微软雅黑" w:hAnsi="微软雅黑" w:eastAsia="微软雅黑"/>
                <w:sz w:val="18"/>
              </w:rPr>
              <w:t>作用</w:t>
            </w:r>
          </w:p>
        </w:tc>
        <w:tc>
          <w:tcPr>
            <w:tcW w:w="1666" w:type="pct"/>
            <w:shd w:val="clear" w:color="auto" w:fill="E8EEF5"/>
            <w:tcMar>
              <w:top w:w="80" w:type="dxa"/>
              <w:left w:w="120" w:type="dxa"/>
              <w:bottom w:w="80" w:type="dxa"/>
              <w:right w:w="120" w:type="dxa"/>
            </w:tcMar>
            <w:vAlign w:val="center"/>
          </w:tcPr>
          <w:p w14:paraId="21DC0275">
            <w:pPr>
              <w:spacing w:after="0" w:line="264" w:lineRule="auto"/>
            </w:pPr>
            <w:r>
              <w:rPr>
                <w:rFonts w:ascii="微软雅黑" w:hAnsi="微软雅黑" w:eastAsia="微软雅黑"/>
                <w:sz w:val="18"/>
              </w:rPr>
              <w:t>报告使用方式</w:t>
            </w:r>
          </w:p>
        </w:tc>
      </w:tr>
      <w:tr w14:paraId="23041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35E7CAE1">
            <w:pPr>
              <w:spacing w:after="0" w:line="264" w:lineRule="auto"/>
            </w:pPr>
            <w:r>
              <w:rPr>
                <w:rFonts w:ascii="微软雅黑" w:hAnsi="微软雅黑" w:eastAsia="微软雅黑"/>
                <w:sz w:val="18"/>
              </w:rPr>
              <w:t>graph_nodes.csv</w:t>
            </w:r>
          </w:p>
        </w:tc>
        <w:tc>
          <w:tcPr>
            <w:tcW w:w="1666" w:type="pct"/>
            <w:tcMar>
              <w:top w:w="80" w:type="dxa"/>
              <w:left w:w="120" w:type="dxa"/>
              <w:bottom w:w="80" w:type="dxa"/>
              <w:right w:w="120" w:type="dxa"/>
            </w:tcMar>
            <w:vAlign w:val="center"/>
          </w:tcPr>
          <w:p w14:paraId="13B2B66B">
            <w:pPr>
              <w:spacing w:after="0" w:line="264" w:lineRule="auto"/>
            </w:pPr>
            <w:r>
              <w:rPr>
                <w:rFonts w:ascii="微软雅黑" w:hAnsi="微软雅黑" w:eastAsia="微软雅黑"/>
                <w:sz w:val="18"/>
              </w:rPr>
              <w:t>保存实体节点、类型、社区、证据数量和复核状态。</w:t>
            </w:r>
          </w:p>
        </w:tc>
        <w:tc>
          <w:tcPr>
            <w:tcW w:w="1666" w:type="pct"/>
            <w:tcMar>
              <w:top w:w="80" w:type="dxa"/>
              <w:left w:w="120" w:type="dxa"/>
              <w:bottom w:w="80" w:type="dxa"/>
              <w:right w:w="120" w:type="dxa"/>
            </w:tcMar>
            <w:vAlign w:val="center"/>
          </w:tcPr>
          <w:p w14:paraId="6E88DD27">
            <w:pPr>
              <w:spacing w:after="0" w:line="264" w:lineRule="auto"/>
            </w:pPr>
            <w:r>
              <w:rPr>
                <w:rFonts w:ascii="微软雅黑" w:hAnsi="微软雅黑" w:eastAsia="微软雅黑"/>
                <w:sz w:val="18"/>
              </w:rPr>
              <w:t>生成实体类型分布和节点规模说明。</w:t>
            </w:r>
          </w:p>
        </w:tc>
      </w:tr>
      <w:tr w14:paraId="1FD4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27813EF6">
            <w:pPr>
              <w:spacing w:after="0" w:line="264" w:lineRule="auto"/>
            </w:pPr>
            <w:r>
              <w:rPr>
                <w:rFonts w:ascii="微软雅黑" w:hAnsi="微软雅黑" w:eastAsia="微软雅黑"/>
                <w:sz w:val="18"/>
              </w:rPr>
              <w:t>graph_edges_neo4j.csv</w:t>
            </w:r>
          </w:p>
        </w:tc>
        <w:tc>
          <w:tcPr>
            <w:tcW w:w="1666" w:type="pct"/>
            <w:tcMar>
              <w:top w:w="80" w:type="dxa"/>
              <w:left w:w="120" w:type="dxa"/>
              <w:bottom w:w="80" w:type="dxa"/>
              <w:right w:w="120" w:type="dxa"/>
            </w:tcMar>
            <w:vAlign w:val="center"/>
          </w:tcPr>
          <w:p w14:paraId="57E16B0E">
            <w:pPr>
              <w:spacing w:after="0" w:line="264" w:lineRule="auto"/>
            </w:pPr>
            <w:r>
              <w:rPr>
                <w:rFonts w:ascii="微软雅黑" w:hAnsi="微软雅黑" w:eastAsia="微软雅黑"/>
                <w:sz w:val="18"/>
              </w:rPr>
              <w:t>保存关系边、头尾实体、关系类型、证据字段和置信度。</w:t>
            </w:r>
          </w:p>
        </w:tc>
        <w:tc>
          <w:tcPr>
            <w:tcW w:w="1666" w:type="pct"/>
            <w:tcMar>
              <w:top w:w="80" w:type="dxa"/>
              <w:left w:w="120" w:type="dxa"/>
              <w:bottom w:w="80" w:type="dxa"/>
              <w:right w:w="120" w:type="dxa"/>
            </w:tcMar>
            <w:vAlign w:val="center"/>
          </w:tcPr>
          <w:p w14:paraId="6F6A88F2">
            <w:pPr>
              <w:spacing w:after="0" w:line="264" w:lineRule="auto"/>
            </w:pPr>
            <w:r>
              <w:rPr>
                <w:rFonts w:ascii="微软雅黑" w:hAnsi="微软雅黑" w:eastAsia="微软雅黑"/>
                <w:sz w:val="18"/>
              </w:rPr>
              <w:t>生成关系类型分布和关系质量说明。</w:t>
            </w:r>
          </w:p>
        </w:tc>
      </w:tr>
      <w:tr w14:paraId="2BDD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108C7DA5">
            <w:pPr>
              <w:spacing w:after="0" w:line="264" w:lineRule="auto"/>
            </w:pPr>
            <w:r>
              <w:rPr>
                <w:rFonts w:ascii="微软雅黑" w:hAnsi="微软雅黑" w:eastAsia="微软雅黑"/>
                <w:sz w:val="18"/>
              </w:rPr>
              <w:t>evidence_edges.csv</w:t>
            </w:r>
          </w:p>
        </w:tc>
        <w:tc>
          <w:tcPr>
            <w:tcW w:w="1666" w:type="pct"/>
            <w:tcMar>
              <w:top w:w="80" w:type="dxa"/>
              <w:left w:w="120" w:type="dxa"/>
              <w:bottom w:w="80" w:type="dxa"/>
              <w:right w:w="120" w:type="dxa"/>
            </w:tcMar>
            <w:vAlign w:val="center"/>
          </w:tcPr>
          <w:p w14:paraId="422488E5">
            <w:pPr>
              <w:spacing w:after="0" w:line="264" w:lineRule="auto"/>
            </w:pPr>
            <w:r>
              <w:rPr>
                <w:rFonts w:ascii="微软雅黑" w:hAnsi="微软雅黑" w:eastAsia="微软雅黑"/>
                <w:sz w:val="18"/>
              </w:rPr>
              <w:t>保存与关系边一致的证据链字段。</w:t>
            </w:r>
          </w:p>
        </w:tc>
        <w:tc>
          <w:tcPr>
            <w:tcW w:w="1666" w:type="pct"/>
            <w:tcMar>
              <w:top w:w="80" w:type="dxa"/>
              <w:left w:w="120" w:type="dxa"/>
              <w:bottom w:w="80" w:type="dxa"/>
              <w:right w:w="120" w:type="dxa"/>
            </w:tcMar>
            <w:vAlign w:val="center"/>
          </w:tcPr>
          <w:p w14:paraId="73B0613C">
            <w:pPr>
              <w:spacing w:after="0" w:line="264" w:lineRule="auto"/>
            </w:pPr>
            <w:r>
              <w:rPr>
                <w:rFonts w:ascii="微软雅黑" w:hAnsi="微软雅黑" w:eastAsia="微软雅黑"/>
                <w:sz w:val="18"/>
              </w:rPr>
              <w:t>说明证据边绑定和证据卡片来源。</w:t>
            </w:r>
          </w:p>
        </w:tc>
      </w:tr>
      <w:tr w14:paraId="55D1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48A5454F">
            <w:pPr>
              <w:spacing w:after="0" w:line="264" w:lineRule="auto"/>
            </w:pPr>
            <w:r>
              <w:rPr>
                <w:rFonts w:ascii="微软雅黑" w:hAnsi="微软雅黑" w:eastAsia="微软雅黑"/>
                <w:sz w:val="18"/>
              </w:rPr>
              <w:t>community_reports.csv</w:t>
            </w:r>
          </w:p>
        </w:tc>
        <w:tc>
          <w:tcPr>
            <w:tcW w:w="1666" w:type="pct"/>
            <w:tcMar>
              <w:top w:w="80" w:type="dxa"/>
              <w:left w:w="120" w:type="dxa"/>
              <w:bottom w:w="80" w:type="dxa"/>
              <w:right w:w="120" w:type="dxa"/>
            </w:tcMar>
            <w:vAlign w:val="center"/>
          </w:tcPr>
          <w:p w14:paraId="3E501BEA">
            <w:pPr>
              <w:spacing w:after="0" w:line="264" w:lineRule="auto"/>
            </w:pPr>
            <w:r>
              <w:rPr>
                <w:rFonts w:ascii="微软雅黑" w:hAnsi="微软雅黑" w:eastAsia="微软雅黑"/>
                <w:sz w:val="18"/>
              </w:rPr>
              <w:t>保存社区主题、实体数量、关系数量和复核重点。</w:t>
            </w:r>
          </w:p>
        </w:tc>
        <w:tc>
          <w:tcPr>
            <w:tcW w:w="1666" w:type="pct"/>
            <w:tcMar>
              <w:top w:w="80" w:type="dxa"/>
              <w:left w:w="120" w:type="dxa"/>
              <w:bottom w:w="80" w:type="dxa"/>
              <w:right w:w="120" w:type="dxa"/>
            </w:tcMar>
            <w:vAlign w:val="center"/>
          </w:tcPr>
          <w:p w14:paraId="0B6F6D8D">
            <w:pPr>
              <w:spacing w:after="0" w:line="264" w:lineRule="auto"/>
            </w:pPr>
            <w:r>
              <w:rPr>
                <w:rFonts w:ascii="微软雅黑" w:hAnsi="微软雅黑" w:eastAsia="微软雅黑"/>
                <w:sz w:val="18"/>
              </w:rPr>
              <w:t>生成社区分布图和社区分析。</w:t>
            </w:r>
          </w:p>
        </w:tc>
      </w:tr>
      <w:tr w14:paraId="409E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30249BFE">
            <w:pPr>
              <w:spacing w:after="0" w:line="264" w:lineRule="auto"/>
            </w:pPr>
            <w:r>
              <w:rPr>
                <w:rFonts w:ascii="微软雅黑" w:hAnsi="微软雅黑" w:eastAsia="微软雅黑"/>
                <w:sz w:val="18"/>
              </w:rPr>
              <w:t>atlas_frontend.json</w:t>
            </w:r>
          </w:p>
        </w:tc>
        <w:tc>
          <w:tcPr>
            <w:tcW w:w="1666" w:type="pct"/>
            <w:tcMar>
              <w:top w:w="80" w:type="dxa"/>
              <w:left w:w="120" w:type="dxa"/>
              <w:bottom w:w="80" w:type="dxa"/>
              <w:right w:w="120" w:type="dxa"/>
            </w:tcMar>
            <w:vAlign w:val="center"/>
          </w:tcPr>
          <w:p w14:paraId="583FA791">
            <w:pPr>
              <w:spacing w:after="0" w:line="264" w:lineRule="auto"/>
            </w:pPr>
            <w:r>
              <w:rPr>
                <w:rFonts w:ascii="微软雅黑" w:hAnsi="微软雅黑" w:eastAsia="微软雅黑"/>
                <w:sz w:val="18"/>
              </w:rPr>
              <w:t>前端交互图谱加载数据。</w:t>
            </w:r>
          </w:p>
        </w:tc>
        <w:tc>
          <w:tcPr>
            <w:tcW w:w="1666" w:type="pct"/>
            <w:tcMar>
              <w:top w:w="80" w:type="dxa"/>
              <w:left w:w="120" w:type="dxa"/>
              <w:bottom w:w="80" w:type="dxa"/>
              <w:right w:w="120" w:type="dxa"/>
            </w:tcMar>
            <w:vAlign w:val="center"/>
          </w:tcPr>
          <w:p w14:paraId="3660E43F">
            <w:pPr>
              <w:spacing w:after="0" w:line="264" w:lineRule="auto"/>
            </w:pPr>
            <w:r>
              <w:rPr>
                <w:rFonts w:ascii="微软雅黑" w:hAnsi="微软雅黑" w:eastAsia="微软雅黑"/>
                <w:sz w:val="18"/>
              </w:rPr>
              <w:t>支撑前端截图和交互展示说明。</w:t>
            </w:r>
          </w:p>
        </w:tc>
      </w:tr>
      <w:tr w14:paraId="4348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0AACC1FD">
            <w:pPr>
              <w:spacing w:after="0" w:line="264" w:lineRule="auto"/>
            </w:pPr>
            <w:r>
              <w:rPr>
                <w:rFonts w:ascii="微软雅黑" w:hAnsi="微软雅黑" w:eastAsia="微软雅黑"/>
                <w:sz w:val="18"/>
              </w:rPr>
              <w:t>index_summary.json</w:t>
            </w:r>
          </w:p>
        </w:tc>
        <w:tc>
          <w:tcPr>
            <w:tcW w:w="1666" w:type="pct"/>
            <w:tcMar>
              <w:top w:w="80" w:type="dxa"/>
              <w:left w:w="120" w:type="dxa"/>
              <w:bottom w:w="80" w:type="dxa"/>
              <w:right w:w="120" w:type="dxa"/>
            </w:tcMar>
            <w:vAlign w:val="center"/>
          </w:tcPr>
          <w:p w14:paraId="7771C69A">
            <w:pPr>
              <w:spacing w:after="0" w:line="264" w:lineRule="auto"/>
            </w:pPr>
            <w:r>
              <w:rPr>
                <w:rFonts w:ascii="微软雅黑" w:hAnsi="微软雅黑" w:eastAsia="微软雅黑"/>
                <w:sz w:val="18"/>
              </w:rPr>
              <w:t>保存索引规模、抽取方法和质量状态。</w:t>
            </w:r>
          </w:p>
        </w:tc>
        <w:tc>
          <w:tcPr>
            <w:tcW w:w="1666" w:type="pct"/>
            <w:tcMar>
              <w:top w:w="80" w:type="dxa"/>
              <w:left w:w="120" w:type="dxa"/>
              <w:bottom w:w="80" w:type="dxa"/>
              <w:right w:w="120" w:type="dxa"/>
            </w:tcMar>
            <w:vAlign w:val="center"/>
          </w:tcPr>
          <w:p w14:paraId="481578E2">
            <w:pPr>
              <w:spacing w:after="0" w:line="264" w:lineRule="auto"/>
            </w:pPr>
            <w:r>
              <w:rPr>
                <w:rFonts w:ascii="微软雅黑" w:hAnsi="微软雅黑" w:eastAsia="微软雅黑"/>
                <w:sz w:val="18"/>
              </w:rPr>
              <w:t>支撑报告核心规模指标。</w:t>
            </w:r>
          </w:p>
        </w:tc>
      </w:tr>
    </w:tbl>
    <w:p w14:paraId="52D57C3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该表汇总了图谱构建后最重要的输出文件。每个文件都对应报告中的具体用途，避免报告内容脱离项目目录中的真实成果。</w:t>
      </w:r>
    </w:p>
    <w:p w14:paraId="209AAACF">
      <w:pPr>
        <w:pStyle w:val="3"/>
        <w:numPr>
          <w:ilvl w:val="0"/>
          <w:numId w:val="2"/>
        </w:numPr>
        <w:ind w:left="0" w:leftChars="0" w:firstLine="0" w:firstLineChars="0"/>
        <w:rPr>
          <w:b w:val="0"/>
        </w:rPr>
      </w:pPr>
      <w:bookmarkStart w:id="21" w:name="_Toc22830"/>
      <w:r>
        <w:t>前端交互图谱设计与实现</w:t>
      </w:r>
      <w:bookmarkEnd w:id="21"/>
    </w:p>
    <w:p w14:paraId="5DDB0A3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前端展示系统用于把 GraphRAG 索引结果转化为可汇报、可截图、可交互的图谱界面。与静态图片相比，前端系统能够支持节点点击、逐层展开、邻域高亮、边聚合、筛选、详情面板和证据卡片展示，更适合说明图谱构建成果。</w:t>
      </w:r>
    </w:p>
    <w:p w14:paraId="7275722A">
      <w:pPr>
        <w:pStyle w:val="4"/>
        <w:numPr>
          <w:ilvl w:val="0"/>
          <w:numId w:val="4"/>
        </w:numPr>
        <w:ind w:left="0" w:leftChars="0" w:firstLine="0" w:firstLineChars="0"/>
        <w:rPr>
          <w:b w:val="0"/>
        </w:rPr>
      </w:pPr>
      <w:bookmarkStart w:id="22" w:name="_Toc27422"/>
      <w:r>
        <w:t>前端页面功能结构</w:t>
      </w:r>
      <w:bookmarkEnd w:id="22"/>
    </w:p>
    <w:p w14:paraId="3BC530B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前端页面由顶部指标区、标签页导航、图谱画布、筛选控制、右侧详情面板和证据片段区域构成。顶部指标区显示语料类型、实体类型、关系数量、输出成果、技术节点和技术社区等信息；图谱画布负责展示节点和边；详情面板负责显示当前图谱对象、操作按钮、关系摘要、已关联节点和证据片段。</w:t>
      </w:r>
    </w:p>
    <w:p w14:paraId="2312418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该图以结构配图方式展示前端页面组成。该页面将“语料与本体、索引流程、技术社区、证据问答、图谱沉淀、交互图谱”等内容组织为课程汇报可用的展示系统。</w:t>
      </w:r>
    </w:p>
    <w:p w14:paraId="37C3DB9A">
      <w:pPr>
        <w:jc w:val="center"/>
      </w:pPr>
      <w:r>
        <w:drawing>
          <wp:inline distT="0" distB="0" distL="114300" distR="114300">
            <wp:extent cx="5274310" cy="2695575"/>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274310" cy="2695575"/>
                    </a:xfrm>
                    <a:prstGeom prst="rect">
                      <a:avLst/>
                    </a:prstGeom>
                  </pic:spPr>
                </pic:pic>
              </a:graphicData>
            </a:graphic>
          </wp:inline>
        </w:drawing>
      </w:r>
    </w:p>
    <w:p w14:paraId="62175E27">
      <w:pPr>
        <w:pStyle w:val="27"/>
        <w:widowControl/>
      </w:pPr>
      <w:r>
        <w:t>图 7-1 前端展示系统结构图</w:t>
      </w:r>
    </w:p>
    <w:p w14:paraId="4A16C82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该图显示前端首页的功能分区，包括顶部指标、页面导航、图谱沉淀和交互图谱入口。该图按报告制图规范重绘，用于替代原始界面截图。</w:t>
      </w:r>
    </w:p>
    <w:p w14:paraId="29FA1A3A">
      <w:pPr>
        <w:pStyle w:val="4"/>
        <w:numPr>
          <w:ilvl w:val="0"/>
          <w:numId w:val="4"/>
        </w:numPr>
        <w:ind w:left="0" w:leftChars="0" w:firstLine="0" w:firstLineChars="0"/>
        <w:rPr>
          <w:b w:val="0"/>
        </w:rPr>
      </w:pPr>
      <w:bookmarkStart w:id="23" w:name="_Toc11186"/>
      <w:r>
        <w:t>中文化界面与蓝色科技主题设计</w:t>
      </w:r>
      <w:bookmarkEnd w:id="23"/>
    </w:p>
    <w:p w14:paraId="0FB778A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前端界面以中文标签、蓝色科技主题和低饱和背景色为主要视觉风格。普通状态词已经尽量中文化，例如待复核、规则抽取、可见节点、原始关系、证据片段等。技术名词如 GraphRAG、Neo4j、GraphML、CSV、JSON、LLM、RAG、GNN、U-Net 和 Transformer 保留英文，以保持专业表达。</w:t>
      </w:r>
    </w:p>
    <w:p w14:paraId="4DCA52F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蓝色主题用于建立技术信息的视觉层级。核心节点、关键边和当前选中对象使用更高对比度颜色；弱关系和非相关节点使用低透明度处理；详情面板用紧凑卡片呈现指标，适合报告截图和课堂展示。</w:t>
      </w:r>
    </w:p>
    <w:p w14:paraId="06A5B28A">
      <w:pPr>
        <w:pStyle w:val="4"/>
        <w:numPr>
          <w:ilvl w:val="0"/>
          <w:numId w:val="4"/>
        </w:numPr>
        <w:ind w:left="0" w:leftChars="0" w:firstLine="0" w:firstLineChars="0"/>
        <w:rPr>
          <w:b w:val="0"/>
        </w:rPr>
      </w:pPr>
      <w:bookmarkStart w:id="24" w:name="_Toc10495"/>
      <w:r>
        <w:t>节点点击、逐层展开与邻域高亮</w:t>
      </w:r>
      <w:bookmarkEnd w:id="24"/>
    </w:p>
    <w:p w14:paraId="31827D2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节点点击是交互图谱的核心功能。用户点击某一技术节点后，系统可以显示一跳或两跳相关节点，并在画布中高亮关键边。该功能解决了全量图谱节点过多时的信息拥挤问题，使汇报者可以围绕一个核心技术讲清楚其模型、数据、任务、案例和证据。</w:t>
      </w:r>
    </w:p>
    <w:p w14:paraId="63F1A55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该图展示了节点展开后的图谱状态。选中节点周围的关联边被加粗和高亮，右侧面板同步显示当前对象、关系摘要、相关关系和证据片段。该设计使图谱从静态展示转变为可讲解的分析界面。</w:t>
      </w:r>
    </w:p>
    <w:p w14:paraId="2CAA8DAF">
      <w:pPr>
        <w:jc w:val="center"/>
      </w:pPr>
      <w:r>
        <w:drawing>
          <wp:inline distT="0" distB="0" distL="114300" distR="114300">
            <wp:extent cx="5274310" cy="2695575"/>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274310" cy="2695575"/>
                    </a:xfrm>
                    <a:prstGeom prst="rect">
                      <a:avLst/>
                    </a:prstGeom>
                  </pic:spPr>
                </pic:pic>
              </a:graphicData>
            </a:graphic>
          </wp:inline>
        </w:drawing>
      </w:r>
    </w:p>
    <w:p w14:paraId="509B1772">
      <w:pPr>
        <w:pStyle w:val="27"/>
        <w:widowControl/>
      </w:pPr>
      <w:r>
        <w:t>图 7-2 节点展开与证据联动图</w:t>
      </w:r>
    </w:p>
    <w:p w14:paraId="16F1BA5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该图表明，点击节点后图谱能够突出当前邻域，并在详情面板中显示关系摘要、下一步节点和证据片段。该图将交互机制抽象为可复核的结构流程。</w:t>
      </w:r>
    </w:p>
    <w:p w14:paraId="1C6D51C1">
      <w:pPr>
        <w:pStyle w:val="4"/>
        <w:numPr>
          <w:ilvl w:val="0"/>
          <w:numId w:val="4"/>
        </w:numPr>
        <w:ind w:left="0" w:leftChars="0" w:firstLine="0" w:firstLineChars="0"/>
        <w:rPr>
          <w:b w:val="0"/>
        </w:rPr>
      </w:pPr>
      <w:bookmarkStart w:id="25" w:name="_Toc19825"/>
      <w:r>
        <w:t>边聚合、关系详情与证据卡片</w:t>
      </w:r>
      <w:bookmarkEnd w:id="25"/>
    </w:p>
    <w:p w14:paraId="435485C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同一对节点之间可能存在多条关系或多条证据。前端显示层采用边聚合策略，将同类或同节点对关系压缩为聚合边，在详情面板中再展开具体关系。这样可以降低画布线条密度，避免大量边标签遮挡节点，同时保留关系详情。</w:t>
      </w:r>
    </w:p>
    <w:p w14:paraId="7EFED05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证据卡片是前端与 GraphRAG 证据链衔接的关键组件。每条证据卡片显示关系类型、来源、置信度、复核状态和证据片段。证据片段超过一定长度时可折叠，用户需要查看完整内容时再展开，从而兼顾信息密度和阅读效率。</w:t>
      </w:r>
    </w:p>
    <w:p w14:paraId="12CAD594">
      <w:pPr>
        <w:pStyle w:val="4"/>
        <w:numPr>
          <w:ilvl w:val="0"/>
          <w:numId w:val="4"/>
        </w:numPr>
        <w:ind w:left="0" w:leftChars="0" w:firstLine="0" w:firstLineChars="0"/>
        <w:rPr>
          <w:b w:val="0"/>
        </w:rPr>
      </w:pPr>
      <w:bookmarkStart w:id="26" w:name="_Toc16063"/>
      <w:r>
        <w:t>单画布软分区网络布局</w:t>
      </w:r>
      <w:bookmarkEnd w:id="26"/>
    </w:p>
    <w:p w14:paraId="5750B34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前端图谱采用单画布软分区网络布局，将真实案例、数据条件、AI 技术、模型方法、任务场景、政策标准和技术限制等区域放在同一张画布内。软分区使用低饱和背景和分区标签提示节点类别，但不把每个板块完全隔离，以便保留跨区关系。</w:t>
      </w:r>
    </w:p>
    <w:p w14:paraId="26AE0F4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该布局相较中心放射图更适合地震灾害技术体系。中心放射容易把 GraphRAG 或地震灾害放成唯一中心，导致其他节点只像附属标签；软分区网络则让技术、数据、任务和证据之间形成多中心关系，符合知识图谱的实际结构。</w:t>
      </w:r>
    </w:p>
    <w:p w14:paraId="63B0FD0A">
      <w:pPr>
        <w:pStyle w:val="4"/>
        <w:numPr>
          <w:ilvl w:val="0"/>
          <w:numId w:val="4"/>
        </w:numPr>
        <w:ind w:left="0" w:leftChars="0" w:firstLine="0" w:firstLineChars="0"/>
        <w:rPr>
          <w:b w:val="0"/>
        </w:rPr>
      </w:pPr>
      <w:bookmarkStart w:id="27" w:name="_Toc29654"/>
      <w:r>
        <w:t>2.5D 立体可翻转图谱设计</w:t>
      </w:r>
      <w:bookmarkEnd w:id="27"/>
    </w:p>
    <w:p w14:paraId="55798C1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前端设计阶段围绕单画布软分区图谱进行展示优化，目标是增强层次感并区分核心节点、邻域节点和弱相关节点。图 7-3 按照当前交互图谱的功能分区重新绘制，用于说明图谱画布的展示逻辑。</w:t>
      </w:r>
    </w:p>
    <w:p w14:paraId="4700CB6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图谱的视觉优化重点包括节点间距、边聚合、边标签收敛、关键边高亮、节点短标签和右侧详情压缩。即使不依赖复杂三维效果，这些优化也能够显著提高报告截图的可读性。</w:t>
      </w:r>
    </w:p>
    <w:p w14:paraId="2491AF85">
      <w:pPr>
        <w:jc w:val="center"/>
      </w:pPr>
      <w:r>
        <w:drawing>
          <wp:inline distT="0" distB="0" distL="114300" distR="114300">
            <wp:extent cx="5274310" cy="2695575"/>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274310" cy="2695575"/>
                    </a:xfrm>
                    <a:prstGeom prst="rect">
                      <a:avLst/>
                    </a:prstGeom>
                  </pic:spPr>
                </pic:pic>
              </a:graphicData>
            </a:graphic>
          </wp:inline>
        </w:drawing>
      </w:r>
    </w:p>
    <w:p w14:paraId="094F421F">
      <w:pPr>
        <w:pStyle w:val="27"/>
        <w:widowControl/>
      </w:pPr>
      <w:r>
        <w:t>图 7-3 单画布软分区图谱展示图</w:t>
      </w:r>
    </w:p>
    <w:p w14:paraId="5A55098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该图展示了交互图谱在单画布软分区布局下的结构关系。画面保留节点类别区域、选中节点、关键关系和局部邻域，适合放入报告或课堂汇报材料。</w:t>
      </w:r>
    </w:p>
    <w:p w14:paraId="37F0E2D1">
      <w:pPr>
        <w:pStyle w:val="4"/>
        <w:numPr>
          <w:ilvl w:val="0"/>
          <w:numId w:val="4"/>
        </w:numPr>
        <w:ind w:left="0" w:leftChars="0" w:firstLine="0" w:firstLineChars="0"/>
        <w:rPr>
          <w:b w:val="0"/>
        </w:rPr>
      </w:pPr>
      <w:bookmarkStart w:id="28" w:name="_Toc2745"/>
      <w:r>
        <w:t>汇报截图模式与交互验证</w:t>
      </w:r>
      <w:bookmarkEnd w:id="28"/>
    </w:p>
    <w:p w14:paraId="0FB5018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汇报截图模式用于在课堂展示时快速收敛画面。开启后系统关闭筛选浮层、隐藏边标签、弱化非相关节点和边，只保留当前选中节点、关键邻居和关键证据边，并使画布适应可见节点。该模式不导出图片，而是让浏览器画面更适合直接截图。</w:t>
      </w:r>
    </w:p>
    <w:p w14:paraId="0E6095C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交互验证包括页面打开、中文菜单显示、节点点击、逐层展开、边聚合、详情面板、证据卡片、筛选面板、图谱沉淀页和索引流程页等项目。验证结果表明前端可以作为课程成果展示入口，但在节点更多、关系更复杂时仍需持续优化布局算法和筛选策略。</w:t>
      </w:r>
    </w:p>
    <w:p w14:paraId="55526DB3">
      <w:pPr>
        <w:pStyle w:val="3"/>
        <w:numPr>
          <w:ilvl w:val="0"/>
          <w:numId w:val="2"/>
        </w:numPr>
        <w:ind w:left="0" w:leftChars="0" w:firstLine="0" w:firstLineChars="0"/>
        <w:rPr>
          <w:b w:val="0"/>
        </w:rPr>
      </w:pPr>
      <w:bookmarkStart w:id="29" w:name="_Toc28681"/>
      <w:r>
        <w:t>实验结果与测试分析</w:t>
      </w:r>
      <w:bookmarkEnd w:id="29"/>
    </w:p>
    <w:p w14:paraId="2F6199C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本章基于项目真实 CSV、JSON 和截图材料统计结果，不编写未实际计算的模型训练指标。实验结果主要从图谱规模、实体类型、关系类型、证据来源、技术社区、前端交互、文件完整性和当前风险八个方面展开。</w:t>
      </w:r>
    </w:p>
    <w:p w14:paraId="1D75F8C8">
      <w:pPr>
        <w:pStyle w:val="4"/>
        <w:numPr>
          <w:ilvl w:val="0"/>
          <w:numId w:val="5"/>
        </w:numPr>
        <w:ind w:left="0" w:leftChars="0" w:firstLine="0" w:firstLineChars="0"/>
        <w:rPr>
          <w:b w:val="0"/>
        </w:rPr>
      </w:pPr>
      <w:bookmarkStart w:id="30" w:name="_Toc7396"/>
      <w:r>
        <w:t>图谱核心规模指标分析</w:t>
      </w:r>
      <w:bookmarkEnd w:id="30"/>
    </w:p>
    <w:p w14:paraId="6476ACB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核心规模指标来自 index_summary.json 和 atlas_quality_report.json。当前图谱包括 10 个文档、31 个文本块、199 个实体、270 条关系、270 条声明、270 条证据边和 8 个社区。docx_meta 中还记录来源 Word 文档的段落、表格和图片数量，用于说明索引基于新增资料重新生成。</w:t>
      </w:r>
    </w:p>
    <w:p w14:paraId="74118D37">
      <w:pPr>
        <w:pStyle w:val="27"/>
        <w:widowControl/>
      </w:pPr>
      <w:r>
        <w:t>表 8-1 图谱核心规模指标表</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7"/>
        <w:gridCol w:w="2848"/>
        <w:gridCol w:w="2848"/>
      </w:tblGrid>
      <w:tr w14:paraId="5357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E8EEF5"/>
            <w:tcMar>
              <w:top w:w="80" w:type="dxa"/>
              <w:left w:w="120" w:type="dxa"/>
              <w:bottom w:w="80" w:type="dxa"/>
              <w:right w:w="120" w:type="dxa"/>
            </w:tcMar>
            <w:vAlign w:val="center"/>
          </w:tcPr>
          <w:p w14:paraId="5F0BFDC1">
            <w:pPr>
              <w:spacing w:after="0" w:line="264" w:lineRule="auto"/>
            </w:pPr>
            <w:r>
              <w:rPr>
                <w:rFonts w:ascii="微软雅黑" w:hAnsi="微软雅黑" w:eastAsia="微软雅黑"/>
                <w:sz w:val="18"/>
              </w:rPr>
              <w:t>指标</w:t>
            </w:r>
          </w:p>
        </w:tc>
        <w:tc>
          <w:tcPr>
            <w:tcW w:w="1666" w:type="pct"/>
            <w:shd w:val="clear" w:color="auto" w:fill="E8EEF5"/>
            <w:tcMar>
              <w:top w:w="80" w:type="dxa"/>
              <w:left w:w="120" w:type="dxa"/>
              <w:bottom w:w="80" w:type="dxa"/>
              <w:right w:w="120" w:type="dxa"/>
            </w:tcMar>
            <w:vAlign w:val="center"/>
          </w:tcPr>
          <w:p w14:paraId="6F151854">
            <w:pPr>
              <w:spacing w:after="0" w:line="264" w:lineRule="auto"/>
            </w:pPr>
            <w:r>
              <w:rPr>
                <w:rFonts w:ascii="微软雅黑" w:hAnsi="微软雅黑" w:eastAsia="微软雅黑"/>
                <w:sz w:val="18"/>
              </w:rPr>
              <w:t>数值</w:t>
            </w:r>
          </w:p>
        </w:tc>
        <w:tc>
          <w:tcPr>
            <w:tcW w:w="1666" w:type="pct"/>
            <w:shd w:val="clear" w:color="auto" w:fill="E8EEF5"/>
            <w:tcMar>
              <w:top w:w="80" w:type="dxa"/>
              <w:left w:w="120" w:type="dxa"/>
              <w:bottom w:w="80" w:type="dxa"/>
              <w:right w:w="120" w:type="dxa"/>
            </w:tcMar>
            <w:vAlign w:val="center"/>
          </w:tcPr>
          <w:p w14:paraId="5D7C0F7E">
            <w:pPr>
              <w:spacing w:after="0" w:line="264" w:lineRule="auto"/>
            </w:pPr>
            <w:r>
              <w:rPr>
                <w:rFonts w:ascii="微软雅黑" w:hAnsi="微软雅黑" w:eastAsia="微软雅黑"/>
                <w:sz w:val="18"/>
              </w:rPr>
              <w:t>来源文件</w:t>
            </w:r>
          </w:p>
        </w:tc>
      </w:tr>
      <w:tr w14:paraId="6CFE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2FE53A6A">
            <w:pPr>
              <w:spacing w:after="0" w:line="264" w:lineRule="auto"/>
            </w:pPr>
            <w:r>
              <w:rPr>
                <w:rFonts w:ascii="微软雅黑" w:hAnsi="微软雅黑" w:eastAsia="微软雅黑"/>
                <w:sz w:val="18"/>
              </w:rPr>
              <w:t>核心文档数</w:t>
            </w:r>
          </w:p>
        </w:tc>
        <w:tc>
          <w:tcPr>
            <w:tcW w:w="1666" w:type="pct"/>
            <w:tcMar>
              <w:top w:w="80" w:type="dxa"/>
              <w:left w:w="120" w:type="dxa"/>
              <w:bottom w:w="80" w:type="dxa"/>
              <w:right w:w="120" w:type="dxa"/>
            </w:tcMar>
            <w:vAlign w:val="center"/>
          </w:tcPr>
          <w:p w14:paraId="09DCBADD">
            <w:pPr>
              <w:spacing w:after="0" w:line="264" w:lineRule="auto"/>
            </w:pPr>
            <w:r>
              <w:rPr>
                <w:rFonts w:ascii="微软雅黑" w:hAnsi="微软雅黑" w:eastAsia="微软雅黑"/>
                <w:sz w:val="18"/>
              </w:rPr>
              <w:t>10</w:t>
            </w:r>
          </w:p>
        </w:tc>
        <w:tc>
          <w:tcPr>
            <w:tcW w:w="1666" w:type="pct"/>
            <w:tcMar>
              <w:top w:w="80" w:type="dxa"/>
              <w:left w:w="120" w:type="dxa"/>
              <w:bottom w:w="80" w:type="dxa"/>
              <w:right w:w="120" w:type="dxa"/>
            </w:tcMar>
            <w:vAlign w:val="center"/>
          </w:tcPr>
          <w:p w14:paraId="6FA8EA21">
            <w:pPr>
              <w:spacing w:after="0" w:line="264" w:lineRule="auto"/>
            </w:pPr>
            <w:r>
              <w:rPr>
                <w:rFonts w:ascii="微软雅黑" w:hAnsi="微软雅黑" w:eastAsia="微软雅黑"/>
                <w:sz w:val="18"/>
              </w:rPr>
              <w:t>corpus_manifest.csv / index_summary.json</w:t>
            </w:r>
          </w:p>
        </w:tc>
      </w:tr>
      <w:tr w14:paraId="3C91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05C322EB">
            <w:pPr>
              <w:spacing w:after="0" w:line="264" w:lineRule="auto"/>
            </w:pPr>
            <w:r>
              <w:rPr>
                <w:rFonts w:ascii="微软雅黑" w:hAnsi="微软雅黑" w:eastAsia="微软雅黑"/>
                <w:sz w:val="18"/>
              </w:rPr>
              <w:t>文本块数</w:t>
            </w:r>
          </w:p>
        </w:tc>
        <w:tc>
          <w:tcPr>
            <w:tcW w:w="1666" w:type="pct"/>
            <w:tcMar>
              <w:top w:w="80" w:type="dxa"/>
              <w:left w:w="120" w:type="dxa"/>
              <w:bottom w:w="80" w:type="dxa"/>
              <w:right w:w="120" w:type="dxa"/>
            </w:tcMar>
            <w:vAlign w:val="center"/>
          </w:tcPr>
          <w:p w14:paraId="656C6C28">
            <w:pPr>
              <w:spacing w:after="0" w:line="264" w:lineRule="auto"/>
            </w:pPr>
            <w:r>
              <w:rPr>
                <w:rFonts w:ascii="微软雅黑" w:hAnsi="微软雅黑" w:eastAsia="微软雅黑"/>
                <w:sz w:val="18"/>
              </w:rPr>
              <w:t>31</w:t>
            </w:r>
          </w:p>
        </w:tc>
        <w:tc>
          <w:tcPr>
            <w:tcW w:w="1666" w:type="pct"/>
            <w:tcMar>
              <w:top w:w="80" w:type="dxa"/>
              <w:left w:w="120" w:type="dxa"/>
              <w:bottom w:w="80" w:type="dxa"/>
              <w:right w:w="120" w:type="dxa"/>
            </w:tcMar>
            <w:vAlign w:val="center"/>
          </w:tcPr>
          <w:p w14:paraId="618E405B">
            <w:pPr>
              <w:spacing w:after="0" w:line="264" w:lineRule="auto"/>
            </w:pPr>
            <w:r>
              <w:rPr>
                <w:rFonts w:ascii="微软雅黑" w:hAnsi="微软雅黑" w:eastAsia="微软雅黑"/>
                <w:sz w:val="18"/>
              </w:rPr>
              <w:t>chunks.csv / index_summary.json</w:t>
            </w:r>
          </w:p>
        </w:tc>
      </w:tr>
      <w:tr w14:paraId="4858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356B3289">
            <w:pPr>
              <w:spacing w:after="0" w:line="264" w:lineRule="auto"/>
            </w:pPr>
            <w:r>
              <w:rPr>
                <w:rFonts w:ascii="微软雅黑" w:hAnsi="微软雅黑" w:eastAsia="微软雅黑"/>
                <w:sz w:val="18"/>
              </w:rPr>
              <w:t>实体节点数</w:t>
            </w:r>
          </w:p>
        </w:tc>
        <w:tc>
          <w:tcPr>
            <w:tcW w:w="1666" w:type="pct"/>
            <w:tcMar>
              <w:top w:w="80" w:type="dxa"/>
              <w:left w:w="120" w:type="dxa"/>
              <w:bottom w:w="80" w:type="dxa"/>
              <w:right w:w="120" w:type="dxa"/>
            </w:tcMar>
            <w:vAlign w:val="center"/>
          </w:tcPr>
          <w:p w14:paraId="0315FBB6">
            <w:pPr>
              <w:spacing w:after="0" w:line="264" w:lineRule="auto"/>
            </w:pPr>
            <w:r>
              <w:rPr>
                <w:rFonts w:ascii="微软雅黑" w:hAnsi="微软雅黑" w:eastAsia="微软雅黑"/>
                <w:sz w:val="18"/>
              </w:rPr>
              <w:t>199</w:t>
            </w:r>
          </w:p>
        </w:tc>
        <w:tc>
          <w:tcPr>
            <w:tcW w:w="1666" w:type="pct"/>
            <w:tcMar>
              <w:top w:w="80" w:type="dxa"/>
              <w:left w:w="120" w:type="dxa"/>
              <w:bottom w:w="80" w:type="dxa"/>
              <w:right w:w="120" w:type="dxa"/>
            </w:tcMar>
            <w:vAlign w:val="center"/>
          </w:tcPr>
          <w:p w14:paraId="42D388C6">
            <w:pPr>
              <w:spacing w:after="0" w:line="264" w:lineRule="auto"/>
            </w:pPr>
            <w:r>
              <w:rPr>
                <w:rFonts w:ascii="微软雅黑" w:hAnsi="微软雅黑" w:eastAsia="微软雅黑"/>
                <w:sz w:val="18"/>
              </w:rPr>
              <w:t>graph_nodes.csv</w:t>
            </w:r>
          </w:p>
        </w:tc>
      </w:tr>
      <w:tr w14:paraId="18C51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32721EF4">
            <w:pPr>
              <w:spacing w:after="0" w:line="264" w:lineRule="auto"/>
            </w:pPr>
            <w:r>
              <w:rPr>
                <w:rFonts w:ascii="微软雅黑" w:hAnsi="微软雅黑" w:eastAsia="微软雅黑"/>
                <w:sz w:val="18"/>
              </w:rPr>
              <w:t>关系边数</w:t>
            </w:r>
          </w:p>
        </w:tc>
        <w:tc>
          <w:tcPr>
            <w:tcW w:w="1666" w:type="pct"/>
            <w:tcMar>
              <w:top w:w="80" w:type="dxa"/>
              <w:left w:w="120" w:type="dxa"/>
              <w:bottom w:w="80" w:type="dxa"/>
              <w:right w:w="120" w:type="dxa"/>
            </w:tcMar>
            <w:vAlign w:val="center"/>
          </w:tcPr>
          <w:p w14:paraId="204AB98C">
            <w:pPr>
              <w:spacing w:after="0" w:line="264" w:lineRule="auto"/>
            </w:pPr>
            <w:r>
              <w:rPr>
                <w:rFonts w:ascii="微软雅黑" w:hAnsi="微软雅黑" w:eastAsia="微软雅黑"/>
                <w:sz w:val="18"/>
              </w:rPr>
              <w:t>270</w:t>
            </w:r>
          </w:p>
        </w:tc>
        <w:tc>
          <w:tcPr>
            <w:tcW w:w="1666" w:type="pct"/>
            <w:tcMar>
              <w:top w:w="80" w:type="dxa"/>
              <w:left w:w="120" w:type="dxa"/>
              <w:bottom w:w="80" w:type="dxa"/>
              <w:right w:w="120" w:type="dxa"/>
            </w:tcMar>
            <w:vAlign w:val="center"/>
          </w:tcPr>
          <w:p w14:paraId="790D9721">
            <w:pPr>
              <w:spacing w:after="0" w:line="264" w:lineRule="auto"/>
            </w:pPr>
            <w:r>
              <w:rPr>
                <w:rFonts w:ascii="微软雅黑" w:hAnsi="微软雅黑" w:eastAsia="微软雅黑"/>
                <w:sz w:val="18"/>
              </w:rPr>
              <w:t>graph_edges_neo4j.csv</w:t>
            </w:r>
          </w:p>
        </w:tc>
      </w:tr>
      <w:tr w14:paraId="2BFD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6E2241FE">
            <w:pPr>
              <w:spacing w:after="0" w:line="264" w:lineRule="auto"/>
            </w:pPr>
            <w:r>
              <w:rPr>
                <w:rFonts w:ascii="微软雅黑" w:hAnsi="微软雅黑" w:eastAsia="微软雅黑"/>
                <w:sz w:val="18"/>
              </w:rPr>
              <w:t>声明数</w:t>
            </w:r>
          </w:p>
        </w:tc>
        <w:tc>
          <w:tcPr>
            <w:tcW w:w="1666" w:type="pct"/>
            <w:tcMar>
              <w:top w:w="80" w:type="dxa"/>
              <w:left w:w="120" w:type="dxa"/>
              <w:bottom w:w="80" w:type="dxa"/>
              <w:right w:w="120" w:type="dxa"/>
            </w:tcMar>
            <w:vAlign w:val="center"/>
          </w:tcPr>
          <w:p w14:paraId="7BE04B52">
            <w:pPr>
              <w:spacing w:after="0" w:line="264" w:lineRule="auto"/>
            </w:pPr>
            <w:r>
              <w:rPr>
                <w:rFonts w:ascii="微软雅黑" w:hAnsi="微软雅黑" w:eastAsia="微软雅黑"/>
                <w:sz w:val="18"/>
              </w:rPr>
              <w:t>270</w:t>
            </w:r>
          </w:p>
        </w:tc>
        <w:tc>
          <w:tcPr>
            <w:tcW w:w="1666" w:type="pct"/>
            <w:tcMar>
              <w:top w:w="80" w:type="dxa"/>
              <w:left w:w="120" w:type="dxa"/>
              <w:bottom w:w="80" w:type="dxa"/>
              <w:right w:w="120" w:type="dxa"/>
            </w:tcMar>
            <w:vAlign w:val="center"/>
          </w:tcPr>
          <w:p w14:paraId="1B9DD9AB">
            <w:pPr>
              <w:spacing w:after="0" w:line="264" w:lineRule="auto"/>
            </w:pPr>
            <w:r>
              <w:rPr>
                <w:rFonts w:ascii="微软雅黑" w:hAnsi="微软雅黑" w:eastAsia="微软雅黑"/>
                <w:sz w:val="18"/>
              </w:rPr>
              <w:t>claims.csv</w:t>
            </w:r>
          </w:p>
        </w:tc>
      </w:tr>
      <w:tr w14:paraId="270B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0C052BDB">
            <w:pPr>
              <w:spacing w:after="0" w:line="264" w:lineRule="auto"/>
            </w:pPr>
            <w:r>
              <w:rPr>
                <w:rFonts w:ascii="微软雅黑" w:hAnsi="微软雅黑" w:eastAsia="微软雅黑"/>
                <w:sz w:val="18"/>
              </w:rPr>
              <w:t>证据边数</w:t>
            </w:r>
          </w:p>
        </w:tc>
        <w:tc>
          <w:tcPr>
            <w:tcW w:w="1666" w:type="pct"/>
            <w:tcMar>
              <w:top w:w="80" w:type="dxa"/>
              <w:left w:w="120" w:type="dxa"/>
              <w:bottom w:w="80" w:type="dxa"/>
              <w:right w:w="120" w:type="dxa"/>
            </w:tcMar>
            <w:vAlign w:val="center"/>
          </w:tcPr>
          <w:p w14:paraId="66820E08">
            <w:pPr>
              <w:spacing w:after="0" w:line="264" w:lineRule="auto"/>
            </w:pPr>
            <w:r>
              <w:rPr>
                <w:rFonts w:ascii="微软雅黑" w:hAnsi="微软雅黑" w:eastAsia="微软雅黑"/>
                <w:sz w:val="18"/>
              </w:rPr>
              <w:t>270</w:t>
            </w:r>
          </w:p>
        </w:tc>
        <w:tc>
          <w:tcPr>
            <w:tcW w:w="1666" w:type="pct"/>
            <w:tcMar>
              <w:top w:w="80" w:type="dxa"/>
              <w:left w:w="120" w:type="dxa"/>
              <w:bottom w:w="80" w:type="dxa"/>
              <w:right w:w="120" w:type="dxa"/>
            </w:tcMar>
            <w:vAlign w:val="center"/>
          </w:tcPr>
          <w:p w14:paraId="75231767">
            <w:pPr>
              <w:spacing w:after="0" w:line="264" w:lineRule="auto"/>
            </w:pPr>
            <w:r>
              <w:rPr>
                <w:rFonts w:ascii="微软雅黑" w:hAnsi="微软雅黑" w:eastAsia="微软雅黑"/>
                <w:sz w:val="18"/>
              </w:rPr>
              <w:t>evidence_edges.csv</w:t>
            </w:r>
          </w:p>
        </w:tc>
      </w:tr>
      <w:tr w14:paraId="13286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32D96D96">
            <w:pPr>
              <w:spacing w:after="0" w:line="264" w:lineRule="auto"/>
            </w:pPr>
            <w:r>
              <w:rPr>
                <w:rFonts w:ascii="微软雅黑" w:hAnsi="微软雅黑" w:eastAsia="微软雅黑"/>
                <w:sz w:val="18"/>
              </w:rPr>
              <w:t>技术社区数</w:t>
            </w:r>
          </w:p>
        </w:tc>
        <w:tc>
          <w:tcPr>
            <w:tcW w:w="1666" w:type="pct"/>
            <w:tcMar>
              <w:top w:w="80" w:type="dxa"/>
              <w:left w:w="120" w:type="dxa"/>
              <w:bottom w:w="80" w:type="dxa"/>
              <w:right w:w="120" w:type="dxa"/>
            </w:tcMar>
            <w:vAlign w:val="center"/>
          </w:tcPr>
          <w:p w14:paraId="4426554A">
            <w:pPr>
              <w:spacing w:after="0" w:line="264" w:lineRule="auto"/>
            </w:pPr>
            <w:r>
              <w:rPr>
                <w:rFonts w:ascii="微软雅黑" w:hAnsi="微软雅黑" w:eastAsia="微软雅黑"/>
                <w:sz w:val="18"/>
              </w:rPr>
              <w:t>8</w:t>
            </w:r>
          </w:p>
        </w:tc>
        <w:tc>
          <w:tcPr>
            <w:tcW w:w="1666" w:type="pct"/>
            <w:tcMar>
              <w:top w:w="80" w:type="dxa"/>
              <w:left w:w="120" w:type="dxa"/>
              <w:bottom w:w="80" w:type="dxa"/>
              <w:right w:w="120" w:type="dxa"/>
            </w:tcMar>
            <w:vAlign w:val="center"/>
          </w:tcPr>
          <w:p w14:paraId="70DFFD5E">
            <w:pPr>
              <w:spacing w:after="0" w:line="264" w:lineRule="auto"/>
            </w:pPr>
            <w:r>
              <w:rPr>
                <w:rFonts w:ascii="微软雅黑" w:hAnsi="微软雅黑" w:eastAsia="微软雅黑"/>
                <w:sz w:val="18"/>
              </w:rPr>
              <w:t>community_reports.csv</w:t>
            </w:r>
          </w:p>
        </w:tc>
      </w:tr>
      <w:tr w14:paraId="0A6F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792B6AE8">
            <w:pPr>
              <w:spacing w:after="0" w:line="264" w:lineRule="auto"/>
            </w:pPr>
            <w:r>
              <w:rPr>
                <w:rFonts w:ascii="微软雅黑" w:hAnsi="微软雅黑" w:eastAsia="微软雅黑"/>
                <w:sz w:val="18"/>
              </w:rPr>
              <w:t>低置信度关系数</w:t>
            </w:r>
          </w:p>
        </w:tc>
        <w:tc>
          <w:tcPr>
            <w:tcW w:w="1666" w:type="pct"/>
            <w:tcMar>
              <w:top w:w="80" w:type="dxa"/>
              <w:left w:w="120" w:type="dxa"/>
              <w:bottom w:w="80" w:type="dxa"/>
              <w:right w:w="120" w:type="dxa"/>
            </w:tcMar>
            <w:vAlign w:val="center"/>
          </w:tcPr>
          <w:p w14:paraId="3668DB0E">
            <w:pPr>
              <w:spacing w:after="0" w:line="264" w:lineRule="auto"/>
            </w:pPr>
            <w:r>
              <w:rPr>
                <w:rFonts w:ascii="微软雅黑" w:hAnsi="微软雅黑" w:eastAsia="微软雅黑"/>
                <w:sz w:val="18"/>
              </w:rPr>
              <w:t>73</w:t>
            </w:r>
          </w:p>
        </w:tc>
        <w:tc>
          <w:tcPr>
            <w:tcW w:w="1666" w:type="pct"/>
            <w:tcMar>
              <w:top w:w="80" w:type="dxa"/>
              <w:left w:w="120" w:type="dxa"/>
              <w:bottom w:w="80" w:type="dxa"/>
              <w:right w:w="120" w:type="dxa"/>
            </w:tcMar>
            <w:vAlign w:val="center"/>
          </w:tcPr>
          <w:p w14:paraId="18AFAA40">
            <w:pPr>
              <w:spacing w:after="0" w:line="264" w:lineRule="auto"/>
            </w:pPr>
            <w:r>
              <w:rPr>
                <w:rFonts w:ascii="微软雅黑" w:hAnsi="微软雅黑" w:eastAsia="微软雅黑"/>
                <w:sz w:val="18"/>
              </w:rPr>
              <w:t>atlas_quality_report.json / confidence 统计</w:t>
            </w:r>
          </w:p>
        </w:tc>
      </w:tr>
    </w:tbl>
    <w:p w14:paraId="4A97427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该表的指标说明当前项目已经完成从语料到图谱的完整产出。低置信度关系数用于提示复核重点，不能理解为模型错误率，因为本项目没有进行监督模型评估。</w:t>
      </w:r>
    </w:p>
    <w:p w14:paraId="233C307F">
      <w:pPr>
        <w:pStyle w:val="4"/>
        <w:numPr>
          <w:ilvl w:val="0"/>
          <w:numId w:val="5"/>
        </w:numPr>
        <w:ind w:left="0" w:leftChars="0" w:firstLine="0" w:firstLineChars="0"/>
        <w:rPr>
          <w:b w:val="0"/>
        </w:rPr>
      </w:pPr>
      <w:bookmarkStart w:id="31" w:name="_Toc12256"/>
      <w:r>
        <w:t>实体类型分布分析</w:t>
      </w:r>
      <w:bookmarkEnd w:id="31"/>
    </w:p>
    <w:p w14:paraId="70F9089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实体类型分布可以反映图谱覆盖重点。图 8-1 根据 graph_nodes.csv 统计 entity_type 字段，展示不同类型节点的数量。Evidence、Dataset、Model、Limitation、Organization 和 Task 等类型数量较多，说明项目不仅提取技术名称，也提取支撑技术运行的数据条件、模型方法、约束因素和证据材料。</w:t>
      </w:r>
    </w:p>
    <w:p w14:paraId="0AA31A45">
      <w:pPr>
        <w:jc w:val="center"/>
      </w:pPr>
      <w:r>
        <w:drawing>
          <wp:inline distT="0" distB="0" distL="114300" distR="114300">
            <wp:extent cx="5274310" cy="3269615"/>
            <wp:effectExtent l="0" t="0" r="889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274310" cy="3269615"/>
                    </a:xfrm>
                    <a:prstGeom prst="rect">
                      <a:avLst/>
                    </a:prstGeom>
                  </pic:spPr>
                </pic:pic>
              </a:graphicData>
            </a:graphic>
          </wp:inline>
        </w:drawing>
      </w:r>
    </w:p>
    <w:p w14:paraId="36036AB0">
      <w:pPr>
        <w:pStyle w:val="27"/>
        <w:widowControl/>
      </w:pPr>
      <w:r>
        <w:t>图 8-1 实体类型分布柱状图</w:t>
      </w:r>
    </w:p>
    <w:p w14:paraId="5997A89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该图表明，当前图谱覆盖实体类型较完整。Evidence 节点数量较高，符合证据图谱定位；Dataset 和 Model 节点数量也较高，说明地震灾害 AI 技术链条中的数据条件和模型方法被较充分地表达。</w:t>
      </w:r>
    </w:p>
    <w:p w14:paraId="540229B8">
      <w:pPr>
        <w:pStyle w:val="4"/>
        <w:numPr>
          <w:ilvl w:val="0"/>
          <w:numId w:val="5"/>
        </w:numPr>
        <w:ind w:left="0" w:leftChars="0" w:firstLine="0" w:firstLineChars="0"/>
        <w:rPr>
          <w:b w:val="0"/>
        </w:rPr>
      </w:pPr>
      <w:bookmarkStart w:id="32" w:name="_Toc23154"/>
      <w:r>
        <w:t>关系类型分布分析</w:t>
      </w:r>
      <w:bookmarkEnd w:id="32"/>
    </w:p>
    <w:p w14:paraId="7A0BAAE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关系类型分布可以反映图谱语义结构。图 8-2 根据 graph_edges_neo4j.csv 统计 relation_type 字段。DERIVES_FROM 和 SUPPORTED_BY 数量较高，说明当前图谱重视来源派生和证据支持；DEPENDS_ON、SOLVES、USES_MODEL 和 SERVES_STAGE 则构成技术应用链条的核心关系。</w:t>
      </w:r>
    </w:p>
    <w:p w14:paraId="15D20205">
      <w:pPr>
        <w:jc w:val="center"/>
      </w:pPr>
      <w:r>
        <w:drawing>
          <wp:inline distT="0" distB="0" distL="114300" distR="114300">
            <wp:extent cx="5274310" cy="2926715"/>
            <wp:effectExtent l="0" t="0" r="889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5274310" cy="2926715"/>
                    </a:xfrm>
                    <a:prstGeom prst="rect">
                      <a:avLst/>
                    </a:prstGeom>
                  </pic:spPr>
                </pic:pic>
              </a:graphicData>
            </a:graphic>
          </wp:inline>
        </w:drawing>
      </w:r>
    </w:p>
    <w:p w14:paraId="6E59BA8F">
      <w:pPr>
        <w:pStyle w:val="27"/>
        <w:widowControl/>
      </w:pPr>
      <w:r>
        <w:t>图 8-2 关系类型分布柱状图</w:t>
      </w:r>
    </w:p>
    <w:p w14:paraId="4799C32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该图显示，来源和证据类关系在图谱中占比较高。该分布符合 GraphRAG 证据追溯目标，但也提示后续可以继续补充技术之间的因果、依赖和任务转化关系，使图谱的业务解释能力更强。</w:t>
      </w:r>
    </w:p>
    <w:p w14:paraId="32F75329">
      <w:pPr>
        <w:pStyle w:val="4"/>
        <w:numPr>
          <w:ilvl w:val="0"/>
          <w:numId w:val="5"/>
        </w:numPr>
        <w:ind w:left="0" w:leftChars="0" w:firstLine="0" w:firstLineChars="0"/>
        <w:rPr>
          <w:b w:val="0"/>
        </w:rPr>
      </w:pPr>
      <w:bookmarkStart w:id="33" w:name="_Toc24475"/>
      <w:r>
        <w:t>证据来源与置信度分析</w:t>
      </w:r>
      <w:bookmarkEnd w:id="33"/>
    </w:p>
    <w:p w14:paraId="78BDB91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证据来源当前主要来自《地震灾害数据收集与整理.docx》及其拆分后的专题文本块。置信度字段反映规则抽取对关系的相对可靠性估计，当前范围为 0.60 至 0.90，平均约 0.74。所有关系均保留待复核状态，这一点在报告中必须明确。</w:t>
      </w:r>
    </w:p>
    <w:p w14:paraId="0334BA2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置信度分析的意义在于确定人工复核优先级。低置信度关系可优先检查 evidence_text 是否充分、实体边界是否正确、关系方向是否合理；高置信度关系也仍需抽样复核，因为规则抽取不能完全替代专家判断。</w:t>
      </w:r>
    </w:p>
    <w:p w14:paraId="0166725E">
      <w:pPr>
        <w:pStyle w:val="4"/>
        <w:numPr>
          <w:ilvl w:val="0"/>
          <w:numId w:val="5"/>
        </w:numPr>
        <w:ind w:left="0" w:leftChars="0" w:firstLine="0" w:firstLineChars="0"/>
        <w:rPr>
          <w:b w:val="0"/>
        </w:rPr>
      </w:pPr>
      <w:bookmarkStart w:id="34" w:name="_Toc29486"/>
      <w:r>
        <w:t>技术社区结果分析</w:t>
      </w:r>
      <w:bookmarkEnd w:id="34"/>
    </w:p>
    <w:p w14:paraId="0DC7B77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该图根据 community_reports.csv 展示不同社区的实体数量。语料与证据链、数据与影响产品、AI 技术与模型方法等社区规模较大，说明项目的图谱结构围绕证据追溯、数据产品和 AI 技术方法展开。限制与复核风险社区单独存在，体现了本项目对不确定性和质量控制的重视。</w:t>
      </w:r>
    </w:p>
    <w:p w14:paraId="629C0408">
      <w:pPr>
        <w:jc w:val="center"/>
      </w:pPr>
      <w:r>
        <w:drawing>
          <wp:inline distT="0" distB="0" distL="114300" distR="114300">
            <wp:extent cx="5274310" cy="1898015"/>
            <wp:effectExtent l="0" t="0" r="889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274310" cy="1898015"/>
                    </a:xfrm>
                    <a:prstGeom prst="rect">
                      <a:avLst/>
                    </a:prstGeom>
                  </pic:spPr>
                </pic:pic>
              </a:graphicData>
            </a:graphic>
          </wp:inline>
        </w:drawing>
      </w:r>
    </w:p>
    <w:p w14:paraId="64F96DAB">
      <w:pPr>
        <w:pStyle w:val="27"/>
        <w:widowControl/>
      </w:pPr>
      <w:r>
        <w:t>图 8-3 技术社区数量与代表节点图</w:t>
      </w:r>
    </w:p>
    <w:p w14:paraId="58EE2AD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该图表明，当前社区划分能够将图谱组织为若干主题板块。社区报告不仅用于前端展示，也可作为后续问答检索和专家复核的工作单元。</w:t>
      </w:r>
    </w:p>
    <w:p w14:paraId="398BECB3">
      <w:pPr>
        <w:pStyle w:val="4"/>
        <w:numPr>
          <w:ilvl w:val="0"/>
          <w:numId w:val="5"/>
        </w:numPr>
        <w:ind w:left="0" w:leftChars="0" w:firstLine="0" w:firstLineChars="0"/>
        <w:rPr>
          <w:b w:val="0"/>
        </w:rPr>
      </w:pPr>
      <w:bookmarkStart w:id="35" w:name="_Toc31292"/>
      <w:r>
        <w:t>前端交互测试结果</w:t>
      </w:r>
      <w:bookmarkEnd w:id="35"/>
    </w:p>
    <w:p w14:paraId="2C03F8B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前端交互测试围绕课程展示中的核心操作展开，包括页面加载、中文化菜单、节点点击、一跳展开、两跳展开、边聚合、筛选面板、详情面板、证据卡片和汇报截图模式。测试目标是确认图谱成果能够被正常查看和讲解。</w:t>
      </w:r>
    </w:p>
    <w:p w14:paraId="2882E7D5">
      <w:pPr>
        <w:pStyle w:val="27"/>
        <w:widowControl/>
      </w:pPr>
      <w:r>
        <w:t>表 8-2 前端交互功能测试表</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7"/>
        <w:gridCol w:w="2848"/>
        <w:gridCol w:w="2848"/>
      </w:tblGrid>
      <w:tr w14:paraId="31D5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E8EEF5"/>
            <w:tcMar>
              <w:top w:w="80" w:type="dxa"/>
              <w:left w:w="120" w:type="dxa"/>
              <w:bottom w:w="80" w:type="dxa"/>
              <w:right w:w="120" w:type="dxa"/>
            </w:tcMar>
            <w:vAlign w:val="center"/>
          </w:tcPr>
          <w:p w14:paraId="406AE068">
            <w:pPr>
              <w:spacing w:after="0" w:line="264" w:lineRule="auto"/>
            </w:pPr>
            <w:r>
              <w:rPr>
                <w:rFonts w:ascii="微软雅黑" w:hAnsi="微软雅黑" w:eastAsia="微软雅黑"/>
                <w:sz w:val="18"/>
              </w:rPr>
              <w:t>测试项</w:t>
            </w:r>
          </w:p>
        </w:tc>
        <w:tc>
          <w:tcPr>
            <w:tcW w:w="1666" w:type="pct"/>
            <w:shd w:val="clear" w:color="auto" w:fill="E8EEF5"/>
            <w:tcMar>
              <w:top w:w="80" w:type="dxa"/>
              <w:left w:w="120" w:type="dxa"/>
              <w:bottom w:w="80" w:type="dxa"/>
              <w:right w:w="120" w:type="dxa"/>
            </w:tcMar>
            <w:vAlign w:val="center"/>
          </w:tcPr>
          <w:p w14:paraId="4E38E089">
            <w:pPr>
              <w:spacing w:after="0" w:line="264" w:lineRule="auto"/>
            </w:pPr>
            <w:r>
              <w:rPr>
                <w:rFonts w:ascii="微软雅黑" w:hAnsi="微软雅黑" w:eastAsia="微软雅黑"/>
                <w:sz w:val="18"/>
              </w:rPr>
              <w:t>验证内容</w:t>
            </w:r>
          </w:p>
        </w:tc>
        <w:tc>
          <w:tcPr>
            <w:tcW w:w="1666" w:type="pct"/>
            <w:shd w:val="clear" w:color="auto" w:fill="E8EEF5"/>
            <w:tcMar>
              <w:top w:w="80" w:type="dxa"/>
              <w:left w:w="120" w:type="dxa"/>
              <w:bottom w:w="80" w:type="dxa"/>
              <w:right w:w="120" w:type="dxa"/>
            </w:tcMar>
            <w:vAlign w:val="center"/>
          </w:tcPr>
          <w:p w14:paraId="266265DF">
            <w:pPr>
              <w:spacing w:after="0" w:line="264" w:lineRule="auto"/>
            </w:pPr>
            <w:r>
              <w:rPr>
                <w:rFonts w:ascii="微软雅黑" w:hAnsi="微软雅黑" w:eastAsia="微软雅黑"/>
                <w:sz w:val="18"/>
              </w:rPr>
              <w:t>结果说明</w:t>
            </w:r>
          </w:p>
        </w:tc>
      </w:tr>
      <w:tr w14:paraId="1E5F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094823DE">
            <w:pPr>
              <w:spacing w:after="0" w:line="264" w:lineRule="auto"/>
            </w:pPr>
            <w:r>
              <w:rPr>
                <w:rFonts w:ascii="微软雅黑" w:hAnsi="微软雅黑" w:eastAsia="微软雅黑"/>
                <w:sz w:val="18"/>
              </w:rPr>
              <w:t>页面加载</w:t>
            </w:r>
          </w:p>
        </w:tc>
        <w:tc>
          <w:tcPr>
            <w:tcW w:w="1666" w:type="pct"/>
            <w:tcMar>
              <w:top w:w="80" w:type="dxa"/>
              <w:left w:w="120" w:type="dxa"/>
              <w:bottom w:w="80" w:type="dxa"/>
              <w:right w:w="120" w:type="dxa"/>
            </w:tcMar>
            <w:vAlign w:val="center"/>
          </w:tcPr>
          <w:p w14:paraId="09A8FD36">
            <w:pPr>
              <w:spacing w:after="0" w:line="264" w:lineRule="auto"/>
            </w:pPr>
            <w:r>
              <w:rPr>
                <w:rFonts w:ascii="微软雅黑" w:hAnsi="微软雅黑" w:eastAsia="微软雅黑"/>
                <w:sz w:val="18"/>
              </w:rPr>
              <w:t>打开前端首页和交互图谱页。</w:t>
            </w:r>
          </w:p>
        </w:tc>
        <w:tc>
          <w:tcPr>
            <w:tcW w:w="1666" w:type="pct"/>
            <w:tcMar>
              <w:top w:w="80" w:type="dxa"/>
              <w:left w:w="120" w:type="dxa"/>
              <w:bottom w:w="80" w:type="dxa"/>
              <w:right w:w="120" w:type="dxa"/>
            </w:tcMar>
            <w:vAlign w:val="center"/>
          </w:tcPr>
          <w:p w14:paraId="78D0ECFF">
            <w:pPr>
              <w:spacing w:after="0" w:line="264" w:lineRule="auto"/>
            </w:pPr>
            <w:r>
              <w:rPr>
                <w:rFonts w:ascii="微软雅黑" w:hAnsi="微软雅黑" w:eastAsia="微软雅黑"/>
                <w:sz w:val="18"/>
              </w:rPr>
              <w:t>页面能够加载项目指标和图谱入口。</w:t>
            </w:r>
          </w:p>
        </w:tc>
      </w:tr>
      <w:tr w14:paraId="772A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69EFE088">
            <w:pPr>
              <w:spacing w:after="0" w:line="264" w:lineRule="auto"/>
            </w:pPr>
            <w:r>
              <w:rPr>
                <w:rFonts w:ascii="微软雅黑" w:hAnsi="微软雅黑" w:eastAsia="微软雅黑"/>
                <w:sz w:val="18"/>
              </w:rPr>
              <w:t>节点点击</w:t>
            </w:r>
          </w:p>
        </w:tc>
        <w:tc>
          <w:tcPr>
            <w:tcW w:w="1666" w:type="pct"/>
            <w:tcMar>
              <w:top w:w="80" w:type="dxa"/>
              <w:left w:w="120" w:type="dxa"/>
              <w:bottom w:w="80" w:type="dxa"/>
              <w:right w:w="120" w:type="dxa"/>
            </w:tcMar>
            <w:vAlign w:val="center"/>
          </w:tcPr>
          <w:p w14:paraId="746F938F">
            <w:pPr>
              <w:spacing w:after="0" w:line="264" w:lineRule="auto"/>
            </w:pPr>
            <w:r>
              <w:rPr>
                <w:rFonts w:ascii="微软雅黑" w:hAnsi="微软雅黑" w:eastAsia="微软雅黑"/>
                <w:sz w:val="18"/>
              </w:rPr>
              <w:t>点击核心技术节点查看详情。</w:t>
            </w:r>
          </w:p>
        </w:tc>
        <w:tc>
          <w:tcPr>
            <w:tcW w:w="1666" w:type="pct"/>
            <w:tcMar>
              <w:top w:w="80" w:type="dxa"/>
              <w:left w:w="120" w:type="dxa"/>
              <w:bottom w:w="80" w:type="dxa"/>
              <w:right w:w="120" w:type="dxa"/>
            </w:tcMar>
            <w:vAlign w:val="center"/>
          </w:tcPr>
          <w:p w14:paraId="0FD38B17">
            <w:pPr>
              <w:spacing w:after="0" w:line="264" w:lineRule="auto"/>
            </w:pPr>
            <w:r>
              <w:rPr>
                <w:rFonts w:ascii="微软雅黑" w:hAnsi="微软雅黑" w:eastAsia="微软雅黑"/>
                <w:sz w:val="18"/>
              </w:rPr>
              <w:t>右侧面板显示节点类型、关系摘要和证据区域。</w:t>
            </w:r>
          </w:p>
        </w:tc>
      </w:tr>
      <w:tr w14:paraId="15DB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48ACD78E">
            <w:pPr>
              <w:spacing w:after="0" w:line="264" w:lineRule="auto"/>
            </w:pPr>
            <w:r>
              <w:rPr>
                <w:rFonts w:ascii="微软雅黑" w:hAnsi="微软雅黑" w:eastAsia="微软雅黑"/>
                <w:sz w:val="18"/>
              </w:rPr>
              <w:t>逐层展开</w:t>
            </w:r>
          </w:p>
        </w:tc>
        <w:tc>
          <w:tcPr>
            <w:tcW w:w="1666" w:type="pct"/>
            <w:tcMar>
              <w:top w:w="80" w:type="dxa"/>
              <w:left w:w="120" w:type="dxa"/>
              <w:bottom w:w="80" w:type="dxa"/>
              <w:right w:w="120" w:type="dxa"/>
            </w:tcMar>
            <w:vAlign w:val="center"/>
          </w:tcPr>
          <w:p w14:paraId="2BA653AE">
            <w:pPr>
              <w:spacing w:after="0" w:line="264" w:lineRule="auto"/>
            </w:pPr>
            <w:r>
              <w:rPr>
                <w:rFonts w:ascii="微软雅黑" w:hAnsi="微软雅黑" w:eastAsia="微软雅黑"/>
                <w:sz w:val="18"/>
              </w:rPr>
              <w:t>执行一跳或两跳展开。</w:t>
            </w:r>
          </w:p>
        </w:tc>
        <w:tc>
          <w:tcPr>
            <w:tcW w:w="1666" w:type="pct"/>
            <w:tcMar>
              <w:top w:w="80" w:type="dxa"/>
              <w:left w:w="120" w:type="dxa"/>
              <w:bottom w:w="80" w:type="dxa"/>
              <w:right w:w="120" w:type="dxa"/>
            </w:tcMar>
            <w:vAlign w:val="center"/>
          </w:tcPr>
          <w:p w14:paraId="6808ADD5">
            <w:pPr>
              <w:spacing w:after="0" w:line="264" w:lineRule="auto"/>
            </w:pPr>
            <w:r>
              <w:rPr>
                <w:rFonts w:ascii="微软雅黑" w:hAnsi="微软雅黑" w:eastAsia="微软雅黑"/>
                <w:sz w:val="18"/>
              </w:rPr>
              <w:t>可显示邻域节点并高亮关键边。</w:t>
            </w:r>
          </w:p>
        </w:tc>
      </w:tr>
      <w:tr w14:paraId="00BE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7EA9D805">
            <w:pPr>
              <w:spacing w:after="0" w:line="264" w:lineRule="auto"/>
            </w:pPr>
            <w:r>
              <w:rPr>
                <w:rFonts w:ascii="微软雅黑" w:hAnsi="微软雅黑" w:eastAsia="微软雅黑"/>
                <w:sz w:val="18"/>
              </w:rPr>
              <w:t>边聚合</w:t>
            </w:r>
          </w:p>
        </w:tc>
        <w:tc>
          <w:tcPr>
            <w:tcW w:w="1666" w:type="pct"/>
            <w:tcMar>
              <w:top w:w="80" w:type="dxa"/>
              <w:left w:w="120" w:type="dxa"/>
              <w:bottom w:w="80" w:type="dxa"/>
              <w:right w:w="120" w:type="dxa"/>
            </w:tcMar>
            <w:vAlign w:val="center"/>
          </w:tcPr>
          <w:p w14:paraId="3C228C00">
            <w:pPr>
              <w:spacing w:after="0" w:line="264" w:lineRule="auto"/>
            </w:pPr>
            <w:r>
              <w:rPr>
                <w:rFonts w:ascii="微软雅黑" w:hAnsi="微软雅黑" w:eastAsia="微软雅黑"/>
                <w:sz w:val="18"/>
              </w:rPr>
              <w:t>查看同节点对多关系显示。</w:t>
            </w:r>
          </w:p>
        </w:tc>
        <w:tc>
          <w:tcPr>
            <w:tcW w:w="1666" w:type="pct"/>
            <w:tcMar>
              <w:top w:w="80" w:type="dxa"/>
              <w:left w:w="120" w:type="dxa"/>
              <w:bottom w:w="80" w:type="dxa"/>
              <w:right w:w="120" w:type="dxa"/>
            </w:tcMar>
            <w:vAlign w:val="center"/>
          </w:tcPr>
          <w:p w14:paraId="779E1DC8">
            <w:pPr>
              <w:spacing w:after="0" w:line="264" w:lineRule="auto"/>
            </w:pPr>
            <w:r>
              <w:rPr>
                <w:rFonts w:ascii="微软雅黑" w:hAnsi="微软雅黑" w:eastAsia="微软雅黑"/>
                <w:sz w:val="18"/>
              </w:rPr>
              <w:t>画布线条密度降低，详情区保留关系列表。</w:t>
            </w:r>
          </w:p>
        </w:tc>
      </w:tr>
      <w:tr w14:paraId="0C6F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7B59E23B">
            <w:pPr>
              <w:spacing w:after="0" w:line="264" w:lineRule="auto"/>
            </w:pPr>
            <w:r>
              <w:rPr>
                <w:rFonts w:ascii="微软雅黑" w:hAnsi="微软雅黑" w:eastAsia="微软雅黑"/>
                <w:sz w:val="18"/>
              </w:rPr>
              <w:t>证据卡片</w:t>
            </w:r>
          </w:p>
        </w:tc>
        <w:tc>
          <w:tcPr>
            <w:tcW w:w="1666" w:type="pct"/>
            <w:tcMar>
              <w:top w:w="80" w:type="dxa"/>
              <w:left w:w="120" w:type="dxa"/>
              <w:bottom w:w="80" w:type="dxa"/>
              <w:right w:w="120" w:type="dxa"/>
            </w:tcMar>
            <w:vAlign w:val="center"/>
          </w:tcPr>
          <w:p w14:paraId="1A2FC7C3">
            <w:pPr>
              <w:spacing w:after="0" w:line="264" w:lineRule="auto"/>
            </w:pPr>
            <w:r>
              <w:rPr>
                <w:rFonts w:ascii="微软雅黑" w:hAnsi="微软雅黑" w:eastAsia="微软雅黑"/>
                <w:sz w:val="18"/>
              </w:rPr>
              <w:t>查看 evidence_text 和置信度。</w:t>
            </w:r>
          </w:p>
        </w:tc>
        <w:tc>
          <w:tcPr>
            <w:tcW w:w="1666" w:type="pct"/>
            <w:tcMar>
              <w:top w:w="80" w:type="dxa"/>
              <w:left w:w="120" w:type="dxa"/>
              <w:bottom w:w="80" w:type="dxa"/>
              <w:right w:w="120" w:type="dxa"/>
            </w:tcMar>
            <w:vAlign w:val="center"/>
          </w:tcPr>
          <w:p w14:paraId="5496926A">
            <w:pPr>
              <w:spacing w:after="0" w:line="264" w:lineRule="auto"/>
            </w:pPr>
            <w:r>
              <w:rPr>
                <w:rFonts w:ascii="微软雅黑" w:hAnsi="微软雅黑" w:eastAsia="微软雅黑"/>
                <w:sz w:val="18"/>
              </w:rPr>
              <w:t>证据片段可用于复核关系来源。</w:t>
            </w:r>
          </w:p>
        </w:tc>
      </w:tr>
      <w:tr w14:paraId="48AB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5D99941D">
            <w:pPr>
              <w:spacing w:after="0" w:line="264" w:lineRule="auto"/>
            </w:pPr>
            <w:r>
              <w:rPr>
                <w:rFonts w:ascii="微软雅黑" w:hAnsi="微软雅黑" w:eastAsia="微软雅黑"/>
                <w:sz w:val="18"/>
              </w:rPr>
              <w:t>汇报截图模式</w:t>
            </w:r>
          </w:p>
        </w:tc>
        <w:tc>
          <w:tcPr>
            <w:tcW w:w="1666" w:type="pct"/>
            <w:tcMar>
              <w:top w:w="80" w:type="dxa"/>
              <w:left w:w="120" w:type="dxa"/>
              <w:bottom w:w="80" w:type="dxa"/>
              <w:right w:w="120" w:type="dxa"/>
            </w:tcMar>
            <w:vAlign w:val="center"/>
          </w:tcPr>
          <w:p w14:paraId="26518096">
            <w:pPr>
              <w:spacing w:after="0" w:line="264" w:lineRule="auto"/>
            </w:pPr>
            <w:r>
              <w:rPr>
                <w:rFonts w:ascii="微软雅黑" w:hAnsi="微软雅黑" w:eastAsia="微软雅黑"/>
                <w:sz w:val="18"/>
              </w:rPr>
              <w:t>收敛弱边和边标签。</w:t>
            </w:r>
          </w:p>
        </w:tc>
        <w:tc>
          <w:tcPr>
            <w:tcW w:w="1666" w:type="pct"/>
            <w:tcMar>
              <w:top w:w="80" w:type="dxa"/>
              <w:left w:w="120" w:type="dxa"/>
              <w:bottom w:w="80" w:type="dxa"/>
              <w:right w:w="120" w:type="dxa"/>
            </w:tcMar>
            <w:vAlign w:val="center"/>
          </w:tcPr>
          <w:p w14:paraId="635897C9">
            <w:pPr>
              <w:spacing w:after="0" w:line="264" w:lineRule="auto"/>
            </w:pPr>
            <w:r>
              <w:rPr>
                <w:rFonts w:ascii="微软雅黑" w:hAnsi="微软雅黑" w:eastAsia="微软雅黑"/>
                <w:sz w:val="18"/>
              </w:rPr>
              <w:t>画面更适合课程汇报截图。</w:t>
            </w:r>
          </w:p>
        </w:tc>
      </w:tr>
    </w:tbl>
    <w:p w14:paraId="294B6EA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该表说明前端测试以功能可用性和汇报可读性为主。由于本项目重点是图谱构建与展示，测试记录不包含模型训练评价指标。</w:t>
      </w:r>
    </w:p>
    <w:p w14:paraId="0492D2A2">
      <w:pPr>
        <w:pStyle w:val="4"/>
        <w:numPr>
          <w:ilvl w:val="0"/>
          <w:numId w:val="5"/>
        </w:numPr>
        <w:ind w:left="0" w:leftChars="0" w:firstLine="0" w:firstLineChars="0"/>
        <w:rPr>
          <w:b w:val="0"/>
        </w:rPr>
      </w:pPr>
      <w:bookmarkStart w:id="36" w:name="_Toc24304"/>
      <w:r>
        <w:t>文件完整性与索引一致性测试</w:t>
      </w:r>
      <w:bookmarkEnd w:id="36"/>
    </w:p>
    <w:p w14:paraId="4A0290F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文件完整性检查关注关键成果是否存在、规模是否一致、前端 atlas 是否能对应索引摘要。检查对象包括 graph_nodes.csv、graph_edges_neo4j.csv、evidence_edges.csv、community_reports.csv、index_summary.json、atlas_quality_report.json、atlas_frontend.json、atlas.graphml。</w:t>
      </w:r>
    </w:p>
    <w:p w14:paraId="2AED0CD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索引一致性检查关注节点数、关系数、证据边数和社区数在不同文件中的一致性。index_summary.json 与 atlas_quality_report.json 中的核心规模相互对应，前端截图中的指标也能与输出成果形成解释关系。后续若重新生成索引，应重新执行该检查，避免报告和数据不一致。</w:t>
      </w:r>
    </w:p>
    <w:p w14:paraId="48AD566F">
      <w:pPr>
        <w:pStyle w:val="4"/>
        <w:numPr>
          <w:ilvl w:val="0"/>
          <w:numId w:val="5"/>
        </w:numPr>
        <w:ind w:left="0" w:leftChars="0" w:firstLine="0" w:firstLineChars="0"/>
        <w:rPr>
          <w:b w:val="0"/>
        </w:rPr>
      </w:pPr>
      <w:bookmarkStart w:id="37" w:name="_Toc17833"/>
      <w:r>
        <w:t>当前问题与风险分析</w:t>
      </w:r>
      <w:bookmarkEnd w:id="37"/>
    </w:p>
    <w:p w14:paraId="4F9F6F6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当前问题主要包括四类。第一，规则抽取存在误连或漏连风险，尤其是跨句关系和相似概念之间的关系；第二，所有关系仍为待复核状态，尚未形成专家已确认结果；第三，部分 source_url 需要进一步精确到外部原始材料页面；第四，当前前端在全量节点展示时仍可能出现节点拥挤和边交叉，需要依赖筛选和汇报模式收敛。</w:t>
      </w:r>
    </w:p>
    <w:p w14:paraId="2A051191">
      <w:pPr>
        <w:pStyle w:val="27"/>
        <w:widowControl/>
      </w:pPr>
      <w:r>
        <w:t>表 8-3 当前问题与改进措施表</w:t>
      </w:r>
    </w:p>
    <w:tbl>
      <w:tblPr>
        <w:tblStyle w:val="2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7"/>
        <w:gridCol w:w="2848"/>
        <w:gridCol w:w="2848"/>
      </w:tblGrid>
      <w:tr w14:paraId="47E2C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E8EEF5"/>
            <w:tcMar>
              <w:top w:w="80" w:type="dxa"/>
              <w:left w:w="120" w:type="dxa"/>
              <w:bottom w:w="80" w:type="dxa"/>
              <w:right w:w="120" w:type="dxa"/>
            </w:tcMar>
            <w:vAlign w:val="center"/>
          </w:tcPr>
          <w:p w14:paraId="022B5F2E">
            <w:pPr>
              <w:spacing w:after="0" w:line="264" w:lineRule="auto"/>
            </w:pPr>
            <w:r>
              <w:rPr>
                <w:rFonts w:ascii="微软雅黑" w:hAnsi="微软雅黑" w:eastAsia="微软雅黑"/>
                <w:sz w:val="18"/>
              </w:rPr>
              <w:t>问题</w:t>
            </w:r>
          </w:p>
        </w:tc>
        <w:tc>
          <w:tcPr>
            <w:tcW w:w="1666" w:type="pct"/>
            <w:shd w:val="clear" w:color="auto" w:fill="E8EEF5"/>
            <w:tcMar>
              <w:top w:w="80" w:type="dxa"/>
              <w:left w:w="120" w:type="dxa"/>
              <w:bottom w:w="80" w:type="dxa"/>
              <w:right w:w="120" w:type="dxa"/>
            </w:tcMar>
            <w:vAlign w:val="center"/>
          </w:tcPr>
          <w:p w14:paraId="601FD005">
            <w:pPr>
              <w:spacing w:after="0" w:line="264" w:lineRule="auto"/>
            </w:pPr>
            <w:r>
              <w:rPr>
                <w:rFonts w:ascii="微软雅黑" w:hAnsi="微软雅黑" w:eastAsia="微软雅黑"/>
                <w:sz w:val="18"/>
              </w:rPr>
              <w:t>影响</w:t>
            </w:r>
          </w:p>
        </w:tc>
        <w:tc>
          <w:tcPr>
            <w:tcW w:w="1666" w:type="pct"/>
            <w:shd w:val="clear" w:color="auto" w:fill="E8EEF5"/>
            <w:tcMar>
              <w:top w:w="80" w:type="dxa"/>
              <w:left w:w="120" w:type="dxa"/>
              <w:bottom w:w="80" w:type="dxa"/>
              <w:right w:w="120" w:type="dxa"/>
            </w:tcMar>
            <w:vAlign w:val="center"/>
          </w:tcPr>
          <w:p w14:paraId="66A036DE">
            <w:pPr>
              <w:spacing w:after="0" w:line="264" w:lineRule="auto"/>
            </w:pPr>
            <w:r>
              <w:rPr>
                <w:rFonts w:ascii="微软雅黑" w:hAnsi="微软雅黑" w:eastAsia="微软雅黑"/>
                <w:sz w:val="18"/>
              </w:rPr>
              <w:t>改进措施</w:t>
            </w:r>
          </w:p>
        </w:tc>
      </w:tr>
      <w:tr w14:paraId="6AAE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189E5BE4">
            <w:pPr>
              <w:spacing w:after="0" w:line="264" w:lineRule="auto"/>
            </w:pPr>
            <w:r>
              <w:rPr>
                <w:rFonts w:ascii="微软雅黑" w:hAnsi="微软雅黑" w:eastAsia="微软雅黑"/>
                <w:sz w:val="18"/>
              </w:rPr>
              <w:t>规则抽取误差</w:t>
            </w:r>
          </w:p>
        </w:tc>
        <w:tc>
          <w:tcPr>
            <w:tcW w:w="1666" w:type="pct"/>
            <w:tcMar>
              <w:top w:w="80" w:type="dxa"/>
              <w:left w:w="120" w:type="dxa"/>
              <w:bottom w:w="80" w:type="dxa"/>
              <w:right w:w="120" w:type="dxa"/>
            </w:tcMar>
            <w:vAlign w:val="center"/>
          </w:tcPr>
          <w:p w14:paraId="7AD9436E">
            <w:pPr>
              <w:spacing w:after="0" w:line="264" w:lineRule="auto"/>
            </w:pPr>
            <w:r>
              <w:rPr>
                <w:rFonts w:ascii="微软雅黑" w:hAnsi="微软雅黑" w:eastAsia="微软雅黑"/>
                <w:sz w:val="18"/>
              </w:rPr>
              <w:t>可能导致关系方向或实体边界不准确。</w:t>
            </w:r>
          </w:p>
        </w:tc>
        <w:tc>
          <w:tcPr>
            <w:tcW w:w="1666" w:type="pct"/>
            <w:tcMar>
              <w:top w:w="80" w:type="dxa"/>
              <w:left w:w="120" w:type="dxa"/>
              <w:bottom w:w="80" w:type="dxa"/>
              <w:right w:w="120" w:type="dxa"/>
            </w:tcMar>
            <w:vAlign w:val="center"/>
          </w:tcPr>
          <w:p w14:paraId="72B9AB27">
            <w:pPr>
              <w:spacing w:after="0" w:line="264" w:lineRule="auto"/>
            </w:pPr>
            <w:r>
              <w:rPr>
                <w:rFonts w:ascii="微软雅黑" w:hAnsi="微软雅黑" w:eastAsia="微软雅黑"/>
                <w:sz w:val="18"/>
              </w:rPr>
              <w:t>增加人工复核和 LLM 辅助候选校对。</w:t>
            </w:r>
          </w:p>
        </w:tc>
      </w:tr>
      <w:tr w14:paraId="143B7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745E376C">
            <w:pPr>
              <w:spacing w:after="0" w:line="264" w:lineRule="auto"/>
            </w:pPr>
            <w:r>
              <w:rPr>
                <w:rFonts w:ascii="微软雅黑" w:hAnsi="微软雅黑" w:eastAsia="微软雅黑"/>
                <w:sz w:val="18"/>
              </w:rPr>
              <w:t>复核状态未完成</w:t>
            </w:r>
          </w:p>
        </w:tc>
        <w:tc>
          <w:tcPr>
            <w:tcW w:w="1666" w:type="pct"/>
            <w:tcMar>
              <w:top w:w="80" w:type="dxa"/>
              <w:left w:w="120" w:type="dxa"/>
              <w:bottom w:w="80" w:type="dxa"/>
              <w:right w:w="120" w:type="dxa"/>
            </w:tcMar>
            <w:vAlign w:val="center"/>
          </w:tcPr>
          <w:p w14:paraId="35C3E1C9">
            <w:pPr>
              <w:spacing w:after="0" w:line="264" w:lineRule="auto"/>
            </w:pPr>
            <w:r>
              <w:rPr>
                <w:rFonts w:ascii="微软雅黑" w:hAnsi="微软雅黑" w:eastAsia="微软雅黑"/>
                <w:sz w:val="18"/>
              </w:rPr>
              <w:t>图谱仍属于课程实践级成果。</w:t>
            </w:r>
          </w:p>
        </w:tc>
        <w:tc>
          <w:tcPr>
            <w:tcW w:w="1666" w:type="pct"/>
            <w:tcMar>
              <w:top w:w="80" w:type="dxa"/>
              <w:left w:w="120" w:type="dxa"/>
              <w:bottom w:w="80" w:type="dxa"/>
              <w:right w:w="120" w:type="dxa"/>
            </w:tcMar>
            <w:vAlign w:val="center"/>
          </w:tcPr>
          <w:p w14:paraId="24142141">
            <w:pPr>
              <w:spacing w:after="0" w:line="264" w:lineRule="auto"/>
            </w:pPr>
            <w:r>
              <w:rPr>
                <w:rFonts w:ascii="微软雅黑" w:hAnsi="微软雅黑" w:eastAsia="微软雅黑"/>
                <w:sz w:val="18"/>
              </w:rPr>
              <w:t>维护 expert_review_log.csv 并分批更新状态。</w:t>
            </w:r>
          </w:p>
        </w:tc>
      </w:tr>
      <w:tr w14:paraId="09EED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1EF22C0B">
            <w:pPr>
              <w:spacing w:after="0" w:line="264" w:lineRule="auto"/>
            </w:pPr>
            <w:r>
              <w:rPr>
                <w:rFonts w:ascii="微软雅黑" w:hAnsi="微软雅黑" w:eastAsia="微软雅黑"/>
                <w:sz w:val="18"/>
              </w:rPr>
              <w:t>source_url 精确度不足</w:t>
            </w:r>
          </w:p>
        </w:tc>
        <w:tc>
          <w:tcPr>
            <w:tcW w:w="1666" w:type="pct"/>
            <w:tcMar>
              <w:top w:w="80" w:type="dxa"/>
              <w:left w:w="120" w:type="dxa"/>
              <w:bottom w:w="80" w:type="dxa"/>
              <w:right w:w="120" w:type="dxa"/>
            </w:tcMar>
            <w:vAlign w:val="center"/>
          </w:tcPr>
          <w:p w14:paraId="533C11CA">
            <w:pPr>
              <w:spacing w:after="0" w:line="264" w:lineRule="auto"/>
            </w:pPr>
            <w:r>
              <w:rPr>
                <w:rFonts w:ascii="微软雅黑" w:hAnsi="微软雅黑" w:eastAsia="微软雅黑"/>
                <w:sz w:val="18"/>
              </w:rPr>
              <w:t>正式引用时可能难以直接定位原文。</w:t>
            </w:r>
          </w:p>
        </w:tc>
        <w:tc>
          <w:tcPr>
            <w:tcW w:w="1666" w:type="pct"/>
            <w:tcMar>
              <w:top w:w="80" w:type="dxa"/>
              <w:left w:w="120" w:type="dxa"/>
              <w:bottom w:w="80" w:type="dxa"/>
              <w:right w:w="120" w:type="dxa"/>
            </w:tcMar>
            <w:vAlign w:val="center"/>
          </w:tcPr>
          <w:p w14:paraId="4F8F7172">
            <w:pPr>
              <w:spacing w:after="0" w:line="264" w:lineRule="auto"/>
            </w:pPr>
            <w:r>
              <w:rPr>
                <w:rFonts w:ascii="微软雅黑" w:hAnsi="微软雅黑" w:eastAsia="微软雅黑"/>
                <w:sz w:val="18"/>
              </w:rPr>
              <w:t>补充外部原始链接，区分 source_url 与 source_file。</w:t>
            </w:r>
          </w:p>
        </w:tc>
      </w:tr>
      <w:tr w14:paraId="45C4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39A14CD9">
            <w:pPr>
              <w:spacing w:after="0" w:line="264" w:lineRule="auto"/>
            </w:pPr>
            <w:r>
              <w:rPr>
                <w:rFonts w:ascii="微软雅黑" w:hAnsi="微软雅黑" w:eastAsia="微软雅黑"/>
                <w:sz w:val="18"/>
              </w:rPr>
              <w:t>前端节点拥挤</w:t>
            </w:r>
          </w:p>
        </w:tc>
        <w:tc>
          <w:tcPr>
            <w:tcW w:w="1666" w:type="pct"/>
            <w:tcMar>
              <w:top w:w="80" w:type="dxa"/>
              <w:left w:w="120" w:type="dxa"/>
              <w:bottom w:w="80" w:type="dxa"/>
              <w:right w:w="120" w:type="dxa"/>
            </w:tcMar>
            <w:vAlign w:val="center"/>
          </w:tcPr>
          <w:p w14:paraId="60FBD821">
            <w:pPr>
              <w:spacing w:after="0" w:line="264" w:lineRule="auto"/>
            </w:pPr>
            <w:r>
              <w:rPr>
                <w:rFonts w:ascii="微软雅黑" w:hAnsi="微软雅黑" w:eastAsia="微软雅黑"/>
                <w:sz w:val="18"/>
              </w:rPr>
              <w:t>全量展示时可读性下降。</w:t>
            </w:r>
          </w:p>
        </w:tc>
        <w:tc>
          <w:tcPr>
            <w:tcW w:w="1666" w:type="pct"/>
            <w:tcMar>
              <w:top w:w="80" w:type="dxa"/>
              <w:left w:w="120" w:type="dxa"/>
              <w:bottom w:w="80" w:type="dxa"/>
              <w:right w:w="120" w:type="dxa"/>
            </w:tcMar>
            <w:vAlign w:val="center"/>
          </w:tcPr>
          <w:p w14:paraId="408CC9B3">
            <w:pPr>
              <w:spacing w:after="0" w:line="264" w:lineRule="auto"/>
            </w:pPr>
            <w:r>
              <w:rPr>
                <w:rFonts w:ascii="微软雅黑" w:hAnsi="微软雅黑" w:eastAsia="微软雅黑"/>
                <w:sz w:val="18"/>
              </w:rPr>
              <w:t>继续优化布局、筛选、社区聚合和截图模式。</w:t>
            </w:r>
          </w:p>
        </w:tc>
      </w:tr>
      <w:tr w14:paraId="52ED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Mar>
              <w:top w:w="80" w:type="dxa"/>
              <w:left w:w="120" w:type="dxa"/>
              <w:bottom w:w="80" w:type="dxa"/>
              <w:right w:w="120" w:type="dxa"/>
            </w:tcMar>
            <w:vAlign w:val="center"/>
          </w:tcPr>
          <w:p w14:paraId="21BD16EE">
            <w:pPr>
              <w:spacing w:after="0" w:line="264" w:lineRule="auto"/>
            </w:pPr>
            <w:r>
              <w:rPr>
                <w:rFonts w:ascii="微软雅黑" w:hAnsi="微软雅黑" w:eastAsia="微软雅黑"/>
                <w:sz w:val="18"/>
              </w:rPr>
              <w:t>问答评测未量化</w:t>
            </w:r>
          </w:p>
        </w:tc>
        <w:tc>
          <w:tcPr>
            <w:tcW w:w="1666" w:type="pct"/>
            <w:tcMar>
              <w:top w:w="80" w:type="dxa"/>
              <w:left w:w="120" w:type="dxa"/>
              <w:bottom w:w="80" w:type="dxa"/>
              <w:right w:w="120" w:type="dxa"/>
            </w:tcMar>
            <w:vAlign w:val="center"/>
          </w:tcPr>
          <w:p w14:paraId="6A77956F">
            <w:pPr>
              <w:spacing w:after="0" w:line="264" w:lineRule="auto"/>
            </w:pPr>
            <w:r>
              <w:rPr>
                <w:rFonts w:ascii="微软雅黑" w:hAnsi="微软雅黑" w:eastAsia="微软雅黑"/>
                <w:sz w:val="18"/>
              </w:rPr>
              <w:t>无法证明问答链条效果。</w:t>
            </w:r>
          </w:p>
        </w:tc>
        <w:tc>
          <w:tcPr>
            <w:tcW w:w="1666" w:type="pct"/>
            <w:tcMar>
              <w:top w:w="80" w:type="dxa"/>
              <w:left w:w="120" w:type="dxa"/>
              <w:bottom w:w="80" w:type="dxa"/>
              <w:right w:w="120" w:type="dxa"/>
            </w:tcMar>
            <w:vAlign w:val="center"/>
          </w:tcPr>
          <w:p w14:paraId="3F919678">
            <w:pPr>
              <w:spacing w:after="0" w:line="264" w:lineRule="auto"/>
            </w:pPr>
            <w:r>
              <w:rPr>
                <w:rFonts w:ascii="微软雅黑" w:hAnsi="微软雅黑" w:eastAsia="微软雅黑"/>
                <w:sz w:val="18"/>
              </w:rPr>
              <w:t>基于 qa_evaluation_set.csv 设计人工评分表。</w:t>
            </w:r>
          </w:p>
        </w:tc>
      </w:tr>
    </w:tbl>
    <w:p w14:paraId="3F2BFD9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该表将当前成果的风险写明，避免把课程实践图谱表述为完全成熟系统。改进措施均围绕已有文件和流程展开，具有可执行性。</w:t>
      </w:r>
    </w:p>
    <w:p w14:paraId="079A9E42">
      <w:pPr>
        <w:pStyle w:val="3"/>
        <w:numPr>
          <w:ilvl w:val="0"/>
          <w:numId w:val="2"/>
        </w:numPr>
        <w:ind w:left="0" w:leftChars="0" w:firstLine="0" w:firstLineChars="0"/>
        <w:rPr>
          <w:b w:val="0"/>
        </w:rPr>
      </w:pPr>
      <w:bookmarkStart w:id="38" w:name="_Toc2988"/>
      <w:r>
        <w:t>总结与展望</w:t>
      </w:r>
      <w:bookmarkEnd w:id="38"/>
    </w:p>
    <w:p w14:paraId="44CDC1F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本报告完成了从资料基础、GraphRAG 理论框架到图谱构建实现、前端展示和结果分析的整体说明。报告内部按照两名成员分工拆分为两部分，既保留统一实验报告的完整性，也明确区分资料设计与工程实现两个层次。</w:t>
      </w:r>
    </w:p>
    <w:p w14:paraId="491A3452">
      <w:pPr>
        <w:pStyle w:val="4"/>
        <w:numPr>
          <w:ilvl w:val="0"/>
          <w:numId w:val="6"/>
        </w:numPr>
        <w:ind w:left="0" w:leftChars="0" w:firstLine="0" w:firstLineChars="0"/>
        <w:rPr>
          <w:b w:val="0"/>
        </w:rPr>
      </w:pPr>
      <w:bookmarkStart w:id="39" w:name="_Toc24846"/>
      <w:r>
        <w:t>两名成员工作成果总结</w:t>
      </w:r>
      <w:bookmarkEnd w:id="39"/>
    </w:p>
    <w:p w14:paraId="0E49E1B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翁存负责的第一部分完成了研究背景、资料来源、数据基座、GraphRAG 方法、本体层、关系层、证据追溯机制和地震灾害 AI 技术体系分析。该部分的核心贡献是说明为什么要以地震灾害为统一尺度，以及为什么要用 GraphRAG 和证据图谱组织 AI 防灾减灾资料。</w:t>
      </w:r>
    </w:p>
    <w:p w14:paraId="1C4B322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成雕负责的第二部分完成了系统目录组织、索引重建、实体关系抽取、证据边绑定、社区报告生成、多格式导出、前端 atlas 发布、交互图谱展示和测试分析。该部分的核心贡献是把第一部分的设计转化为可查看、可统计、可提交的工程成果。</w:t>
      </w:r>
    </w:p>
    <w:p w14:paraId="3D8DF946">
      <w:pPr>
        <w:pStyle w:val="4"/>
        <w:numPr>
          <w:ilvl w:val="0"/>
          <w:numId w:val="6"/>
        </w:numPr>
        <w:ind w:left="0" w:leftChars="0" w:firstLine="0" w:firstLineChars="0"/>
        <w:rPr>
          <w:b w:val="0"/>
        </w:rPr>
      </w:pPr>
      <w:bookmarkStart w:id="40" w:name="_Toc26841"/>
      <w:r>
        <w:t>项目创新点与课程实践价值</w:t>
      </w:r>
      <w:bookmarkEnd w:id="40"/>
    </w:p>
    <w:p w14:paraId="4C2A39F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本项目的创新点主要体现在三个方面。第一，将地震灾害作为统一研究尺度，避免泛泛讨论多种灾害而缺少深度；第二，把 GraphRAG 思路落到实体、关系、声明、证据边和社区报告等具体文件中；第三，建设前端交互图谱，使课程成果不仅能在报告中说明，也能通过页面点击和证据卡片展示。</w:t>
      </w:r>
    </w:p>
    <w:p w14:paraId="7E9C642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从课程实践角度看，本项目覆盖了自然语言处理中的文本预处理、信息抽取、知识组织、检索增强和可视化展示等环节。虽然没有训练新的模型，但完成了从语料到图谱再到前端的可复现链条，能够体现 NLP 工程实践的完整性。</w:t>
      </w:r>
    </w:p>
    <w:p w14:paraId="0CD14F50">
      <w:pPr>
        <w:pStyle w:val="4"/>
        <w:numPr>
          <w:ilvl w:val="0"/>
          <w:numId w:val="6"/>
        </w:numPr>
        <w:ind w:left="0" w:leftChars="0" w:firstLine="0" w:firstLineChars="0"/>
        <w:rPr>
          <w:b w:val="0"/>
        </w:rPr>
      </w:pPr>
      <w:bookmarkStart w:id="41" w:name="_Toc32530"/>
      <w:r>
        <w:t>当前不足</w:t>
      </w:r>
      <w:bookmarkEnd w:id="41"/>
    </w:p>
    <w:p w14:paraId="748E972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当前不足主要来自资料质量、抽取方法和复核深度。资料方面，部分来源链接仍需进一步精确化；抽取方面，规则方法对复杂句式和跨句关系的处理能力有限；复核方面，所有关系仍为待复核，尚未形成专家审定结果；展示方面，全量图谱在节点较多时仍需依赖布局和筛选优化。</w:t>
      </w:r>
    </w:p>
    <w:p w14:paraId="60E6C45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这些不足不会否定当前成果，但决定了成果使用边界。当前图谱适合作为课程报告、方法展示和后续迭代基础，不适合直接作为正式灾害应急知识库投入业务使用。</w:t>
      </w:r>
    </w:p>
    <w:p w14:paraId="67A27D16">
      <w:pPr>
        <w:pStyle w:val="4"/>
        <w:numPr>
          <w:ilvl w:val="0"/>
          <w:numId w:val="6"/>
        </w:numPr>
        <w:ind w:left="0" w:leftChars="0" w:firstLine="0" w:firstLineChars="0"/>
        <w:rPr>
          <w:b w:val="0"/>
        </w:rPr>
      </w:pPr>
      <w:bookmarkStart w:id="42" w:name="_Toc9038"/>
      <w:r>
        <w:t>后续改进方向</w:t>
      </w:r>
      <w:bookmarkEnd w:id="42"/>
    </w:p>
    <w:p w14:paraId="288B1BD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后续改进可以从五个方向展开。第一，引入 LLM 辅助候选抽取和关系校对，但保留人工复核机制；第二，完善 source_url 字段，把来源链接精确到具体网页、论文页、项目页或标准页；第三，使用 Neo4j 设计查询样例，验证图谱在技术检索和证据追溯中的实用性；第四，基于 qa_evaluation_set.csv 建立问答评测表；第五，继续接入真实地震事件数据、遥感数据和灾情报告，形成动态更新图谱。</w:t>
      </w:r>
    </w:p>
    <w:p w14:paraId="13FAD50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总体而言，本项目已经完成课程实践所需的主要成果：资料整理、文本切块、实体抽取、关系抽取、证据绑定、GraphRAG 索引、社区报告、前端交互和结果分析。后续工作的重点应从“能构建、能展示”转向“能复核、能查询、能评估”。</w:t>
      </w:r>
    </w:p>
    <w:p w14:paraId="5618B493">
      <w:pPr>
        <w:pStyle w:val="11"/>
        <w:widowControl/>
        <w:rPr>
          <w:rFonts w:ascii="Times New Roman" w:hAnsi="Times New Roman" w:eastAsia="宋体" w:cs="Times New Roman"/>
          <w:sz w:val="24"/>
          <w:szCs w:val="24"/>
        </w:rPr>
      </w:pPr>
    </w:p>
    <w:p w14:paraId="0F538A24">
      <w:pPr>
        <w:pStyle w:val="25"/>
      </w:pPr>
      <w:bookmarkStart w:id="43" w:name="_Toc29396"/>
      <w:bookmarkStart w:id="44" w:name="_Toc813844356"/>
      <w:r>
        <w:t>参考文献</w:t>
      </w:r>
      <w:bookmarkEnd w:id="43"/>
      <w:bookmarkEnd w:id="44"/>
    </w:p>
    <w:p w14:paraId="7AAEAA40">
      <w:pPr>
        <w:pStyle w:val="18"/>
        <w:keepNext w:val="0"/>
        <w:keepLines w:val="0"/>
        <w:widowControl/>
        <w:numPr>
          <w:ilvl w:val="0"/>
          <w:numId w:val="7"/>
        </w:numPr>
        <w:suppressLineNumbers w:val="0"/>
      </w:pPr>
      <w:r>
        <w:t xml:space="preserve">GIVEN D D, ALLEN R M, BALTAY A S, et al. Revised technical implementation plan for the ShakeAlert system: an earthquake early warning system for the West Coast of the United States[R/OL]. Reston: U.S. Geological Survey, 2018[2026-06-24]. </w:t>
      </w:r>
      <w:r>
        <w:fldChar w:fldCharType="begin"/>
      </w:r>
      <w:r>
        <w:instrText xml:space="preserve"> HYPERLINK "https://doi.org/10.3133/ofr20181155" </w:instrText>
      </w:r>
      <w:r>
        <w:fldChar w:fldCharType="separate"/>
      </w:r>
      <w:r>
        <w:rPr>
          <w:rStyle w:val="23"/>
        </w:rPr>
        <w:t>https://doi.org/10.3133/ofr20181155</w:t>
      </w:r>
      <w:r>
        <w:fldChar w:fldCharType="end"/>
      </w:r>
      <w:r>
        <w:t>.</w:t>
      </w:r>
    </w:p>
    <w:p w14:paraId="72433BDF">
      <w:pPr>
        <w:pStyle w:val="18"/>
        <w:keepNext w:val="0"/>
        <w:keepLines w:val="0"/>
        <w:widowControl/>
        <w:suppressLineNumbers w:val="0"/>
      </w:pPr>
      <w:r>
        <w:t xml:space="preserve">[2] WALD D, WALD L, WORDEN B, et al. ShakeMap, a tool for earthquake response[R/OL]. Reston: U.S. Geological Survey, 2003[2026-06-24]. </w:t>
      </w:r>
      <w:r>
        <w:fldChar w:fldCharType="begin"/>
      </w:r>
      <w:r>
        <w:instrText xml:space="preserve"> HYPERLINK "https://doi.org/10.3133/fs08703" </w:instrText>
      </w:r>
      <w:r>
        <w:fldChar w:fldCharType="separate"/>
      </w:r>
      <w:r>
        <w:rPr>
          <w:rStyle w:val="23"/>
        </w:rPr>
        <w:t>https://doi.org/10.3133/fs08703</w:t>
      </w:r>
      <w:r>
        <w:fldChar w:fldCharType="end"/>
      </w:r>
      <w:r>
        <w:t>.</w:t>
      </w:r>
    </w:p>
    <w:p w14:paraId="7AF8FC78">
      <w:pPr>
        <w:pStyle w:val="18"/>
        <w:keepNext w:val="0"/>
        <w:keepLines w:val="0"/>
        <w:widowControl/>
        <w:suppressLineNumbers w:val="0"/>
      </w:pPr>
      <w:r>
        <w:t xml:space="preserve">[3] EARLE P S, WALD D J, JAISWAL K, et al. Prompt Assessment of Global Earthquakes for Response (PAGER): a system for rapidly determining the impact of earthquakes worldwide[R/OL]. Reston: U.S. Geological Survey, 2009[2026-06-24]. </w:t>
      </w:r>
      <w:r>
        <w:fldChar w:fldCharType="begin"/>
      </w:r>
      <w:r>
        <w:instrText xml:space="preserve"> HYPERLINK "https://doi.org/10.3133/ofr20091131" </w:instrText>
      </w:r>
      <w:r>
        <w:fldChar w:fldCharType="separate"/>
      </w:r>
      <w:r>
        <w:rPr>
          <w:rStyle w:val="23"/>
        </w:rPr>
        <w:t>https://doi.org/10.3133/ofr20091131</w:t>
      </w:r>
      <w:r>
        <w:fldChar w:fldCharType="end"/>
      </w:r>
      <w:r>
        <w:t>.</w:t>
      </w:r>
    </w:p>
    <w:p w14:paraId="4092832D">
      <w:pPr>
        <w:pStyle w:val="18"/>
        <w:keepNext w:val="0"/>
        <w:keepLines w:val="0"/>
        <w:widowControl/>
        <w:suppressLineNumbers w:val="0"/>
      </w:pPr>
      <w:r>
        <w:t xml:space="preserve">[4] GUPTA R, GOODMAN B, PATEL N, et al. Creating xBD: a dataset for assessing building damage from satellite imagery[C/OL]//Proceedings of the IEEE/CVF Conference on Computer Vision and Pattern Recognition Workshops. 2019: 10-17[2026-06-24]. </w:t>
      </w:r>
      <w:r>
        <w:fldChar w:fldCharType="begin"/>
      </w:r>
      <w:r>
        <w:instrText xml:space="preserve"> HYPERLINK "https://openaccess.thecvf.com/content_CVPRW_2019/html/cv4gc/Gupta_Creating_xBD_A_Dataset_for_Assessing_Building_Damage_from_Satellite_CVPRW_2019_paper.html" </w:instrText>
      </w:r>
      <w:r>
        <w:fldChar w:fldCharType="separate"/>
      </w:r>
      <w:r>
        <w:rPr>
          <w:rStyle w:val="23"/>
        </w:rPr>
        <w:t>https://openaccess.thecvf.com/content_CVPRW_2019/html/cv4gc/Gupta_Creating_xBD_A_Dataset_for_Assessing_Building_Damage_from_Satellite_CVPRW_2019_paper.html</w:t>
      </w:r>
      <w:r>
        <w:fldChar w:fldCharType="end"/>
      </w:r>
      <w:r>
        <w:t>.</w:t>
      </w:r>
    </w:p>
    <w:p w14:paraId="2EFBA460">
      <w:pPr>
        <w:pStyle w:val="18"/>
        <w:keepNext w:val="0"/>
        <w:keepLines w:val="0"/>
        <w:widowControl/>
        <w:suppressLineNumbers w:val="0"/>
      </w:pPr>
      <w:r>
        <w:t xml:space="preserve">[5] Defense Innovation Unit. xView Computer Vision Challenge Series[EB/OL]. [2026-06-24]. </w:t>
      </w:r>
      <w:r>
        <w:fldChar w:fldCharType="begin"/>
      </w:r>
      <w:r>
        <w:instrText xml:space="preserve"> HYPERLINK "https://www.diu.mil/ai-xview-challenge" </w:instrText>
      </w:r>
      <w:r>
        <w:fldChar w:fldCharType="separate"/>
      </w:r>
      <w:r>
        <w:rPr>
          <w:rStyle w:val="23"/>
        </w:rPr>
        <w:t>https://www.diu.mil/ai-xview-challenge</w:t>
      </w:r>
      <w:r>
        <w:fldChar w:fldCharType="end"/>
      </w:r>
      <w:r>
        <w:t>.</w:t>
      </w:r>
    </w:p>
    <w:p w14:paraId="59E1A5D3">
      <w:pPr>
        <w:pStyle w:val="18"/>
        <w:keepNext w:val="0"/>
        <w:keepLines w:val="0"/>
        <w:widowControl/>
        <w:suppressLineNumbers w:val="0"/>
      </w:pPr>
      <w:r>
        <w:t xml:space="preserve">[6] Copernicus Emergency Management Service. Copernicus Emergency Management Service: On Demand Mapping[EB/OL]. [2026-06-24]. </w:t>
      </w:r>
      <w:r>
        <w:fldChar w:fldCharType="begin"/>
      </w:r>
      <w:r>
        <w:instrText xml:space="preserve"> HYPERLINK "https://mapping.emergency.copernicus.eu/" </w:instrText>
      </w:r>
      <w:r>
        <w:fldChar w:fldCharType="separate"/>
      </w:r>
      <w:r>
        <w:rPr>
          <w:rStyle w:val="23"/>
        </w:rPr>
        <w:t>https://mapping.emergency.copernicus.eu/</w:t>
      </w:r>
      <w:r>
        <w:fldChar w:fldCharType="end"/>
      </w:r>
      <w:r>
        <w:t>.</w:t>
      </w:r>
    </w:p>
    <w:p w14:paraId="542817D7">
      <w:pPr>
        <w:pStyle w:val="18"/>
        <w:keepNext w:val="0"/>
        <w:keepLines w:val="0"/>
        <w:widowControl/>
        <w:suppressLineNumbers w:val="0"/>
      </w:pPr>
      <w:r>
        <w:t xml:space="preserve">[7] Humanitarian OpenStreetMap Team. Humanitarian OpenStreetMap Team[EB/OL]. [2026-06-24]. </w:t>
      </w:r>
      <w:r>
        <w:fldChar w:fldCharType="begin"/>
      </w:r>
      <w:r>
        <w:instrText xml:space="preserve"> HYPERLINK "https://www.hotosm.org/en/" </w:instrText>
      </w:r>
      <w:r>
        <w:fldChar w:fldCharType="separate"/>
      </w:r>
      <w:r>
        <w:rPr>
          <w:rStyle w:val="23"/>
        </w:rPr>
        <w:t>https://www.hotosm.org/en/</w:t>
      </w:r>
      <w:r>
        <w:fldChar w:fldCharType="end"/>
      </w:r>
      <w:r>
        <w:t>.</w:t>
      </w:r>
    </w:p>
    <w:p w14:paraId="6BA06962">
      <w:pPr>
        <w:pStyle w:val="18"/>
        <w:keepNext w:val="0"/>
        <w:keepLines w:val="0"/>
        <w:widowControl/>
        <w:suppressLineNumbers w:val="0"/>
      </w:pPr>
      <w:r>
        <w:t xml:space="preserve">[8] ReliefWeb. ReliefWeb: informing humanitarians worldwide[EB/OL]. [2026-06-24]. </w:t>
      </w:r>
      <w:r>
        <w:fldChar w:fldCharType="begin"/>
      </w:r>
      <w:r>
        <w:instrText xml:space="preserve"> HYPERLINK "https://reliefweb.int/" </w:instrText>
      </w:r>
      <w:r>
        <w:fldChar w:fldCharType="separate"/>
      </w:r>
      <w:r>
        <w:rPr>
          <w:rStyle w:val="23"/>
        </w:rPr>
        <w:t>https://reliefweb.int/</w:t>
      </w:r>
      <w:r>
        <w:fldChar w:fldCharType="end"/>
      </w:r>
      <w:r>
        <w:t>.</w:t>
      </w:r>
    </w:p>
    <w:p w14:paraId="74A05666">
      <w:pPr>
        <w:pStyle w:val="18"/>
        <w:keepNext w:val="0"/>
        <w:keepLines w:val="0"/>
        <w:widowControl/>
        <w:suppressLineNumbers w:val="0"/>
      </w:pPr>
      <w:r>
        <w:t xml:space="preserve">[9] United Nations Office for Disaster Risk Reduction. Sendai Framework for Disaster Risk Reduction 2015-2030[R/OL]. Geneva: United Nations Office for Disaster Risk Reduction, 2015[2026-06-24]. </w:t>
      </w:r>
      <w:r>
        <w:fldChar w:fldCharType="begin"/>
      </w:r>
      <w:r>
        <w:instrText xml:space="preserve"> HYPERLINK "https://www.undrr.org/publication/sendai-framework-disaster-risk-reduction-2015-2030" </w:instrText>
      </w:r>
      <w:r>
        <w:fldChar w:fldCharType="separate"/>
      </w:r>
      <w:r>
        <w:rPr>
          <w:rStyle w:val="23"/>
        </w:rPr>
        <w:t>https://www.undrr.org/publication/sendai-framework-disaster-risk-reduction-2015-2030</w:t>
      </w:r>
      <w:r>
        <w:fldChar w:fldCharType="end"/>
      </w:r>
      <w:r>
        <w:t>.</w:t>
      </w:r>
    </w:p>
    <w:p w14:paraId="6354467E">
      <w:pPr>
        <w:pStyle w:val="18"/>
        <w:keepNext w:val="0"/>
        <w:keepLines w:val="0"/>
        <w:widowControl/>
        <w:suppressLineNumbers w:val="0"/>
      </w:pPr>
      <w:r>
        <w:t xml:space="preserve">[10] International Organization for Standardization. ISO 22320:2018 Security and resilience: emergency management: guidelines for incident management[S/OL]. Geneva: ISO, 2018[2026-06-24]. </w:t>
      </w:r>
      <w:r>
        <w:fldChar w:fldCharType="begin"/>
      </w:r>
      <w:r>
        <w:instrText xml:space="preserve"> HYPERLINK "https://www.iso.org/standard/67851.html" </w:instrText>
      </w:r>
      <w:r>
        <w:fldChar w:fldCharType="separate"/>
      </w:r>
      <w:r>
        <w:rPr>
          <w:rStyle w:val="23"/>
        </w:rPr>
        <w:t>https://www.iso.org/standard/67851.html</w:t>
      </w:r>
      <w:r>
        <w:fldChar w:fldCharType="end"/>
      </w:r>
      <w:r>
        <w:t>.</w:t>
      </w:r>
    </w:p>
    <w:p w14:paraId="65A2E8E6">
      <w:pPr>
        <w:pStyle w:val="18"/>
        <w:keepNext w:val="0"/>
        <w:keepLines w:val="0"/>
        <w:widowControl/>
        <w:suppressLineNumbers w:val="0"/>
      </w:pPr>
      <w:r>
        <w:t xml:space="preserve">[11] SILVA V, CROWLEY H, PAGANI M, et al. Development of the OpenQuake engine, the Global Earthquake Model's open-source software for seismic risk assessment[J]. Natural Hazards, 2014, 72(3): 1409-1427. </w:t>
      </w:r>
      <w:r>
        <w:fldChar w:fldCharType="begin"/>
      </w:r>
      <w:r>
        <w:instrText xml:space="preserve"> HYPERLINK "https://doi.org/10.1007/s11069-013-0618-x" </w:instrText>
      </w:r>
      <w:r>
        <w:fldChar w:fldCharType="separate"/>
      </w:r>
      <w:r>
        <w:rPr>
          <w:rStyle w:val="23"/>
        </w:rPr>
        <w:t>https://doi.org/10.1007/s11069-013-0618-x</w:t>
      </w:r>
      <w:r>
        <w:fldChar w:fldCharType="end"/>
      </w:r>
      <w:r>
        <w:t>.</w:t>
      </w:r>
    </w:p>
    <w:p w14:paraId="246AC4ED">
      <w:pPr>
        <w:pStyle w:val="18"/>
        <w:keepNext w:val="0"/>
        <w:keepLines w:val="0"/>
        <w:widowControl/>
        <w:suppressLineNumbers w:val="0"/>
      </w:pPr>
      <w:r>
        <w:t xml:space="preserve">[12] Federal Emergency Management Agency. Hazus[EB/OL]. [2026-06-24]. </w:t>
      </w:r>
      <w:r>
        <w:fldChar w:fldCharType="begin"/>
      </w:r>
      <w:r>
        <w:instrText xml:space="preserve"> HYPERLINK "https://msc.fema.gov/portal/resources/hazus" </w:instrText>
      </w:r>
      <w:r>
        <w:fldChar w:fldCharType="separate"/>
      </w:r>
      <w:r>
        <w:rPr>
          <w:rStyle w:val="23"/>
        </w:rPr>
        <w:t>https://msc.fema.gov/portal/resources/hazus</w:t>
      </w:r>
      <w:r>
        <w:fldChar w:fldCharType="end"/>
      </w:r>
      <w:r>
        <w:t>.</w:t>
      </w:r>
    </w:p>
    <w:p w14:paraId="12DFEF7B">
      <w:pPr>
        <w:pStyle w:val="18"/>
        <w:keepNext w:val="0"/>
        <w:keepLines w:val="0"/>
        <w:widowControl/>
        <w:suppressLineNumbers w:val="0"/>
      </w:pPr>
      <w:r>
        <w:t xml:space="preserve">[13] KONG Q, ALLEN R M, SCHREIER L, et al. MyShake: a smartphone seismic network for earthquake early warning and beyond[J]. Science Advances, 2016, 2(2): e1501055. </w:t>
      </w:r>
      <w:r>
        <w:fldChar w:fldCharType="begin"/>
      </w:r>
      <w:r>
        <w:instrText xml:space="preserve"> HYPERLINK "https://doi.org/10.1126/sciadv.1501055" </w:instrText>
      </w:r>
      <w:r>
        <w:fldChar w:fldCharType="separate"/>
      </w:r>
      <w:r>
        <w:rPr>
          <w:rStyle w:val="23"/>
        </w:rPr>
        <w:t>https://doi.org/10.1126/sciadv.1501055</w:t>
      </w:r>
      <w:r>
        <w:fldChar w:fldCharType="end"/>
      </w:r>
      <w:r>
        <w:t>.</w:t>
      </w:r>
    </w:p>
    <w:p w14:paraId="11922013">
      <w:pPr>
        <w:pStyle w:val="18"/>
        <w:keepNext w:val="0"/>
        <w:keepLines w:val="0"/>
        <w:widowControl/>
        <w:suppressLineNumbers w:val="0"/>
      </w:pPr>
      <w:r>
        <w:t xml:space="preserve">[14] Global Facility for Disaster Reduction and Recovery. Machine Learning for Disaster Risk Management[R/OL]. Washington, DC: Global Facility for Disaster Reduction and Recovery, 2018[2026-06-24]. </w:t>
      </w:r>
      <w:r>
        <w:fldChar w:fldCharType="begin"/>
      </w:r>
      <w:r>
        <w:instrText xml:space="preserve"> HYPERLINK "https://www.gfdrr.org/en/publication/machine-learning-disaster-risk-management" </w:instrText>
      </w:r>
      <w:r>
        <w:fldChar w:fldCharType="separate"/>
      </w:r>
      <w:r>
        <w:rPr>
          <w:rStyle w:val="23"/>
        </w:rPr>
        <w:t>https://www.gfdrr.org/en/publication/machine-learning-disaster-risk-management</w:t>
      </w:r>
      <w:r>
        <w:fldChar w:fldCharType="end"/>
      </w:r>
      <w:r>
        <w:t>.</w:t>
      </w:r>
    </w:p>
    <w:p w14:paraId="13503C33">
      <w:pPr>
        <w:pStyle w:val="18"/>
        <w:keepNext w:val="0"/>
        <w:keepLines w:val="0"/>
        <w:widowControl/>
        <w:suppressLineNumbers w:val="0"/>
      </w:pPr>
      <w:r>
        <w:t xml:space="preserve">[15] Global Facility for Disaster Reduction and Recovery. Responsible Artificial Intelligence for Disaster Risk Management[R/OL]. Washington, DC: Global Facility for Disaster Reduction and Recovery, 2021[2026-06-24]. </w:t>
      </w:r>
      <w:r>
        <w:fldChar w:fldCharType="begin"/>
      </w:r>
      <w:r>
        <w:instrText xml:space="preserve"> HYPERLINK "https://www.gfdrr.org/en/publication/responsible-artificial-intelligence-disaster-risk-management" </w:instrText>
      </w:r>
      <w:r>
        <w:fldChar w:fldCharType="separate"/>
      </w:r>
      <w:r>
        <w:rPr>
          <w:rStyle w:val="23"/>
        </w:rPr>
        <w:t>https://www.gfdrr.org/en/publication/responsible-artificial-intelligence-disaster-risk-management</w:t>
      </w:r>
      <w:r>
        <w:fldChar w:fldCharType="end"/>
      </w:r>
      <w:r>
        <w:t>.</w:t>
      </w:r>
    </w:p>
    <w:p w14:paraId="4FEABA98">
      <w:pPr>
        <w:pStyle w:val="18"/>
        <w:keepNext w:val="0"/>
        <w:keepLines w:val="0"/>
        <w:widowControl/>
        <w:suppressLineNumbers w:val="0"/>
      </w:pPr>
    </w:p>
    <w:p w14:paraId="579126E6">
      <w:pPr>
        <w:pStyle w:val="19"/>
        <w:widowControl/>
      </w:pPr>
      <w:r>
        <w:t>附录 A 主要成果文件清单</w:t>
      </w:r>
    </w:p>
    <w:p w14:paraId="7F454158">
      <w:pPr>
        <w:pStyle w:val="19"/>
        <w:widowControl/>
      </w:pPr>
      <w:r>
        <w:t>附录表 A-1 主要成果文件清单</w:t>
      </w:r>
    </w:p>
    <w:tbl>
      <w:tblPr>
        <w:tblStyle w:val="2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80"/>
        <w:gridCol w:w="6142"/>
      </w:tblGrid>
      <w:tr w14:paraId="0A4BB8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8EEF5"/>
            <w:noWrap w:val="0"/>
            <w:tcMar>
              <w:top w:w="80" w:type="dxa"/>
              <w:left w:w="120" w:type="dxa"/>
              <w:bottom w:w="80" w:type="dxa"/>
              <w:right w:w="120" w:type="dxa"/>
            </w:tcMar>
            <w:vAlign w:val="center"/>
          </w:tcPr>
          <w:p w14:paraId="2FDBFA07">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文件名</w:t>
            </w:r>
          </w:p>
        </w:tc>
        <w:tc>
          <w:tcPr>
            <w:tcW w:w="6142" w:type="dxa"/>
            <w:tcBorders>
              <w:top w:val="single" w:color="auto" w:sz="12" w:space="0"/>
              <w:left w:val="nil"/>
              <w:bottom w:val="nil"/>
              <w:right w:val="nil"/>
            </w:tcBorders>
            <w:shd w:val="clear" w:color="auto" w:fill="E8EEF5"/>
            <w:noWrap w:val="0"/>
            <w:tcMar>
              <w:top w:w="80" w:type="dxa"/>
              <w:left w:w="120" w:type="dxa"/>
              <w:bottom w:w="80" w:type="dxa"/>
              <w:right w:w="120" w:type="dxa"/>
            </w:tcMar>
            <w:vAlign w:val="center"/>
          </w:tcPr>
          <w:p w14:paraId="6F83E025">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作用</w:t>
            </w:r>
          </w:p>
        </w:tc>
      </w:tr>
      <w:tr w14:paraId="2BB59C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80" w:type="dxa"/>
              <w:left w:w="120" w:type="dxa"/>
              <w:bottom w:w="80" w:type="dxa"/>
              <w:right w:w="120" w:type="dxa"/>
            </w:tcMar>
            <w:vAlign w:val="center"/>
          </w:tcPr>
          <w:p w14:paraId="1354B8D2">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graph_nodes.csv</w:t>
            </w:r>
          </w:p>
        </w:tc>
        <w:tc>
          <w:tcPr>
            <w:tcW w:w="6142" w:type="dxa"/>
            <w:tcBorders>
              <w:top w:val="single" w:color="auto" w:sz="4" w:space="0"/>
              <w:left w:val="nil"/>
              <w:bottom w:val="nil"/>
              <w:right w:val="nil"/>
            </w:tcBorders>
            <w:noWrap w:val="0"/>
            <w:tcMar>
              <w:top w:w="80" w:type="dxa"/>
              <w:left w:w="120" w:type="dxa"/>
              <w:bottom w:w="80" w:type="dxa"/>
              <w:right w:w="120" w:type="dxa"/>
            </w:tcMar>
            <w:vAlign w:val="center"/>
          </w:tcPr>
          <w:p w14:paraId="125D9277">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图谱节点表，记录实体编号、名称、类型、社区、证据数量和复核状态。</w:t>
            </w:r>
          </w:p>
        </w:tc>
      </w:tr>
      <w:tr w14:paraId="6FB3C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77454911">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graph_edges_neo4j.csv</w:t>
            </w:r>
          </w:p>
        </w:tc>
        <w:tc>
          <w:tcPr>
            <w:tcW w:w="6142" w:type="dxa"/>
            <w:tcBorders>
              <w:top w:val="nil"/>
              <w:left w:val="nil"/>
              <w:bottom w:val="nil"/>
              <w:right w:val="nil"/>
            </w:tcBorders>
            <w:noWrap w:val="0"/>
            <w:tcMar>
              <w:top w:w="80" w:type="dxa"/>
              <w:left w:w="120" w:type="dxa"/>
              <w:bottom w:w="80" w:type="dxa"/>
              <w:right w:w="120" w:type="dxa"/>
            </w:tcMar>
            <w:vAlign w:val="center"/>
          </w:tcPr>
          <w:p w14:paraId="4B030299">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图谱关系表，记录头尾实体、关系类型、证据片段和置信度。</w:t>
            </w:r>
          </w:p>
        </w:tc>
      </w:tr>
      <w:tr w14:paraId="7AFDD2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2FA479A6">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evidence_edges.csv</w:t>
            </w:r>
          </w:p>
        </w:tc>
        <w:tc>
          <w:tcPr>
            <w:tcW w:w="6142" w:type="dxa"/>
            <w:tcBorders>
              <w:top w:val="nil"/>
              <w:left w:val="nil"/>
              <w:bottom w:val="nil"/>
              <w:right w:val="nil"/>
            </w:tcBorders>
            <w:noWrap w:val="0"/>
            <w:tcMar>
              <w:top w:w="80" w:type="dxa"/>
              <w:left w:w="120" w:type="dxa"/>
              <w:bottom w:w="80" w:type="dxa"/>
              <w:right w:w="120" w:type="dxa"/>
            </w:tcMar>
            <w:vAlign w:val="center"/>
          </w:tcPr>
          <w:p w14:paraId="6CB1A0C0">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证据边表，支撑关系边证据追溯。</w:t>
            </w:r>
          </w:p>
        </w:tc>
      </w:tr>
      <w:tr w14:paraId="65BB90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4488DA9">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community_reports.csv</w:t>
            </w:r>
          </w:p>
        </w:tc>
        <w:tc>
          <w:tcPr>
            <w:tcW w:w="6142" w:type="dxa"/>
            <w:tcBorders>
              <w:top w:val="nil"/>
              <w:left w:val="nil"/>
              <w:bottom w:val="nil"/>
              <w:right w:val="nil"/>
            </w:tcBorders>
            <w:noWrap w:val="0"/>
            <w:tcMar>
              <w:top w:w="80" w:type="dxa"/>
              <w:left w:w="120" w:type="dxa"/>
              <w:bottom w:w="80" w:type="dxa"/>
              <w:right w:w="120" w:type="dxa"/>
            </w:tcMar>
            <w:vAlign w:val="center"/>
          </w:tcPr>
          <w:p w14:paraId="4481B0CD">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社区报告表，记录技术社区主题和复核重点。</w:t>
            </w:r>
          </w:p>
        </w:tc>
      </w:tr>
      <w:tr w14:paraId="30D3EF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78F38C24">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atlas.graphml</w:t>
            </w:r>
          </w:p>
        </w:tc>
        <w:tc>
          <w:tcPr>
            <w:tcW w:w="6142" w:type="dxa"/>
            <w:tcBorders>
              <w:top w:val="nil"/>
              <w:left w:val="nil"/>
              <w:bottom w:val="nil"/>
              <w:right w:val="nil"/>
            </w:tcBorders>
            <w:noWrap w:val="0"/>
            <w:tcMar>
              <w:top w:w="80" w:type="dxa"/>
              <w:left w:w="120" w:type="dxa"/>
              <w:bottom w:w="80" w:type="dxa"/>
              <w:right w:w="120" w:type="dxa"/>
            </w:tcMar>
            <w:vAlign w:val="center"/>
          </w:tcPr>
          <w:p w14:paraId="16752317">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GraphML 格式图谱文件，便于图分析工具使用。</w:t>
            </w:r>
          </w:p>
        </w:tc>
      </w:tr>
      <w:tr w14:paraId="42B666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2BEC2EED">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neo4j_import.cypher</w:t>
            </w:r>
          </w:p>
        </w:tc>
        <w:tc>
          <w:tcPr>
            <w:tcW w:w="6142" w:type="dxa"/>
            <w:tcBorders>
              <w:top w:val="nil"/>
              <w:left w:val="nil"/>
              <w:bottom w:val="nil"/>
              <w:right w:val="nil"/>
            </w:tcBorders>
            <w:noWrap w:val="0"/>
            <w:tcMar>
              <w:top w:w="80" w:type="dxa"/>
              <w:left w:w="120" w:type="dxa"/>
              <w:bottom w:w="80" w:type="dxa"/>
              <w:right w:w="120" w:type="dxa"/>
            </w:tcMar>
            <w:vAlign w:val="center"/>
          </w:tcPr>
          <w:p w14:paraId="46C0D78B">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Neo4j 导入脚本，便于后续图数据库查询。</w:t>
            </w:r>
          </w:p>
        </w:tc>
      </w:tr>
      <w:tr w14:paraId="4E5CE0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3AEF2A2B">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atlas_quality_report.json</w:t>
            </w:r>
          </w:p>
        </w:tc>
        <w:tc>
          <w:tcPr>
            <w:tcW w:w="6142" w:type="dxa"/>
            <w:tcBorders>
              <w:top w:val="nil"/>
              <w:left w:val="nil"/>
              <w:bottom w:val="nil"/>
              <w:right w:val="nil"/>
            </w:tcBorders>
            <w:noWrap w:val="0"/>
            <w:tcMar>
              <w:top w:w="80" w:type="dxa"/>
              <w:left w:w="120" w:type="dxa"/>
              <w:bottom w:w="80" w:type="dxa"/>
              <w:right w:w="120" w:type="dxa"/>
            </w:tcMar>
            <w:vAlign w:val="center"/>
          </w:tcPr>
          <w:p w14:paraId="2298105F">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索引质量报告，记录覆盖情况、低置信度关系和质量备注。</w:t>
            </w:r>
          </w:p>
        </w:tc>
      </w:tr>
      <w:tr w14:paraId="040F1A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380" w:type="dxa"/>
            <w:tcBorders>
              <w:top w:val="nil"/>
              <w:left w:val="nil"/>
              <w:bottom w:val="single" w:color="auto" w:sz="12" w:space="0"/>
              <w:right w:val="nil"/>
            </w:tcBorders>
            <w:noWrap w:val="0"/>
            <w:tcMar>
              <w:top w:w="80" w:type="dxa"/>
              <w:left w:w="120" w:type="dxa"/>
              <w:bottom w:w="80" w:type="dxa"/>
              <w:right w:w="120" w:type="dxa"/>
            </w:tcMar>
            <w:vAlign w:val="center"/>
          </w:tcPr>
          <w:p w14:paraId="0E22FE89">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atlas_frontend.json</w:t>
            </w:r>
          </w:p>
        </w:tc>
        <w:tc>
          <w:tcPr>
            <w:tcW w:w="6142" w:type="dxa"/>
            <w:tcBorders>
              <w:top w:val="nil"/>
              <w:left w:val="nil"/>
              <w:bottom w:val="single" w:color="auto" w:sz="12" w:space="0"/>
              <w:right w:val="nil"/>
            </w:tcBorders>
            <w:noWrap w:val="0"/>
            <w:tcMar>
              <w:top w:w="80" w:type="dxa"/>
              <w:left w:w="120" w:type="dxa"/>
              <w:bottom w:w="80" w:type="dxa"/>
              <w:right w:w="120" w:type="dxa"/>
            </w:tcMar>
            <w:vAlign w:val="center"/>
          </w:tcPr>
          <w:p w14:paraId="1D990AD7">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前端图谱数据，支撑交互图谱展示。</w:t>
            </w:r>
          </w:p>
        </w:tc>
      </w:tr>
    </w:tbl>
    <w:p w14:paraId="6EF4432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该附录表汇总了提交包中最关键的成果文件。报告正文中的统计图和指标均能回到这些文件进行复核。</w:t>
      </w:r>
    </w:p>
    <w:p w14:paraId="66F109FD">
      <w:pPr>
        <w:pStyle w:val="11"/>
        <w:widowControl/>
        <w:rPr>
          <w:rFonts w:ascii="Times New Roman" w:hAnsi="Times New Roman" w:eastAsia="宋体" w:cs="Times New Roman"/>
          <w:sz w:val="24"/>
          <w:szCs w:val="24"/>
        </w:rPr>
      </w:pPr>
    </w:p>
    <w:p w14:paraId="30E47B77">
      <w:pPr>
        <w:pStyle w:val="11"/>
        <w:widowControl/>
        <w:rPr>
          <w:rFonts w:ascii="Times New Roman" w:hAnsi="Times New Roman" w:eastAsia="宋体" w:cs="Times New Roman"/>
          <w:sz w:val="24"/>
          <w:szCs w:val="24"/>
        </w:rPr>
      </w:pPr>
    </w:p>
    <w:p w14:paraId="7093F096">
      <w:pPr>
        <w:pStyle w:val="11"/>
        <w:widowControl/>
        <w:rPr>
          <w:rFonts w:ascii="Times New Roman" w:hAnsi="Times New Roman" w:eastAsia="宋体" w:cs="Times New Roman"/>
          <w:sz w:val="24"/>
          <w:szCs w:val="24"/>
        </w:rPr>
      </w:pPr>
    </w:p>
    <w:p w14:paraId="1F4BA3F0">
      <w:pPr>
        <w:pStyle w:val="11"/>
        <w:widowControl/>
        <w:rPr>
          <w:rFonts w:ascii="Times New Roman" w:hAnsi="Times New Roman" w:eastAsia="宋体" w:cs="Times New Roman"/>
          <w:sz w:val="24"/>
          <w:szCs w:val="24"/>
        </w:rPr>
      </w:pPr>
    </w:p>
    <w:p w14:paraId="6E4AC1CE">
      <w:pPr>
        <w:pStyle w:val="19"/>
        <w:widowControl/>
      </w:pPr>
      <w:r>
        <w:t>附录 B 前端运行与截图说明</w:t>
      </w:r>
    </w:p>
    <w:p w14:paraId="439CAAA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前端运行时进入源码目录，安装依赖后执行开发服务器命令，随后在浏览器中打开本地地址查看展示系统。截图建议包括前端首页总览、交互图谱默认状态、节点展开状态、右侧证据卡片、图谱沉淀页和索引流程页。当前报告中的第 7 章图件已经根据前端功能重新绘制为结构配图。</w:t>
      </w:r>
    </w:p>
    <w:p w14:paraId="31D1967B">
      <w:pPr>
        <w:pStyle w:val="11"/>
        <w:widowControl/>
        <w:rPr>
          <w:rFonts w:ascii="Times New Roman" w:hAnsi="Times New Roman" w:eastAsia="宋体" w:cs="Times New Roman"/>
          <w:sz w:val="24"/>
          <w:szCs w:val="24"/>
        </w:rPr>
      </w:pPr>
    </w:p>
    <w:p w14:paraId="1EACDC7E">
      <w:pPr>
        <w:pStyle w:val="19"/>
        <w:widowControl/>
      </w:pPr>
      <w:r>
        <w:t>附录 C 关键图谱字段说明</w:t>
      </w:r>
    </w:p>
    <w:p w14:paraId="2D0641BF">
      <w:pPr>
        <w:pStyle w:val="19"/>
        <w:widowControl/>
      </w:pPr>
      <w:r>
        <w:t>附录表 C-1 关键图谱字段说明表</w:t>
      </w:r>
    </w:p>
    <w:tbl>
      <w:tblPr>
        <w:tblStyle w:val="21"/>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14"/>
        <w:gridCol w:w="3888"/>
        <w:gridCol w:w="3220"/>
      </w:tblGrid>
      <w:tr w14:paraId="5165CE7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8EEF5"/>
            <w:noWrap w:val="0"/>
            <w:tcMar>
              <w:top w:w="80" w:type="dxa"/>
              <w:left w:w="120" w:type="dxa"/>
              <w:bottom w:w="80" w:type="dxa"/>
              <w:right w:w="120" w:type="dxa"/>
            </w:tcMar>
            <w:vAlign w:val="center"/>
          </w:tcPr>
          <w:p w14:paraId="10B396AA">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字段</w:t>
            </w:r>
          </w:p>
        </w:tc>
        <w:tc>
          <w:tcPr>
            <w:tcW w:w="3888" w:type="dxa"/>
            <w:tcBorders>
              <w:top w:val="single" w:color="auto" w:sz="12" w:space="0"/>
              <w:left w:val="nil"/>
              <w:bottom w:val="nil"/>
              <w:right w:val="nil"/>
            </w:tcBorders>
            <w:shd w:val="clear" w:color="auto" w:fill="E8EEF5"/>
            <w:noWrap w:val="0"/>
            <w:tcMar>
              <w:top w:w="80" w:type="dxa"/>
              <w:left w:w="120" w:type="dxa"/>
              <w:bottom w:w="80" w:type="dxa"/>
              <w:right w:w="120" w:type="dxa"/>
            </w:tcMar>
            <w:vAlign w:val="center"/>
          </w:tcPr>
          <w:p w14:paraId="6E4802EC">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所在文件</w:t>
            </w:r>
          </w:p>
        </w:tc>
        <w:tc>
          <w:tcPr>
            <w:tcW w:w="3220" w:type="dxa"/>
            <w:tcBorders>
              <w:top w:val="single" w:color="auto" w:sz="12" w:space="0"/>
              <w:left w:val="nil"/>
              <w:bottom w:val="nil"/>
              <w:right w:val="nil"/>
            </w:tcBorders>
            <w:shd w:val="clear" w:color="auto" w:fill="E8EEF5"/>
            <w:noWrap w:val="0"/>
            <w:tcMar>
              <w:top w:w="80" w:type="dxa"/>
              <w:left w:w="120" w:type="dxa"/>
              <w:bottom w:w="80" w:type="dxa"/>
              <w:right w:w="120" w:type="dxa"/>
            </w:tcMar>
            <w:vAlign w:val="center"/>
          </w:tcPr>
          <w:p w14:paraId="4EB999D0">
            <w:pPr>
              <w:snapToGrid w:val="0"/>
              <w:spacing w:after="0" w:line="240" w:lineRule="auto"/>
              <w:ind w:left="0" w:leftChars="0" w:right="0" w:rightChars="0" w:firstLine="0" w:firstLineChars="0"/>
              <w:jc w:val="center"/>
              <w:rPr>
                <w:rFonts w:ascii="微软雅黑" w:eastAsia="微软雅黑"/>
                <w:b/>
                <w:sz w:val="18"/>
              </w:rPr>
            </w:pPr>
            <w:r>
              <w:rPr>
                <w:rFonts w:ascii="微软雅黑" w:hAnsi="微软雅黑" w:eastAsia="微软雅黑"/>
                <w:b/>
                <w:sz w:val="18"/>
              </w:rPr>
              <w:t>说明</w:t>
            </w:r>
          </w:p>
        </w:tc>
      </w:tr>
      <w:tr w14:paraId="1FE112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80" w:type="dxa"/>
              <w:left w:w="120" w:type="dxa"/>
              <w:bottom w:w="80" w:type="dxa"/>
              <w:right w:w="120" w:type="dxa"/>
            </w:tcMar>
            <w:vAlign w:val="center"/>
          </w:tcPr>
          <w:p w14:paraId="014A367D">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entity_id</w:t>
            </w:r>
          </w:p>
        </w:tc>
        <w:tc>
          <w:tcPr>
            <w:tcW w:w="3888" w:type="dxa"/>
            <w:tcBorders>
              <w:top w:val="single" w:color="auto" w:sz="4" w:space="0"/>
              <w:left w:val="nil"/>
              <w:bottom w:val="nil"/>
              <w:right w:val="nil"/>
            </w:tcBorders>
            <w:noWrap w:val="0"/>
            <w:tcMar>
              <w:top w:w="80" w:type="dxa"/>
              <w:left w:w="120" w:type="dxa"/>
              <w:bottom w:w="80" w:type="dxa"/>
              <w:right w:w="120" w:type="dxa"/>
            </w:tcMar>
            <w:vAlign w:val="center"/>
          </w:tcPr>
          <w:p w14:paraId="5E136273">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graph_nodes.csv</w:t>
            </w:r>
          </w:p>
        </w:tc>
        <w:tc>
          <w:tcPr>
            <w:tcW w:w="3220" w:type="dxa"/>
            <w:tcBorders>
              <w:top w:val="single" w:color="auto" w:sz="4" w:space="0"/>
              <w:left w:val="nil"/>
              <w:bottom w:val="nil"/>
              <w:right w:val="nil"/>
            </w:tcBorders>
            <w:noWrap w:val="0"/>
            <w:tcMar>
              <w:top w:w="80" w:type="dxa"/>
              <w:left w:w="120" w:type="dxa"/>
              <w:bottom w:w="80" w:type="dxa"/>
              <w:right w:w="120" w:type="dxa"/>
            </w:tcMar>
            <w:vAlign w:val="center"/>
          </w:tcPr>
          <w:p w14:paraId="069AC00A">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实体稳定编号，用于节点唯一识别。</w:t>
            </w:r>
          </w:p>
        </w:tc>
      </w:tr>
      <w:tr w14:paraId="32D129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60397C05">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entity_type</w:t>
            </w:r>
          </w:p>
        </w:tc>
        <w:tc>
          <w:tcPr>
            <w:tcW w:w="3888" w:type="dxa"/>
            <w:tcBorders>
              <w:top w:val="nil"/>
              <w:left w:val="nil"/>
              <w:bottom w:val="nil"/>
              <w:right w:val="nil"/>
            </w:tcBorders>
            <w:noWrap w:val="0"/>
            <w:tcMar>
              <w:top w:w="80" w:type="dxa"/>
              <w:left w:w="120" w:type="dxa"/>
              <w:bottom w:w="80" w:type="dxa"/>
              <w:right w:w="120" w:type="dxa"/>
            </w:tcMar>
            <w:vAlign w:val="center"/>
          </w:tcPr>
          <w:p w14:paraId="0106C274">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graph_nodes.csv</w:t>
            </w:r>
          </w:p>
        </w:tc>
        <w:tc>
          <w:tcPr>
            <w:tcW w:w="3220" w:type="dxa"/>
            <w:tcBorders>
              <w:top w:val="nil"/>
              <w:left w:val="nil"/>
              <w:bottom w:val="nil"/>
              <w:right w:val="nil"/>
            </w:tcBorders>
            <w:noWrap w:val="0"/>
            <w:tcMar>
              <w:top w:w="80" w:type="dxa"/>
              <w:left w:w="120" w:type="dxa"/>
              <w:bottom w:w="80" w:type="dxa"/>
              <w:right w:w="120" w:type="dxa"/>
            </w:tcMar>
            <w:vAlign w:val="center"/>
          </w:tcPr>
          <w:p w14:paraId="327FC627">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实体类型，用于本体层和前端筛选。</w:t>
            </w:r>
          </w:p>
        </w:tc>
      </w:tr>
      <w:tr w14:paraId="568425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5EDBA488">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relation_id</w:t>
            </w:r>
          </w:p>
        </w:tc>
        <w:tc>
          <w:tcPr>
            <w:tcW w:w="3888" w:type="dxa"/>
            <w:tcBorders>
              <w:top w:val="nil"/>
              <w:left w:val="nil"/>
              <w:bottom w:val="nil"/>
              <w:right w:val="nil"/>
            </w:tcBorders>
            <w:noWrap w:val="0"/>
            <w:tcMar>
              <w:top w:w="80" w:type="dxa"/>
              <w:left w:w="120" w:type="dxa"/>
              <w:bottom w:w="80" w:type="dxa"/>
              <w:right w:w="120" w:type="dxa"/>
            </w:tcMar>
            <w:vAlign w:val="center"/>
          </w:tcPr>
          <w:p w14:paraId="64EBD30A">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graph_edges_neo4j.csv / evidence_edges.csv</w:t>
            </w:r>
          </w:p>
        </w:tc>
        <w:tc>
          <w:tcPr>
            <w:tcW w:w="3220" w:type="dxa"/>
            <w:tcBorders>
              <w:top w:val="nil"/>
              <w:left w:val="nil"/>
              <w:bottom w:val="nil"/>
              <w:right w:val="nil"/>
            </w:tcBorders>
            <w:noWrap w:val="0"/>
            <w:tcMar>
              <w:top w:w="80" w:type="dxa"/>
              <w:left w:w="120" w:type="dxa"/>
              <w:bottom w:w="80" w:type="dxa"/>
              <w:right w:w="120" w:type="dxa"/>
            </w:tcMar>
            <w:vAlign w:val="center"/>
          </w:tcPr>
          <w:p w14:paraId="0313C200">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关系稳定编号，用于证据边定位。</w:t>
            </w:r>
          </w:p>
        </w:tc>
      </w:tr>
      <w:tr w14:paraId="7BBFE8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CABE13C">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relation_type</w:t>
            </w:r>
          </w:p>
        </w:tc>
        <w:tc>
          <w:tcPr>
            <w:tcW w:w="3888" w:type="dxa"/>
            <w:tcBorders>
              <w:top w:val="nil"/>
              <w:left w:val="nil"/>
              <w:bottom w:val="nil"/>
              <w:right w:val="nil"/>
            </w:tcBorders>
            <w:noWrap w:val="0"/>
            <w:tcMar>
              <w:top w:w="80" w:type="dxa"/>
              <w:left w:w="120" w:type="dxa"/>
              <w:bottom w:w="80" w:type="dxa"/>
              <w:right w:w="120" w:type="dxa"/>
            </w:tcMar>
            <w:vAlign w:val="center"/>
          </w:tcPr>
          <w:p w14:paraId="57077238">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graph_edges_neo4j.csv</w:t>
            </w:r>
          </w:p>
        </w:tc>
        <w:tc>
          <w:tcPr>
            <w:tcW w:w="3220" w:type="dxa"/>
            <w:tcBorders>
              <w:top w:val="nil"/>
              <w:left w:val="nil"/>
              <w:bottom w:val="nil"/>
              <w:right w:val="nil"/>
            </w:tcBorders>
            <w:noWrap w:val="0"/>
            <w:tcMar>
              <w:top w:w="80" w:type="dxa"/>
              <w:left w:w="120" w:type="dxa"/>
              <w:bottom w:w="80" w:type="dxa"/>
              <w:right w:w="120" w:type="dxa"/>
            </w:tcMar>
            <w:vAlign w:val="center"/>
          </w:tcPr>
          <w:p w14:paraId="5B791C8A">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关系类型编码，保留英文并附中文解释。</w:t>
            </w:r>
          </w:p>
        </w:tc>
      </w:tr>
      <w:tr w14:paraId="33BB00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2039E2B7">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chunk_id</w:t>
            </w:r>
          </w:p>
        </w:tc>
        <w:tc>
          <w:tcPr>
            <w:tcW w:w="3888" w:type="dxa"/>
            <w:tcBorders>
              <w:top w:val="nil"/>
              <w:left w:val="nil"/>
              <w:bottom w:val="nil"/>
              <w:right w:val="nil"/>
            </w:tcBorders>
            <w:noWrap w:val="0"/>
            <w:tcMar>
              <w:top w:w="80" w:type="dxa"/>
              <w:left w:w="120" w:type="dxa"/>
              <w:bottom w:w="80" w:type="dxa"/>
              <w:right w:w="120" w:type="dxa"/>
            </w:tcMar>
            <w:vAlign w:val="center"/>
          </w:tcPr>
          <w:p w14:paraId="420992C2">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chunks.csv / evidence_edges.csv</w:t>
            </w:r>
          </w:p>
        </w:tc>
        <w:tc>
          <w:tcPr>
            <w:tcW w:w="3220" w:type="dxa"/>
            <w:tcBorders>
              <w:top w:val="nil"/>
              <w:left w:val="nil"/>
              <w:bottom w:val="nil"/>
              <w:right w:val="nil"/>
            </w:tcBorders>
            <w:noWrap w:val="0"/>
            <w:tcMar>
              <w:top w:w="80" w:type="dxa"/>
              <w:left w:w="120" w:type="dxa"/>
              <w:bottom w:w="80" w:type="dxa"/>
              <w:right w:w="120" w:type="dxa"/>
            </w:tcMar>
            <w:vAlign w:val="center"/>
          </w:tcPr>
          <w:p w14:paraId="09698C46">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文本块编号，用于回到具体证据片段。</w:t>
            </w:r>
          </w:p>
        </w:tc>
      </w:tr>
      <w:tr w14:paraId="5BEF33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1A437DD1">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evidence_text</w:t>
            </w:r>
          </w:p>
        </w:tc>
        <w:tc>
          <w:tcPr>
            <w:tcW w:w="3888" w:type="dxa"/>
            <w:tcBorders>
              <w:top w:val="nil"/>
              <w:left w:val="nil"/>
              <w:bottom w:val="nil"/>
              <w:right w:val="nil"/>
            </w:tcBorders>
            <w:noWrap w:val="0"/>
            <w:tcMar>
              <w:top w:w="80" w:type="dxa"/>
              <w:left w:w="120" w:type="dxa"/>
              <w:bottom w:w="80" w:type="dxa"/>
              <w:right w:w="120" w:type="dxa"/>
            </w:tcMar>
            <w:vAlign w:val="center"/>
          </w:tcPr>
          <w:p w14:paraId="2FE6FB89">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claims.csv / evidence_edges.csv</w:t>
            </w:r>
          </w:p>
        </w:tc>
        <w:tc>
          <w:tcPr>
            <w:tcW w:w="3220" w:type="dxa"/>
            <w:tcBorders>
              <w:top w:val="nil"/>
              <w:left w:val="nil"/>
              <w:bottom w:val="nil"/>
              <w:right w:val="nil"/>
            </w:tcBorders>
            <w:noWrap w:val="0"/>
            <w:tcMar>
              <w:top w:w="80" w:type="dxa"/>
              <w:left w:w="120" w:type="dxa"/>
              <w:bottom w:w="80" w:type="dxa"/>
              <w:right w:w="120" w:type="dxa"/>
            </w:tcMar>
            <w:vAlign w:val="center"/>
          </w:tcPr>
          <w:p w14:paraId="2153C4DE">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支撑关系声明的证据文本。</w:t>
            </w:r>
          </w:p>
        </w:tc>
      </w:tr>
      <w:tr w14:paraId="08653D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80" w:type="dxa"/>
              <w:left w:w="120" w:type="dxa"/>
              <w:bottom w:w="80" w:type="dxa"/>
              <w:right w:w="120" w:type="dxa"/>
            </w:tcMar>
            <w:vAlign w:val="center"/>
          </w:tcPr>
          <w:p w14:paraId="44FFB6F0">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confidence</w:t>
            </w:r>
          </w:p>
        </w:tc>
        <w:tc>
          <w:tcPr>
            <w:tcW w:w="3888" w:type="dxa"/>
            <w:tcBorders>
              <w:top w:val="nil"/>
              <w:left w:val="nil"/>
              <w:bottom w:val="nil"/>
              <w:right w:val="nil"/>
            </w:tcBorders>
            <w:noWrap w:val="0"/>
            <w:tcMar>
              <w:top w:w="80" w:type="dxa"/>
              <w:left w:w="120" w:type="dxa"/>
              <w:bottom w:w="80" w:type="dxa"/>
              <w:right w:w="120" w:type="dxa"/>
            </w:tcMar>
            <w:vAlign w:val="center"/>
          </w:tcPr>
          <w:p w14:paraId="1C33453A">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claims.csv / evidence_edges.csv</w:t>
            </w:r>
          </w:p>
        </w:tc>
        <w:tc>
          <w:tcPr>
            <w:tcW w:w="3220" w:type="dxa"/>
            <w:tcBorders>
              <w:top w:val="nil"/>
              <w:left w:val="nil"/>
              <w:bottom w:val="nil"/>
              <w:right w:val="nil"/>
            </w:tcBorders>
            <w:noWrap w:val="0"/>
            <w:tcMar>
              <w:top w:w="80" w:type="dxa"/>
              <w:left w:w="120" w:type="dxa"/>
              <w:bottom w:w="80" w:type="dxa"/>
              <w:right w:w="120" w:type="dxa"/>
            </w:tcMar>
            <w:vAlign w:val="center"/>
          </w:tcPr>
          <w:p w14:paraId="1D824AB3">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规则抽取置信度，用于复核优先级排序。</w:t>
            </w:r>
          </w:p>
        </w:tc>
      </w:tr>
      <w:tr w14:paraId="64EB0B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14" w:type="dxa"/>
            <w:tcBorders>
              <w:top w:val="nil"/>
              <w:left w:val="nil"/>
              <w:bottom w:val="single" w:color="auto" w:sz="12" w:space="0"/>
              <w:right w:val="nil"/>
            </w:tcBorders>
            <w:noWrap w:val="0"/>
            <w:tcMar>
              <w:top w:w="80" w:type="dxa"/>
              <w:left w:w="120" w:type="dxa"/>
              <w:bottom w:w="80" w:type="dxa"/>
              <w:right w:w="120" w:type="dxa"/>
            </w:tcMar>
            <w:vAlign w:val="center"/>
          </w:tcPr>
          <w:p w14:paraId="4AD9FE08">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review_status</w:t>
            </w:r>
          </w:p>
        </w:tc>
        <w:tc>
          <w:tcPr>
            <w:tcW w:w="3888" w:type="dxa"/>
            <w:tcBorders>
              <w:top w:val="nil"/>
              <w:left w:val="nil"/>
              <w:bottom w:val="single" w:color="auto" w:sz="12" w:space="0"/>
              <w:right w:val="nil"/>
            </w:tcBorders>
            <w:noWrap w:val="0"/>
            <w:tcMar>
              <w:top w:w="80" w:type="dxa"/>
              <w:left w:w="120" w:type="dxa"/>
              <w:bottom w:w="80" w:type="dxa"/>
              <w:right w:w="120" w:type="dxa"/>
            </w:tcMar>
            <w:vAlign w:val="center"/>
          </w:tcPr>
          <w:p w14:paraId="04F8DEC0">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graph_nodes.csv / graph_edges_neo4j.csv</w:t>
            </w:r>
          </w:p>
        </w:tc>
        <w:tc>
          <w:tcPr>
            <w:tcW w:w="3220" w:type="dxa"/>
            <w:tcBorders>
              <w:top w:val="nil"/>
              <w:left w:val="nil"/>
              <w:bottom w:val="single" w:color="auto" w:sz="12" w:space="0"/>
              <w:right w:val="nil"/>
            </w:tcBorders>
            <w:noWrap w:val="0"/>
            <w:tcMar>
              <w:top w:w="80" w:type="dxa"/>
              <w:left w:w="120" w:type="dxa"/>
              <w:bottom w:w="80" w:type="dxa"/>
              <w:right w:w="120" w:type="dxa"/>
            </w:tcMar>
            <w:vAlign w:val="center"/>
          </w:tcPr>
          <w:p w14:paraId="00BABFC1">
            <w:pPr>
              <w:snapToGrid w:val="0"/>
              <w:spacing w:after="0" w:line="240" w:lineRule="auto"/>
              <w:ind w:left="0" w:leftChars="0" w:right="0" w:rightChars="0" w:firstLine="0" w:firstLineChars="0"/>
              <w:jc w:val="left"/>
              <w:rPr>
                <w:rFonts w:ascii="微软雅黑" w:eastAsia="微软雅黑"/>
                <w:sz w:val="18"/>
              </w:rPr>
            </w:pPr>
            <w:r>
              <w:rPr>
                <w:rFonts w:ascii="微软雅黑" w:hAnsi="微软雅黑" w:eastAsia="微软雅黑"/>
                <w:sz w:val="18"/>
              </w:rPr>
              <w:t>复核状态，当前主要为待复核。</w:t>
            </w:r>
          </w:p>
        </w:tc>
      </w:tr>
    </w:tbl>
    <w:p w14:paraId="598CD7BD"/>
    <w:sectPr>
      <w:headerReference r:id="rId7" w:type="default"/>
      <w:footerReference r:id="rId8"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D6F6B">
    <w:pPr>
      <w:tabs>
        <w:tab w:val="left" w:pos="5060"/>
        <w:tab w:val="right" w:pos="8306"/>
      </w:tabs>
      <w:spacing w:before="120" w:after="0" w:line="240" w:lineRule="auto"/>
      <w:ind w:firstLine="480"/>
      <w:rPr>
        <w:rFonts w:ascii="宋体" w:hAnsi="宋体" w:eastAsia="宋体" w:cs="Times New Roman"/>
        <w:sz w:val="24"/>
        <w:szCs w:val="22"/>
        <w:lang w:val="en-US" w:eastAsia="en-US" w:bidi="ar-SA"/>
      </w:rPr>
    </w:pPr>
    <w:r>
      <w:rPr>
        <w:rFonts w:hint="eastAsia" w:ascii="宋体" w:hAnsi="宋体" w:eastAsia="宋体" w:cs="Times New Roman"/>
        <w:sz w:val="24"/>
        <w:szCs w:val="22"/>
        <w:lang w:val="en-US" w:eastAsia="en-US" w:bidi="ar-S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B4584">
    <w:pPr>
      <w:pStyle w:val="13"/>
      <w:tabs>
        <w:tab w:val="left" w:pos="5060"/>
        <w:tab w:val="right" w:pos="8306"/>
        <w:tab w:val="clear" w:pos="4680"/>
        <w:tab w:val="clear" w:pos="9360"/>
      </w:tabs>
    </w:pPr>
    <w:r>
      <w:rPr>
        <w:rFonts w:hint="eastAsia"/>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3829">
    <w:pPr>
      <w:pBdr>
        <w:bottom w:val="none" w:color="auto" w:sz="0" w:space="1"/>
      </w:pBdr>
      <w:tabs>
        <w:tab w:val="center" w:pos="4153"/>
        <w:tab w:val="right" w:pos="8306"/>
      </w:tabs>
      <w:spacing w:before="120" w:after="0" w:line="240" w:lineRule="auto"/>
      <w:ind w:firstLine="480"/>
      <w:rPr>
        <w:rFonts w:ascii="宋体" w:hAnsi="宋体" w:eastAsia="宋体" w:cs="Times New Roman"/>
        <w:sz w:val="24"/>
        <w:szCs w:val="22"/>
        <w:lang w:val="en-US" w:eastAsia="en-US"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EC7C9">
    <w:pPr>
      <w:pStyle w:val="14"/>
      <w:pBdr>
        <w:bottom w:val="none" w:color="auto" w:sz="0" w:space="1"/>
      </w:pBdr>
      <w:tabs>
        <w:tab w:val="center" w:pos="4153"/>
        <w:tab w:val="right" w:pos="8306"/>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65F8D"/>
    <w:multiLevelType w:val="singleLevel"/>
    <w:tmpl w:val="8ED65F8D"/>
    <w:lvl w:ilvl="0" w:tentative="0">
      <w:start w:val="6"/>
      <w:numFmt w:val="decimal"/>
      <w:suff w:val="space"/>
      <w:lvlText w:val="%1"/>
      <w:lvlJc w:val="left"/>
      <w:pPr>
        <w:ind w:left="0" w:firstLine="0"/>
      </w:pPr>
      <w:rPr>
        <w:rFonts w:hint="default"/>
      </w:rPr>
    </w:lvl>
  </w:abstractNum>
  <w:abstractNum w:abstractNumId="1">
    <w:nsid w:val="9D44F8E9"/>
    <w:multiLevelType w:val="singleLevel"/>
    <w:tmpl w:val="9D44F8E9"/>
    <w:lvl w:ilvl="0" w:tentative="0">
      <w:start w:val="1"/>
      <w:numFmt w:val="decimal"/>
      <w:suff w:val="space"/>
      <w:lvlText w:val="9.%1"/>
      <w:lvlJc w:val="left"/>
      <w:pPr>
        <w:ind w:left="0" w:firstLine="0"/>
      </w:pPr>
      <w:rPr>
        <w:rFonts w:hint="default"/>
      </w:rPr>
    </w:lvl>
  </w:abstractNum>
  <w:abstractNum w:abstractNumId="2">
    <w:nsid w:val="E896CFD1"/>
    <w:multiLevelType w:val="singleLevel"/>
    <w:tmpl w:val="E896CFD1"/>
    <w:lvl w:ilvl="0" w:tentative="0">
      <w:start w:val="1"/>
      <w:numFmt w:val="decimal"/>
      <w:suff w:val="space"/>
      <w:lvlText w:val="6.%1"/>
      <w:lvlJc w:val="left"/>
      <w:pPr>
        <w:ind w:left="0" w:firstLine="0"/>
      </w:pPr>
      <w:rPr>
        <w:rFonts w:hint="default"/>
      </w:rPr>
    </w:lvl>
  </w:abstractNum>
  <w:abstractNum w:abstractNumId="3">
    <w:nsid w:val="FFB20D8B"/>
    <w:multiLevelType w:val="singleLevel"/>
    <w:tmpl w:val="FFB20D8B"/>
    <w:lvl w:ilvl="0" w:tentative="0">
      <w:start w:val="1"/>
      <w:numFmt w:val="decimal"/>
      <w:suff w:val="space"/>
      <w:lvlText w:val="[%1]"/>
      <w:lvlJc w:val="left"/>
    </w:lvl>
  </w:abstractNum>
  <w:abstractNum w:abstractNumId="4">
    <w:nsid w:val="0F441A92"/>
    <w:multiLevelType w:val="singleLevel"/>
    <w:tmpl w:val="0F441A92"/>
    <w:lvl w:ilvl="0" w:tentative="0">
      <w:start w:val="1"/>
      <w:numFmt w:val="decimal"/>
      <w:suff w:val="space"/>
      <w:lvlText w:val="7.%1"/>
      <w:lvlJc w:val="left"/>
      <w:pPr>
        <w:ind w:left="0" w:firstLine="0"/>
      </w:pPr>
      <w:rPr>
        <w:rFonts w:hint="default"/>
      </w:rPr>
    </w:lvl>
  </w:abstractNum>
  <w:abstractNum w:abstractNumId="5">
    <w:nsid w:val="4494872D"/>
    <w:multiLevelType w:val="singleLevel"/>
    <w:tmpl w:val="4494872D"/>
    <w:lvl w:ilvl="0" w:tentative="0">
      <w:start w:val="1"/>
      <w:numFmt w:val="decimal"/>
      <w:suff w:val="space"/>
      <w:lvlText w:val="5.%1"/>
      <w:lvlJc w:val="left"/>
      <w:pPr>
        <w:ind w:left="0" w:firstLine="0"/>
      </w:pPr>
      <w:rPr>
        <w:rFonts w:hint="default"/>
      </w:rPr>
    </w:lvl>
  </w:abstractNum>
  <w:abstractNum w:abstractNumId="6">
    <w:nsid w:val="695167D7"/>
    <w:multiLevelType w:val="singleLevel"/>
    <w:tmpl w:val="695167D7"/>
    <w:lvl w:ilvl="0" w:tentative="0">
      <w:start w:val="1"/>
      <w:numFmt w:val="decimal"/>
      <w:suff w:val="space"/>
      <w:lvlText w:val="8.%1"/>
      <w:lvlJc w:val="left"/>
      <w:pPr>
        <w:ind w:left="0" w:firstLine="0"/>
      </w:pPr>
      <w:rPr>
        <w:rFonts w:hint="default"/>
      </w:rPr>
    </w:lvl>
  </w:abstractNum>
  <w:num w:numId="1">
    <w:abstractNumId w:val="5"/>
  </w:num>
  <w:num w:numId="2">
    <w:abstractNumId w:val="0"/>
  </w:num>
  <w:num w:numId="3">
    <w:abstractNumId w:val="2"/>
  </w:num>
  <w:num w:numId="4">
    <w:abstractNumId w:val="4"/>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F3D6D"/>
    <w:rsid w:val="016E35B8"/>
    <w:rsid w:val="03DB1292"/>
    <w:rsid w:val="06A5360A"/>
    <w:rsid w:val="0FB13D7F"/>
    <w:rsid w:val="11727009"/>
    <w:rsid w:val="12A362D2"/>
    <w:rsid w:val="1B7E42F6"/>
    <w:rsid w:val="1C67587E"/>
    <w:rsid w:val="1CFB590A"/>
    <w:rsid w:val="22EA7B03"/>
    <w:rsid w:val="260158AC"/>
    <w:rsid w:val="2B6A7A50"/>
    <w:rsid w:val="306B2F75"/>
    <w:rsid w:val="32825621"/>
    <w:rsid w:val="331C1F78"/>
    <w:rsid w:val="39153335"/>
    <w:rsid w:val="4E5F3D6D"/>
    <w:rsid w:val="505F0646"/>
    <w:rsid w:val="5396276F"/>
    <w:rsid w:val="54C94F38"/>
    <w:rsid w:val="56A15DC2"/>
    <w:rsid w:val="56F50266"/>
    <w:rsid w:val="5717555E"/>
    <w:rsid w:val="58900246"/>
    <w:rsid w:val="5A0A666A"/>
    <w:rsid w:val="5FDA0363"/>
    <w:rsid w:val="69182133"/>
    <w:rsid w:val="6BA75E62"/>
    <w:rsid w:val="70DE0D4F"/>
    <w:rsid w:val="71A20021"/>
    <w:rsid w:val="75BE4175"/>
    <w:rsid w:val="7752204C"/>
    <w:rsid w:val="791A1F18"/>
    <w:rsid w:val="7CE738D0"/>
    <w:rsid w:val="7DA008A8"/>
    <w:rsid w:val="7EE10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sz w:val="22"/>
      <w:szCs w:val="22"/>
      <w:lang w:val="en-US" w:eastAsia="en-US" w:bidi="ar-SA"/>
    </w:rPr>
  </w:style>
  <w:style w:type="paragraph" w:styleId="2">
    <w:name w:val="heading 1"/>
    <w:next w:val="1"/>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2">
    <w:name w:val="Default Paragraph Font"/>
    <w:semiHidden/>
    <w:qFormat/>
    <w:uiPriority w:val="0"/>
  </w:style>
  <w:style w:type="table" w:default="1" w:styleId="20">
    <w:name w:val="Normal Table"/>
    <w:semiHidden/>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qFormat/>
    <w:uiPriority w:val="0"/>
    <w:pPr>
      <w:ind w:left="840" w:leftChars="400"/>
    </w:pPr>
  </w:style>
  <w:style w:type="paragraph" w:styleId="13">
    <w:name w:val="footer"/>
    <w:basedOn w:val="1"/>
    <w:unhideWhenUsed/>
    <w:uiPriority w:val="99"/>
    <w:pPr>
      <w:tabs>
        <w:tab w:val="center" w:pos="4680"/>
        <w:tab w:val="right" w:pos="9360"/>
      </w:tabs>
      <w:spacing w:after="0" w:line="240" w:lineRule="auto"/>
    </w:pPr>
  </w:style>
  <w:style w:type="paragraph" w:styleId="14">
    <w:name w:val="header"/>
    <w:basedOn w:val="1"/>
    <w:unhideWhenUsed/>
    <w:qFormat/>
    <w:uiPriority w:val="99"/>
    <w:pPr>
      <w:tabs>
        <w:tab w:val="center" w:pos="4680"/>
        <w:tab w:val="right" w:pos="9360"/>
      </w:tabs>
      <w:spacing w:after="0" w:line="240" w:lineRule="auto"/>
    </w:pPr>
  </w:style>
  <w:style w:type="paragraph" w:styleId="15">
    <w:name w:val="toc 1"/>
    <w:basedOn w:val="1"/>
    <w:next w:val="1"/>
    <w:uiPriority w:val="0"/>
  </w:style>
  <w:style w:type="paragraph" w:styleId="16">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7">
    <w:name w:val="toc 2"/>
    <w:basedOn w:val="1"/>
    <w:next w:val="1"/>
    <w:uiPriority w:val="0"/>
    <w:pPr>
      <w:ind w:left="440" w:leftChars="200"/>
    </w:pPr>
  </w:style>
  <w:style w:type="paragraph" w:styleId="18">
    <w:name w:val="Normal (Web)"/>
    <w:basedOn w:val="1"/>
    <w:qFormat/>
    <w:uiPriority w:val="0"/>
    <w:pPr>
      <w:widowControl/>
      <w:spacing w:before="100" w:beforeLines="0" w:beforeAutospacing="1" w:after="100" w:afterLines="0" w:afterAutospacing="1"/>
      <w:jc w:val="left"/>
    </w:pPr>
    <w:rPr>
      <w:rFonts w:ascii="宋体" w:hAnsi="宋体" w:cs="宋体"/>
      <w:kern w:val="0"/>
      <w:sz w:val="24"/>
    </w:rPr>
  </w:style>
  <w:style w:type="paragraph" w:styleId="19">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1">
    <w:name w:val="Table Grid"/>
    <w:basedOn w:val="2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3">
    <w:name w:val="Hyperlink"/>
    <w:unhideWhenUsed/>
    <w:qFormat/>
    <w:uiPriority w:val="99"/>
    <w:rPr>
      <w:color w:val="0563C1"/>
      <w:u w:val="single"/>
    </w:rPr>
  </w:style>
  <w:style w:type="character" w:customStyle="1" w:styleId="24">
    <w:name w:val="关键词"/>
    <w:qFormat/>
    <w:uiPriority w:val="0"/>
    <w:rPr>
      <w:rFonts w:ascii="Times New Roman" w:hAnsi="Times New Roman" w:eastAsia="宋体" w:cs="宋体"/>
      <w:b/>
      <w:bCs/>
      <w:sz w:val="24"/>
    </w:rPr>
  </w:style>
  <w:style w:type="paragraph" w:customStyle="1" w:styleId="25">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26">
    <w:name w:val="附录标题"/>
    <w:next w:val="1"/>
    <w:qFormat/>
    <w:uiPriority w:val="0"/>
    <w:pPr>
      <w:widowControl w:val="0"/>
      <w:adjustRightInd w:val="0"/>
      <w:spacing w:before="100" w:after="100" w:line="360" w:lineRule="auto"/>
      <w:jc w:val="both"/>
      <w:outlineLvl w:val="0"/>
    </w:pPr>
    <w:rPr>
      <w:rFonts w:ascii="Times New Roman" w:hAnsi="Times New Roman" w:eastAsia="黑体" w:cs="Times New Roman"/>
      <w:color w:val="000000"/>
      <w:kern w:val="44"/>
      <w:sz w:val="36"/>
      <w:szCs w:val="44"/>
      <w:lang w:bidi="ar-SA"/>
    </w:rPr>
  </w:style>
  <w:style w:type="paragraph" w:customStyle="1" w:styleId="27">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28">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9909</Words>
  <Characters>15069</Characters>
  <Lines>0</Lines>
  <Paragraphs>0</Paragraphs>
  <TotalTime>1</TotalTime>
  <ScaleCrop>false</ScaleCrop>
  <LinksUpToDate>false</LinksUpToDate>
  <CharactersWithSpaces>16012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2026-06-24T04:19:00Z</dcterms:created>
  <dc:creator>净河~星空</dc:creator>
  <cp:lastModifiedBy>净河~星空</cp:lastModifiedBy>
  <dcterms:modified xsi:type="dcterms:W3CDTF">2026-06-28T10:34:42Z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FE700CE5A4E44D20BC01905655F56982_11</vt:lpwstr>
  </property>
  <property fmtid="{D5CDD505-2E9C-101B-9397-08002B2CF9AE}" pid="4" name="KSOTemplateDocerSaveRecord">
    <vt:lpwstr>eyJoZGlkIjoiMGU3MDQ1OWVkMTNmMjFlMjdiYWYxZTVmNjMzMTYwZDQiLCJ1c2VySWQiOiIyNzI2OTExNjEifQ==</vt:lpwstr>
  </property>
</Properties>
</file>