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49789">
      <w:pPr>
        <w:widowControl w:val="0"/>
        <w:jc w:val="center"/>
        <w:rPr>
          <w:rFonts w:ascii="Times New Roman" w:hAnsi="Times New Roman" w:eastAsia="宋体" w:cs="Times New Roman"/>
          <w:kern w:val="2"/>
          <w:sz w:val="52"/>
          <w:szCs w:val="52"/>
          <w:lang w:eastAsia="zh-CN"/>
        </w:rPr>
      </w:pPr>
    </w:p>
    <w:p w14:paraId="00B434B4">
      <w:pPr>
        <w:widowControl w:val="0"/>
        <w:jc w:val="center"/>
        <w:rPr>
          <w:rFonts w:hint="eastAsia" w:ascii="Times New Roman" w:hAnsi="Times New Roman" w:eastAsia="宋体" w:cs="Times New Roman"/>
          <w:kern w:val="2"/>
          <w:sz w:val="52"/>
          <w:szCs w:val="52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52"/>
          <w:szCs w:val="52"/>
          <w:lang w:val="en-US" w:eastAsia="zh-CN"/>
        </w:rPr>
        <w:t>应急管理大学</w:t>
      </w:r>
    </w:p>
    <w:p w14:paraId="122C5F90">
      <w:pPr>
        <w:widowControl w:val="0"/>
        <w:jc w:val="center"/>
        <w:rPr>
          <w:rFonts w:ascii="Times New Roman" w:hAnsi="Times New Roman" w:eastAsia="宋体" w:cs="Times New Roman"/>
          <w:b/>
          <w:spacing w:val="200"/>
          <w:kern w:val="2"/>
          <w:sz w:val="84"/>
          <w:szCs w:val="84"/>
          <w:lang w:eastAsia="zh-CN"/>
        </w:rPr>
      </w:pPr>
      <w:r>
        <w:rPr>
          <w:rFonts w:hint="eastAsia" w:ascii="Times New Roman" w:hAnsi="Times New Roman" w:eastAsia="宋体" w:cs="Times New Roman"/>
          <w:b/>
          <w:spacing w:val="200"/>
          <w:kern w:val="2"/>
          <w:sz w:val="84"/>
          <w:szCs w:val="84"/>
          <w:lang w:val="en-US" w:eastAsia="zh-CN"/>
        </w:rPr>
        <w:t>结课</w:t>
      </w:r>
      <w:r>
        <w:rPr>
          <w:rFonts w:ascii="Times New Roman" w:hAnsi="Times New Roman" w:eastAsia="宋体" w:cs="Times New Roman"/>
          <w:b/>
          <w:spacing w:val="200"/>
          <w:kern w:val="2"/>
          <w:sz w:val="84"/>
          <w:szCs w:val="84"/>
          <w:lang w:eastAsia="zh-CN"/>
        </w:rPr>
        <w:t>报告书</w:t>
      </w:r>
    </w:p>
    <w:p w14:paraId="5CD194F7">
      <w:pPr>
        <w:widowControl w:val="0"/>
        <w:jc w:val="center"/>
        <w:rPr>
          <w:rFonts w:ascii="Times New Roman" w:hAnsi="Times New Roman" w:eastAsia="宋体" w:cs="Times New Roman"/>
          <w:b/>
          <w:kern w:val="2"/>
          <w:sz w:val="84"/>
          <w:szCs w:val="84"/>
          <w:lang w:eastAsia="zh-CN"/>
        </w:rPr>
      </w:pPr>
    </w:p>
    <w:p w14:paraId="2832FF1D">
      <w:pPr>
        <w:widowControl w:val="0"/>
        <w:jc w:val="center"/>
        <w:rPr>
          <w:rFonts w:ascii="Times New Roman" w:hAnsi="Times New Roman" w:eastAsia="宋体" w:cs="Times New Roman"/>
          <w:b/>
          <w:kern w:val="2"/>
          <w:sz w:val="84"/>
          <w:szCs w:val="84"/>
          <w:lang w:eastAsia="zh-CN"/>
        </w:rPr>
      </w:pPr>
      <w:bookmarkStart w:id="0" w:name="_GoBack"/>
      <w:bookmarkEnd w:id="0"/>
    </w:p>
    <w:p w14:paraId="38846763">
      <w:pPr>
        <w:widowControl w:val="0"/>
        <w:jc w:val="center"/>
        <w:rPr>
          <w:rFonts w:ascii="Times New Roman" w:hAnsi="Times New Roman" w:eastAsia="宋体" w:cs="Times New Roman"/>
          <w:b/>
          <w:kern w:val="2"/>
          <w:sz w:val="84"/>
          <w:szCs w:val="84"/>
          <w:lang w:eastAsia="zh-CN"/>
        </w:rPr>
      </w:pPr>
    </w:p>
    <w:p w14:paraId="51C9A0A8">
      <w:pPr>
        <w:widowControl w:val="0"/>
        <w:jc w:val="center"/>
        <w:rPr>
          <w:rFonts w:ascii="Times New Roman" w:hAnsi="Times New Roman" w:eastAsia="宋体" w:cs="Times New Roman"/>
          <w:b/>
          <w:kern w:val="2"/>
          <w:sz w:val="84"/>
          <w:szCs w:val="84"/>
          <w:lang w:eastAsia="zh-CN"/>
        </w:rPr>
      </w:pPr>
    </w:p>
    <w:p w14:paraId="19A7C539">
      <w:pPr>
        <w:widowControl w:val="0"/>
        <w:jc w:val="center"/>
        <w:rPr>
          <w:rFonts w:ascii="Times New Roman" w:hAnsi="Times New Roman" w:eastAsia="宋体" w:cs="Times New Roman"/>
          <w:b/>
          <w:kern w:val="2"/>
          <w:sz w:val="28"/>
          <w:szCs w:val="28"/>
          <w:lang w:eastAsia="zh-CN"/>
        </w:rPr>
      </w:pPr>
    </w:p>
    <w:p w14:paraId="3EEDFE14">
      <w:pPr>
        <w:widowControl w:val="0"/>
        <w:jc w:val="left"/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</w:pPr>
      <w:r>
        <w:rPr>
          <w:rFonts w:ascii="Times New Roman" w:hAnsi="Times New Roman" w:eastAsia="宋体" w:cs="Times New Roman"/>
          <w:b/>
          <w:kern w:val="2"/>
          <w:sz w:val="28"/>
          <w:szCs w:val="28"/>
          <w:lang w:eastAsia="zh-CN"/>
        </w:rPr>
        <w:t>专    业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    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u w:val="single"/>
          <w:lang w:val="en-US" w:eastAsia="zh-CN"/>
        </w:rPr>
        <w:t xml:space="preserve">        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u w:val="single"/>
          <w:lang w:val="en-US" w:eastAsia="zh-CN"/>
        </w:rPr>
        <w:t xml:space="preserve">资源与环境  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     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Times New Roman" w:hAnsi="宋体" w:eastAsia="宋体" w:cs="Times New Roman"/>
          <w:b/>
          <w:kern w:val="2"/>
          <w:sz w:val="28"/>
          <w:szCs w:val="28"/>
          <w:u w:val="single"/>
          <w:lang w:eastAsia="zh-CN"/>
        </w:rPr>
        <w:t xml:space="preserve"> 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         </w:t>
      </w:r>
    </w:p>
    <w:p w14:paraId="305BC42E">
      <w:pPr>
        <w:widowControl w:val="0"/>
        <w:jc w:val="both"/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</w:pPr>
      <w:r>
        <w:rPr>
          <w:rFonts w:ascii="Times New Roman" w:hAnsi="Times New Roman" w:eastAsia="宋体" w:cs="Times New Roman"/>
          <w:b/>
          <w:kern w:val="2"/>
          <w:sz w:val="28"/>
          <w:szCs w:val="28"/>
          <w:lang w:eastAsia="zh-CN"/>
        </w:rPr>
        <w:t>学    院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          </w:t>
      </w:r>
      <w:r>
        <w:rPr>
          <w:rFonts w:hint="eastAsia" w:ascii="Times New Roman" w:hAnsi="宋体" w:eastAsia="宋体" w:cs="Times New Roman"/>
          <w:b/>
          <w:kern w:val="2"/>
          <w:sz w:val="28"/>
          <w:szCs w:val="28"/>
          <w:u w:val="single"/>
          <w:lang w:val="en-US" w:eastAsia="zh-CN"/>
        </w:rPr>
        <w:t>计算机与信息安全学院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           </w:t>
      </w:r>
    </w:p>
    <w:p w14:paraId="5CDF214B">
      <w:pPr>
        <w:widowControl w:val="0"/>
        <w:jc w:val="both"/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</w:pPr>
      <w:r>
        <w:rPr>
          <w:rFonts w:ascii="Times New Roman" w:hAnsi="Times New Roman" w:eastAsia="宋体" w:cs="Times New Roman"/>
          <w:b/>
          <w:kern w:val="2"/>
          <w:sz w:val="28"/>
          <w:szCs w:val="28"/>
          <w:lang w:eastAsia="zh-CN"/>
        </w:rPr>
        <w:t>报告题目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       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     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u w:val="single"/>
          <w:lang w:val="en-US" w:eastAsia="zh-CN"/>
        </w:rPr>
        <w:t>基于LSTM的洪水水位监测</w:t>
      </w:r>
      <w:r>
        <w:rPr>
          <w:rFonts w:hint="eastAsia" w:ascii="Times New Roman" w:hAnsi="宋体" w:eastAsia="宋体" w:cs="Times New Roman"/>
          <w:b/>
          <w:kern w:val="2"/>
          <w:sz w:val="28"/>
          <w:szCs w:val="28"/>
          <w:u w:val="single"/>
          <w:lang w:eastAsia="zh-CN"/>
        </w:rPr>
        <w:t xml:space="preserve"> 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    </w:t>
      </w:r>
      <w:r>
        <w:rPr>
          <w:rFonts w:hint="eastAsia" w:ascii="Times New Roman" w:hAnsi="宋体" w:eastAsia="宋体" w:cs="Times New Roman"/>
          <w:b/>
          <w:kern w:val="2"/>
          <w:sz w:val="28"/>
          <w:szCs w:val="28"/>
          <w:u w:val="single"/>
          <w:lang w:eastAsia="zh-CN"/>
        </w:rPr>
        <w:t xml:space="preserve">                        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       </w:t>
      </w:r>
    </w:p>
    <w:p w14:paraId="59C97139">
      <w:pPr>
        <w:widowControl w:val="0"/>
        <w:jc w:val="both"/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</w:pPr>
      <w:r>
        <w:rPr>
          <w:rFonts w:ascii="Times New Roman" w:hAnsi="Times New Roman" w:eastAsia="宋体" w:cs="Times New Roman"/>
          <w:b/>
          <w:kern w:val="2"/>
          <w:sz w:val="28"/>
          <w:szCs w:val="28"/>
          <w:lang w:eastAsia="zh-CN"/>
        </w:rPr>
        <w:t>姓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eastAsia="zh-CN"/>
        </w:rPr>
        <w:t xml:space="preserve">    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lang w:eastAsia="zh-CN"/>
        </w:rPr>
        <w:t>名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202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>5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级 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 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lang w:eastAsia="zh-CN"/>
        </w:rPr>
        <w:t xml:space="preserve">学  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eastAsia="zh-CN"/>
        </w:rPr>
        <w:t xml:space="preserve"> 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lang w:eastAsia="zh-CN"/>
        </w:rPr>
        <w:t xml:space="preserve"> 号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u w:val="single"/>
          <w:lang w:val="en-US" w:eastAsia="zh-CN"/>
        </w:rPr>
        <w:t>25661609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     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 </w:t>
      </w:r>
    </w:p>
    <w:p w14:paraId="52D0235B">
      <w:pPr>
        <w:widowControl w:val="0"/>
        <w:jc w:val="both"/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/>
        </w:rPr>
        <w:t>年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eastAsia="zh-CN"/>
        </w:rPr>
        <w:t xml:space="preserve">    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/>
        </w:rPr>
        <w:t>级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宋体" w:eastAsia="宋体" w:cs="Times New Roman"/>
          <w:b/>
          <w:kern w:val="2"/>
          <w:sz w:val="28"/>
          <w:szCs w:val="28"/>
          <w:u w:val="single"/>
          <w:lang w:eastAsia="zh-CN"/>
        </w:rPr>
        <w:t xml:space="preserve">  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>202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>5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>级</w:t>
      </w:r>
      <w:r>
        <w:rPr>
          <w:rFonts w:hint="eastAsia" w:ascii="Times New Roman" w:hAnsi="宋体" w:eastAsia="宋体" w:cs="Times New Roman"/>
          <w:b/>
          <w:kern w:val="2"/>
          <w:sz w:val="28"/>
          <w:szCs w:val="28"/>
          <w:u w:val="single"/>
          <w:lang w:eastAsia="zh-CN"/>
        </w:rPr>
        <w:t xml:space="preserve">  </w:t>
      </w:r>
      <w:r>
        <w:rPr>
          <w:rFonts w:hint="eastAsia" w:ascii="Times New Roman" w:hAnsi="宋体" w:eastAsia="宋体" w:cs="Times New Roman"/>
          <w:b/>
          <w:kern w:val="2"/>
          <w:sz w:val="28"/>
          <w:szCs w:val="28"/>
          <w:u w:val="single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lang w:eastAsia="zh-CN"/>
        </w:rPr>
        <w:t>指导教师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 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Times New Roman" w:hAnsi="宋体" w:eastAsia="宋体" w:cs="Times New Roman"/>
          <w:b/>
          <w:kern w:val="2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Times New Roman" w:hAnsi="宋体" w:eastAsia="宋体" w:cs="Times New Roman"/>
          <w:b/>
          <w:kern w:val="2"/>
          <w:sz w:val="28"/>
          <w:szCs w:val="28"/>
          <w:u w:val="single"/>
          <w:lang w:val="en-US" w:eastAsia="zh-CN"/>
        </w:rPr>
        <w:t>袁静</w:t>
      </w:r>
      <w:r>
        <w:rPr>
          <w:rFonts w:hint="eastAsia" w:ascii="Times New Roman" w:hAnsi="宋体" w:eastAsia="宋体" w:cs="Times New Roman"/>
          <w:b/>
          <w:kern w:val="2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Times New Roman" w:hAnsi="宋体" w:eastAsia="宋体" w:cs="Times New Roman"/>
          <w:b/>
          <w:kern w:val="2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Times New Roman" w:hAnsi="宋体" w:eastAsia="宋体" w:cs="Times New Roman"/>
          <w:b/>
          <w:kern w:val="2"/>
          <w:sz w:val="28"/>
          <w:szCs w:val="28"/>
          <w:u w:val="single"/>
          <w:lang w:eastAsia="zh-CN"/>
        </w:rPr>
        <w:t xml:space="preserve">  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u w:val="single"/>
          <w:lang w:eastAsia="zh-CN"/>
        </w:rPr>
        <w:t xml:space="preserve">   </w:t>
      </w:r>
    </w:p>
    <w:p w14:paraId="495E7BB6">
      <w:pPr>
        <w:widowControl w:val="0"/>
        <w:tabs>
          <w:tab w:val="left" w:pos="7797"/>
        </w:tabs>
        <w:jc w:val="both"/>
        <w:rPr>
          <w:rFonts w:ascii="Times New Roman" w:hAnsi="Times New Roman" w:eastAsia="宋体" w:cs="Times New Roman"/>
          <w:b/>
          <w:kern w:val="2"/>
          <w:sz w:val="28"/>
          <w:szCs w:val="28"/>
          <w:lang w:eastAsia="zh-CN"/>
        </w:rPr>
      </w:pPr>
    </w:p>
    <w:p w14:paraId="7205DFFD">
      <w:pPr>
        <w:widowControl w:val="0"/>
        <w:jc w:val="center"/>
        <w:rPr>
          <w:rFonts w:hint="default"/>
          <w:lang w:val="en-US"/>
        </w:rPr>
        <w:sectPr>
          <w:headerReference r:id="rId3" w:type="default"/>
          <w:footerReference r:id="rId4" w:type="default"/>
          <w:pgSz w:w="12240" w:h="15840"/>
          <w:pgMar w:top="1440" w:right="1800" w:bottom="1440" w:left="1800" w:header="720" w:footer="720" w:gutter="0"/>
          <w:cols w:space="720" w:num="1"/>
        </w:sectPr>
      </w:pP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eastAsia="zh-CN"/>
        </w:rPr>
        <w:t>202</w:t>
      </w:r>
      <w:r>
        <w:rPr>
          <w:rFonts w:ascii="Times New Roman" w:hAnsi="Times New Roman" w:eastAsia="宋体" w:cs="Times New Roman"/>
          <w:b/>
          <w:kern w:val="2"/>
          <w:sz w:val="28"/>
          <w:szCs w:val="28"/>
          <w:lang w:eastAsia="zh-CN"/>
        </w:rPr>
        <w:t>6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eastAsia="zh-CN"/>
        </w:rPr>
        <w:t>年6月26</w:t>
      </w:r>
      <w:r>
        <w:rPr>
          <w:rFonts w:hint="eastAsia" w:ascii="Times New Roman" w:hAnsi="Times New Roman" w:eastAsia="宋体" w:cs="Times New Roman"/>
          <w:b/>
          <w:kern w:val="2"/>
          <w:sz w:val="28"/>
          <w:szCs w:val="28"/>
          <w:lang w:val="en-US" w:eastAsia="zh-CN"/>
        </w:rPr>
        <w:t>日</w:t>
      </w:r>
    </w:p>
    <w:p w14:paraId="2E98D4A8">
      <w:pPr>
        <w:spacing w:before="240" w:after="120"/>
      </w:pPr>
      <w:r>
        <w:rPr>
          <w:rFonts w:ascii="黑体" w:hAnsi="黑体"/>
          <w:b/>
          <w:sz w:val="32"/>
        </w:rPr>
        <w:t>一、背景</w:t>
      </w:r>
    </w:p>
    <w:p w14:paraId="35EBEB3B">
      <w:pPr>
        <w:ind w:firstLine="420"/>
      </w:pPr>
      <w:r>
        <w:rPr>
          <w:rFonts w:ascii="宋体" w:hAnsi="宋体"/>
          <w:b w:val="0"/>
          <w:sz w:val="24"/>
        </w:rPr>
        <w:t>洪水是破坏力最强的自然灾害之一，常造成人员伤亡与巨额经济损失。美国艾奥瓦州 Cedar Rapids 市坐落于 Cedar River 沿岸，2008 年曾发生百年一遇的极端洪水，Cedar River 站点峰值水位达到约 31.12 英尺，导致市中心严重受灾。传统的水位预报主要依赖经验统计模型与水力学机理模型，前者难以刻画降雨—径流的强非线性耦合，后者对地形与参数要求高、实时性不足。近年来深度学习在时间序列预测领域表现优异，长短期记忆网络（LSTM）凭借门控机制能够有效建模长时依赖关系，为水位预测与洪水预警提供了新的技术路径。本项目以 Cedar River 水文站为研究对象，尝试利用 LSTM 实现未来 24 小时水位预测，并在此基础上输出洪水风险等级，为防洪决策提供量化依据。</w:t>
      </w:r>
    </w:p>
    <w:p w14:paraId="6ED2D35A">
      <w:pPr>
        <w:spacing w:before="240" w:after="120"/>
      </w:pPr>
      <w:r>
        <w:rPr>
          <w:rFonts w:ascii="黑体" w:hAnsi="黑体"/>
          <w:b/>
          <w:sz w:val="32"/>
        </w:rPr>
        <w:t>二、问题定义</w:t>
      </w:r>
    </w:p>
    <w:p w14:paraId="1F99C5A6">
      <w:pPr>
        <w:ind w:firstLine="420"/>
      </w:pPr>
      <w:r>
        <w:rPr>
          <w:rFonts w:ascii="宋体" w:hAnsi="宋体"/>
          <w:b w:val="0"/>
          <w:sz w:val="24"/>
        </w:rPr>
        <w:t>本项目将洪水水位预测形式化为多步时间序列预测问题，具体定义如下：</w:t>
      </w:r>
    </w:p>
    <w:p w14:paraId="756C5D51">
      <w:pPr>
        <w:ind w:firstLine="420"/>
      </w:pPr>
      <w:r>
        <w:rPr>
          <w:rFonts w:ascii="宋体" w:hAnsi="宋体"/>
          <w:b w:val="0"/>
          <w:sz w:val="24"/>
        </w:rPr>
        <w:t>（1）研究对象：USGS 站点 05464500（Cedar River at Cedar Rapids, IA）。</w:t>
      </w:r>
    </w:p>
    <w:p w14:paraId="040EFCD6">
      <w:pPr>
        <w:ind w:firstLine="420"/>
      </w:pPr>
      <w:r>
        <w:rPr>
          <w:rFonts w:ascii="宋体" w:hAnsi="宋体"/>
          <w:b w:val="0"/>
          <w:sz w:val="24"/>
        </w:rPr>
        <w:t>（2）输入：过去连续 72 小时的多变量观测序列，包括水位（stage_ft）、流量（discharge_cfs）和降水量（precipitation_mm）共 3 个特征。</w:t>
      </w:r>
    </w:p>
    <w:p w14:paraId="1DBC3C4C">
      <w:pPr>
        <w:ind w:firstLine="420"/>
      </w:pPr>
      <w:r>
        <w:rPr>
          <w:rFonts w:ascii="宋体" w:hAnsi="宋体"/>
          <w:b w:val="0"/>
          <w:sz w:val="24"/>
        </w:rPr>
        <w:t>（3）输出：未来连续 24 小时的水位高度序列（单位 ft），并据此判定洪水风险等级。</w:t>
      </w:r>
    </w:p>
    <w:p w14:paraId="6C5AF936">
      <w:pPr>
        <w:ind w:firstLine="420"/>
      </w:pPr>
      <w:r>
        <w:rPr>
          <w:rFonts w:ascii="宋体" w:hAnsi="宋体"/>
          <w:b w:val="0"/>
          <w:sz w:val="24"/>
        </w:rPr>
        <w:t>（4）任务类型：有监督的序列到序列回归预测；评价目标为第 1～24 小时各预测步的水位误差最小化，同时保证对趋势和峰值的准确捕捉。</w:t>
      </w:r>
    </w:p>
    <w:p w14:paraId="653D9E04">
      <w:pPr>
        <w:ind w:firstLine="420"/>
      </w:pPr>
      <w:r>
        <w:rPr>
          <w:rFonts w:ascii="宋体" w:hAnsi="宋体"/>
          <w:b w:val="0"/>
          <w:sz w:val="24"/>
        </w:rPr>
        <w:t>（5）评价指标：平均绝对误差 MAE、均方根误差 RMSE、决定系数 R²，分别衡量平均偏差、极端误差与模型对方差的解释能力。</w:t>
      </w:r>
    </w:p>
    <w:p w14:paraId="09491533">
      <w:pPr>
        <w:spacing w:before="240" w:after="120"/>
      </w:pPr>
      <w:r>
        <w:rPr>
          <w:rFonts w:ascii="黑体" w:hAnsi="黑体"/>
          <w:b/>
          <w:sz w:val="32"/>
        </w:rPr>
        <w:t>三、数据来源</w:t>
      </w:r>
    </w:p>
    <w:p w14:paraId="2DD8D516">
      <w:pPr>
        <w:ind w:firstLine="420"/>
      </w:pPr>
      <w:r>
        <w:rPr>
          <w:rFonts w:ascii="宋体" w:hAnsi="宋体"/>
          <w:b w:val="0"/>
          <w:sz w:val="24"/>
        </w:rPr>
        <w:t>本项目的数据来自两个公开水文气象数据库，经按小时对齐融合后形成建模数据集。</w:t>
      </w:r>
    </w:p>
    <w:p w14:paraId="5DD85FDA">
      <w:pPr>
        <w:spacing w:before="120" w:after="60"/>
      </w:pPr>
      <w:r>
        <w:rPr>
          <w:rFonts w:ascii="黑体" w:hAnsi="黑体"/>
          <w:b/>
          <w:sz w:val="26"/>
        </w:rPr>
        <w:t>3.1 USGS 水文数据</w:t>
      </w:r>
    </w:p>
    <w:p w14:paraId="1AB84CE7">
      <w:pPr>
        <w:ind w:firstLine="420"/>
      </w:pPr>
      <w:r>
        <w:rPr>
          <w:rFonts w:ascii="宋体" w:hAnsi="宋体"/>
          <w:b w:val="0"/>
          <w:sz w:val="24"/>
        </w:rPr>
        <w:t>水位与流量数据通过 USGS Water Services 的瞬时观测值接口（Instantaneous Values）获取，站点编号 05464500，参数代码 00065（水位，ft）与 00060（流量，ft³/s），时间范围 2008-01-01 至 2026-06-10，按年份分块请求并缓存为 JSON。</w:t>
      </w:r>
    </w:p>
    <w:p w14:paraId="0791A00E">
      <w:pPr>
        <w:spacing w:before="120" w:after="60"/>
      </w:pPr>
      <w:r>
        <w:rPr>
          <w:rFonts w:ascii="黑体" w:hAnsi="黑体"/>
          <w:b/>
          <w:sz w:val="26"/>
        </w:rPr>
        <w:t>3.2 ERA5 降雨数据</w:t>
      </w:r>
    </w:p>
    <w:p w14:paraId="55E568C2">
      <w:pPr>
        <w:ind w:firstLine="420"/>
      </w:pPr>
      <w:r>
        <w:rPr>
          <w:rFonts w:ascii="宋体" w:hAnsi="宋体"/>
          <w:b w:val="0"/>
          <w:sz w:val="24"/>
        </w:rPr>
        <w:t>小时降水量通过 Open-Meteo 的 ERA5 再分析数据接口获取，站点附近坐标（约 41.97°N, -91.67°W），参数为 hourly precipitation（单位 mm），数据基于 ECMWF ERA5 再分析数据集，作为驱动水文过程的关键输入特征。</w:t>
      </w:r>
    </w:p>
    <w:p w14:paraId="118B9A1A">
      <w:pPr>
        <w:spacing w:before="120" w:after="60"/>
      </w:pPr>
      <w:r>
        <w:rPr>
          <w:rFonts w:ascii="黑体" w:hAnsi="黑体"/>
          <w:b/>
          <w:sz w:val="26"/>
        </w:rPr>
        <w:t>3.3 融合后数据集</w:t>
      </w:r>
    </w:p>
    <w:p w14:paraId="4B5BAC2D">
      <w:pPr>
        <w:ind w:firstLine="420"/>
      </w:pPr>
      <w:r>
        <w:rPr>
          <w:rFonts w:ascii="宋体" w:hAnsi="宋体"/>
          <w:b w:val="0"/>
          <w:sz w:val="24"/>
        </w:rPr>
        <w:t>将瞬时观测按 1 小时重采样取均值，对缺失值进行双向线性插值，再与降雨数据按时间对齐内连接，最终得到小时级数据集 cedar_rapids_stage_hourly.csv，共 161,634 条记录，字段包括 datetime、stage_ft、discharge_cfs、precipitation_mm、stage_m。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D97BF06">
        <w:tc>
          <w:tcPr>
            <w:tcW w:w="2880" w:type="dxa"/>
          </w:tcPr>
          <w:p w14:paraId="593E44C1">
            <w:r>
              <w:rPr>
                <w:rFonts w:ascii="宋体" w:hAnsi="宋体"/>
                <w:b/>
                <w:sz w:val="22"/>
              </w:rPr>
              <w:t>字段</w:t>
            </w:r>
          </w:p>
        </w:tc>
        <w:tc>
          <w:tcPr>
            <w:tcW w:w="2880" w:type="dxa"/>
          </w:tcPr>
          <w:p w14:paraId="74B0D8E8">
            <w:r>
              <w:rPr>
                <w:rFonts w:ascii="宋体" w:hAnsi="宋体"/>
                <w:b/>
                <w:sz w:val="22"/>
              </w:rPr>
              <w:t>含义</w:t>
            </w:r>
          </w:p>
        </w:tc>
        <w:tc>
          <w:tcPr>
            <w:tcW w:w="2880" w:type="dxa"/>
          </w:tcPr>
          <w:p w14:paraId="47AE9DC1">
            <w:r>
              <w:rPr>
                <w:rFonts w:ascii="宋体" w:hAnsi="宋体"/>
                <w:b/>
                <w:sz w:val="22"/>
              </w:rPr>
              <w:t>单位</w:t>
            </w:r>
          </w:p>
        </w:tc>
      </w:tr>
      <w:tr w14:paraId="557B66DE">
        <w:tc>
          <w:tcPr>
            <w:tcW w:w="2880" w:type="dxa"/>
          </w:tcPr>
          <w:p w14:paraId="33FBAA9E">
            <w:r>
              <w:rPr>
                <w:rFonts w:ascii="宋体" w:hAnsi="宋体"/>
                <w:sz w:val="22"/>
              </w:rPr>
              <w:t>datetime</w:t>
            </w:r>
          </w:p>
        </w:tc>
        <w:tc>
          <w:tcPr>
            <w:tcW w:w="2880" w:type="dxa"/>
          </w:tcPr>
          <w:p w14:paraId="61CD6B12">
            <w:r>
              <w:rPr>
                <w:rFonts w:ascii="宋体" w:hAnsi="宋体"/>
                <w:sz w:val="22"/>
              </w:rPr>
              <w:t>时间戳（UTC）</w:t>
            </w:r>
          </w:p>
        </w:tc>
        <w:tc>
          <w:tcPr>
            <w:tcW w:w="2880" w:type="dxa"/>
          </w:tcPr>
          <w:p w14:paraId="78977252">
            <w:r>
              <w:rPr>
                <w:rFonts w:ascii="宋体" w:hAnsi="宋体"/>
                <w:sz w:val="22"/>
              </w:rPr>
              <w:t>—</w:t>
            </w:r>
          </w:p>
        </w:tc>
      </w:tr>
      <w:tr w14:paraId="3C764E96">
        <w:tc>
          <w:tcPr>
            <w:tcW w:w="2880" w:type="dxa"/>
          </w:tcPr>
          <w:p w14:paraId="136711DC">
            <w:r>
              <w:rPr>
                <w:rFonts w:ascii="宋体" w:hAnsi="宋体"/>
                <w:sz w:val="22"/>
              </w:rPr>
              <w:t>stage_ft</w:t>
            </w:r>
          </w:p>
        </w:tc>
        <w:tc>
          <w:tcPr>
            <w:tcW w:w="2880" w:type="dxa"/>
          </w:tcPr>
          <w:p w14:paraId="47AEA44D">
            <w:r>
              <w:rPr>
                <w:rFonts w:ascii="宋体" w:hAnsi="宋体"/>
                <w:sz w:val="22"/>
              </w:rPr>
              <w:t>水位高度</w:t>
            </w:r>
          </w:p>
        </w:tc>
        <w:tc>
          <w:tcPr>
            <w:tcW w:w="2880" w:type="dxa"/>
          </w:tcPr>
          <w:p w14:paraId="431D809F">
            <w:r>
              <w:rPr>
                <w:rFonts w:ascii="宋体" w:hAnsi="宋体"/>
                <w:sz w:val="22"/>
              </w:rPr>
              <w:t>ft</w:t>
            </w:r>
          </w:p>
        </w:tc>
      </w:tr>
      <w:tr w14:paraId="2A5FCB2E">
        <w:tc>
          <w:tcPr>
            <w:tcW w:w="2880" w:type="dxa"/>
          </w:tcPr>
          <w:p w14:paraId="239E5264">
            <w:r>
              <w:rPr>
                <w:rFonts w:ascii="宋体" w:hAnsi="宋体"/>
                <w:sz w:val="22"/>
              </w:rPr>
              <w:t>discharge_cfs</w:t>
            </w:r>
          </w:p>
        </w:tc>
        <w:tc>
          <w:tcPr>
            <w:tcW w:w="2880" w:type="dxa"/>
          </w:tcPr>
          <w:p w14:paraId="13FFF64F">
            <w:r>
              <w:rPr>
                <w:rFonts w:ascii="宋体" w:hAnsi="宋体"/>
                <w:sz w:val="22"/>
              </w:rPr>
              <w:t>流量</w:t>
            </w:r>
          </w:p>
        </w:tc>
        <w:tc>
          <w:tcPr>
            <w:tcW w:w="2880" w:type="dxa"/>
          </w:tcPr>
          <w:p w14:paraId="28511986">
            <w:r>
              <w:rPr>
                <w:rFonts w:ascii="宋体" w:hAnsi="宋体"/>
                <w:sz w:val="22"/>
              </w:rPr>
              <w:t>ft³/s</w:t>
            </w:r>
          </w:p>
        </w:tc>
      </w:tr>
      <w:tr w14:paraId="58D0FC8F">
        <w:tc>
          <w:tcPr>
            <w:tcW w:w="2880" w:type="dxa"/>
          </w:tcPr>
          <w:p w14:paraId="4F9C872C">
            <w:r>
              <w:rPr>
                <w:rFonts w:ascii="宋体" w:hAnsi="宋体"/>
                <w:sz w:val="22"/>
              </w:rPr>
              <w:t>precipitation_mm</w:t>
            </w:r>
          </w:p>
        </w:tc>
        <w:tc>
          <w:tcPr>
            <w:tcW w:w="2880" w:type="dxa"/>
          </w:tcPr>
          <w:p w14:paraId="463E2EFA">
            <w:r>
              <w:rPr>
                <w:rFonts w:ascii="宋体" w:hAnsi="宋体"/>
                <w:sz w:val="22"/>
              </w:rPr>
              <w:t>小时降水量</w:t>
            </w:r>
          </w:p>
        </w:tc>
        <w:tc>
          <w:tcPr>
            <w:tcW w:w="2880" w:type="dxa"/>
          </w:tcPr>
          <w:p w14:paraId="154D776D">
            <w:r>
              <w:rPr>
                <w:rFonts w:ascii="宋体" w:hAnsi="宋体"/>
                <w:sz w:val="22"/>
              </w:rPr>
              <w:t>mm</w:t>
            </w:r>
          </w:p>
        </w:tc>
      </w:tr>
      <w:tr w14:paraId="2CE05896">
        <w:tc>
          <w:tcPr>
            <w:tcW w:w="2880" w:type="dxa"/>
          </w:tcPr>
          <w:p w14:paraId="3FBF97AF">
            <w:r>
              <w:rPr>
                <w:rFonts w:ascii="宋体" w:hAnsi="宋体"/>
                <w:sz w:val="22"/>
              </w:rPr>
              <w:t>stage_m</w:t>
            </w:r>
          </w:p>
        </w:tc>
        <w:tc>
          <w:tcPr>
            <w:tcW w:w="2880" w:type="dxa"/>
          </w:tcPr>
          <w:p w14:paraId="1B8EE3B4">
            <w:r>
              <w:rPr>
                <w:rFonts w:ascii="宋体" w:hAnsi="宋体"/>
                <w:sz w:val="22"/>
              </w:rPr>
              <w:t>水位高度（派生）</w:t>
            </w:r>
          </w:p>
        </w:tc>
        <w:tc>
          <w:tcPr>
            <w:tcW w:w="2880" w:type="dxa"/>
          </w:tcPr>
          <w:p w14:paraId="3DB997FF">
            <w:r>
              <w:rPr>
                <w:rFonts w:ascii="宋体" w:hAnsi="宋体"/>
                <w:sz w:val="22"/>
              </w:rPr>
              <w:t>m</w:t>
            </w:r>
          </w:p>
        </w:tc>
      </w:tr>
    </w:tbl>
    <w:p w14:paraId="5D56A9ED">
      <w:pPr>
        <w:spacing w:before="240" w:after="120"/>
      </w:pPr>
      <w:r>
        <w:rPr>
          <w:rFonts w:ascii="黑体" w:hAnsi="黑体"/>
          <w:b/>
          <w:sz w:val="32"/>
        </w:rPr>
        <w:t>四、技术路线</w:t>
      </w:r>
    </w:p>
    <w:p w14:paraId="55E95839">
      <w:pPr>
        <w:ind w:firstLine="420"/>
      </w:pPr>
      <w:r>
        <w:rPr>
          <w:rFonts w:ascii="宋体" w:hAnsi="宋体"/>
          <w:b w:val="0"/>
          <w:sz w:val="24"/>
        </w:rPr>
        <w:t>整体技术路线分为四层：数据层、特征层、模型层、应用层。数据层负责多源数据采集与清洗融合；特征层完成时间对齐、缺失值插值与归一化，并通过滑动窗口构造序列样本；模型层使用双层 LSTM（并实现 BiLSTM 作为对比）完成多步回归预测；应用层对预测结果进行反归一化、风险分级并输出可视化与预警信息。</w:t>
      </w:r>
    </w:p>
    <w:p w14:paraId="7A10E7B1">
      <w:pPr>
        <w:ind w:left="420" w:firstLine="0"/>
      </w:pPr>
      <w:r>
        <w:rPr>
          <w:rFonts w:ascii="宋体" w:hAnsi="宋体"/>
          <w:sz w:val="24"/>
        </w:rPr>
        <w:t>• 数据层：USGS API + Open-Meteo ERA5 API → 原始 JSON 缓存 → 小时级清洗与多源融合。</w:t>
      </w:r>
    </w:p>
    <w:p w14:paraId="1B97DA04">
      <w:pPr>
        <w:ind w:left="420" w:firstLine="0"/>
      </w:pPr>
      <w:r>
        <w:rPr>
          <w:rFonts w:ascii="宋体" w:hAnsi="宋体"/>
          <w:sz w:val="24"/>
        </w:rPr>
        <w:t>• 特征层：MinMaxScaler 归一化 → 72 小时滑动窗口输入 / 24 小时标签输出。</w:t>
      </w:r>
    </w:p>
    <w:p w14:paraId="3AD03A00">
      <w:pPr>
        <w:ind w:left="420" w:firstLine="0"/>
      </w:pPr>
      <w:r>
        <w:rPr>
          <w:rFonts w:ascii="宋体" w:hAnsi="宋体"/>
          <w:sz w:val="24"/>
        </w:rPr>
        <w:t>• 模型层：双层 LSTM（64→32）+ Dropout + Dense，Adam 优化、MSE 损失、EarlyStopping。</w:t>
      </w:r>
    </w:p>
    <w:p w14:paraId="0282585E">
      <w:pPr>
        <w:ind w:left="420" w:firstLine="0"/>
      </w:pPr>
      <w:r>
        <w:rPr>
          <w:rFonts w:ascii="宋体" w:hAnsi="宋体"/>
          <w:sz w:val="24"/>
        </w:rPr>
        <w:t>• 应用层：反归一化还原水位 → 五级风险分类 → 预测图/风险图/对比图输出。</w:t>
      </w:r>
    </w:p>
    <w:p w14:paraId="06458155">
      <w:pPr>
        <w:spacing w:before="240" w:after="120"/>
      </w:pPr>
      <w:r>
        <w:rPr>
          <w:rFonts w:ascii="黑体" w:hAnsi="黑体"/>
          <w:b/>
          <w:sz w:val="32"/>
        </w:rPr>
        <w:t>五、算法方法</w:t>
      </w:r>
    </w:p>
    <w:p w14:paraId="4F4F029A">
      <w:pPr>
        <w:spacing w:before="120" w:after="60"/>
      </w:pPr>
      <w:r>
        <w:rPr>
          <w:rFonts w:ascii="黑体" w:hAnsi="黑体"/>
          <w:b/>
          <w:sz w:val="26"/>
        </w:rPr>
        <w:t>5.1 LSTM 原理</w:t>
      </w:r>
    </w:p>
    <w:p w14:paraId="20AD67B7">
      <w:pPr>
        <w:ind w:firstLine="420"/>
      </w:pPr>
      <w:r>
        <w:rPr>
          <w:rFonts w:ascii="宋体" w:hAnsi="宋体"/>
          <w:b w:val="0"/>
          <w:sz w:val="24"/>
        </w:rPr>
        <w:t>LSTM（Long Short-Term Memory）通过遗忘门、输入门、输出门三门控结构对细胞状态进行读写与维护，有效缓解了普通 RNN 在长序列上的梯度消失问题。相对于仅依赖近期信息的传统时间序列模型，LSTM 能够在 72 小时输入窗口内捕捉降雨—径流的滞后响应与趋势惯性，适合水位这类具有长时依赖、强非线性的水文序列建模。</w:t>
      </w:r>
    </w:p>
    <w:p w14:paraId="3B71175E">
      <w:pPr>
        <w:spacing w:before="120" w:after="60"/>
      </w:pPr>
      <w:r>
        <w:rPr>
          <w:rFonts w:ascii="黑体" w:hAnsi="黑体"/>
          <w:b/>
          <w:sz w:val="26"/>
        </w:rPr>
        <w:t>5.2 模型结构</w:t>
      </w:r>
    </w:p>
    <w:p w14:paraId="390E1C47">
      <w:pPr>
        <w:ind w:firstLine="420"/>
      </w:pPr>
      <w:r>
        <w:rPr>
          <w:rFonts w:ascii="宋体" w:hAnsi="宋体"/>
          <w:b w:val="0"/>
          <w:sz w:val="24"/>
        </w:rPr>
        <w:t>本项目采用双层 LSTM 递减结构，配合 Dropout 防止过拟合，最后通过 Dense 层输出 24 维预测：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531D491">
        <w:tc>
          <w:tcPr>
            <w:tcW w:w="4320" w:type="dxa"/>
          </w:tcPr>
          <w:p w14:paraId="0EC99BB8">
            <w:r>
              <w:rPr>
                <w:rFonts w:ascii="宋体" w:hAnsi="宋体"/>
                <w:b/>
                <w:sz w:val="22"/>
              </w:rPr>
              <w:t>层</w:t>
            </w:r>
          </w:p>
        </w:tc>
        <w:tc>
          <w:tcPr>
            <w:tcW w:w="4320" w:type="dxa"/>
          </w:tcPr>
          <w:p w14:paraId="7EB2BB2A">
            <w:r>
              <w:rPr>
                <w:rFonts w:ascii="宋体" w:hAnsi="宋体"/>
                <w:b/>
                <w:sz w:val="22"/>
              </w:rPr>
              <w:t>说明</w:t>
            </w:r>
          </w:p>
        </w:tc>
      </w:tr>
      <w:tr w14:paraId="4D50E543">
        <w:tc>
          <w:tcPr>
            <w:tcW w:w="4320" w:type="dxa"/>
          </w:tcPr>
          <w:p w14:paraId="0CAE935D">
            <w:r>
              <w:rPr>
                <w:rFonts w:ascii="宋体" w:hAnsi="宋体"/>
                <w:sz w:val="22"/>
              </w:rPr>
              <w:t>Input</w:t>
            </w:r>
          </w:p>
        </w:tc>
        <w:tc>
          <w:tcPr>
            <w:tcW w:w="4320" w:type="dxa"/>
          </w:tcPr>
          <w:p w14:paraId="79AF4FBB">
            <w:r>
              <w:rPr>
                <w:rFonts w:ascii="宋体" w:hAnsi="宋体"/>
                <w:sz w:val="22"/>
              </w:rPr>
              <w:t>形状 (72, 3)</w:t>
            </w:r>
          </w:p>
        </w:tc>
      </w:tr>
      <w:tr w14:paraId="545B0D76">
        <w:tc>
          <w:tcPr>
            <w:tcW w:w="4320" w:type="dxa"/>
          </w:tcPr>
          <w:p w14:paraId="3C1F0D65">
            <w:r>
              <w:rPr>
                <w:rFonts w:ascii="宋体" w:hAnsi="宋体"/>
                <w:sz w:val="22"/>
              </w:rPr>
              <w:t>LSTM(64, return_sequences=True)</w:t>
            </w:r>
          </w:p>
        </w:tc>
        <w:tc>
          <w:tcPr>
            <w:tcW w:w="4320" w:type="dxa"/>
          </w:tcPr>
          <w:p w14:paraId="678240D7">
            <w:r>
              <w:rPr>
                <w:rFonts w:ascii="宋体" w:hAnsi="宋体"/>
                <w:sz w:val="22"/>
              </w:rPr>
              <w:t>第一层 LSTM，返回完整序列</w:t>
            </w:r>
          </w:p>
        </w:tc>
      </w:tr>
      <w:tr w14:paraId="3853D513">
        <w:tc>
          <w:tcPr>
            <w:tcW w:w="4320" w:type="dxa"/>
          </w:tcPr>
          <w:p w14:paraId="27CA000E">
            <w:r>
              <w:rPr>
                <w:rFonts w:ascii="宋体" w:hAnsi="宋体"/>
                <w:sz w:val="22"/>
              </w:rPr>
              <w:t>Dropout(0.2)</w:t>
            </w:r>
          </w:p>
        </w:tc>
        <w:tc>
          <w:tcPr>
            <w:tcW w:w="4320" w:type="dxa"/>
          </w:tcPr>
          <w:p w14:paraId="59AFB5B1">
            <w:r>
              <w:rPr>
                <w:rFonts w:ascii="宋体" w:hAnsi="宋体"/>
                <w:sz w:val="22"/>
              </w:rPr>
              <w:t>正则化</w:t>
            </w:r>
          </w:p>
        </w:tc>
      </w:tr>
      <w:tr w14:paraId="037B06DC">
        <w:tc>
          <w:tcPr>
            <w:tcW w:w="4320" w:type="dxa"/>
          </w:tcPr>
          <w:p w14:paraId="724E9AB5">
            <w:r>
              <w:rPr>
                <w:rFonts w:ascii="宋体" w:hAnsi="宋体"/>
                <w:sz w:val="22"/>
              </w:rPr>
              <w:t>LSTM(32)</w:t>
            </w:r>
          </w:p>
        </w:tc>
        <w:tc>
          <w:tcPr>
            <w:tcW w:w="4320" w:type="dxa"/>
          </w:tcPr>
          <w:p w14:paraId="258B3A5A">
            <w:r>
              <w:rPr>
                <w:rFonts w:ascii="宋体" w:hAnsi="宋体"/>
                <w:sz w:val="22"/>
              </w:rPr>
              <w:t>第二层 LSTM，仅返回最后隐状态</w:t>
            </w:r>
          </w:p>
        </w:tc>
      </w:tr>
      <w:tr w14:paraId="61A7DCF4">
        <w:tc>
          <w:tcPr>
            <w:tcW w:w="4320" w:type="dxa"/>
          </w:tcPr>
          <w:p w14:paraId="669409A3">
            <w:r>
              <w:rPr>
                <w:rFonts w:ascii="宋体" w:hAnsi="宋体"/>
                <w:sz w:val="22"/>
              </w:rPr>
              <w:t>Dropout(0.2)</w:t>
            </w:r>
          </w:p>
        </w:tc>
        <w:tc>
          <w:tcPr>
            <w:tcW w:w="4320" w:type="dxa"/>
          </w:tcPr>
          <w:p w14:paraId="13368C4A">
            <w:r>
              <w:rPr>
                <w:rFonts w:ascii="宋体" w:hAnsi="宋体"/>
                <w:sz w:val="22"/>
              </w:rPr>
              <w:t>正则化</w:t>
            </w:r>
          </w:p>
        </w:tc>
      </w:tr>
      <w:tr w14:paraId="128A3E52">
        <w:tc>
          <w:tcPr>
            <w:tcW w:w="4320" w:type="dxa"/>
          </w:tcPr>
          <w:p w14:paraId="7F2CC01B">
            <w:r>
              <w:rPr>
                <w:rFonts w:ascii="宋体" w:hAnsi="宋体"/>
                <w:sz w:val="22"/>
              </w:rPr>
              <w:t>Dense(32, ReLU)</w:t>
            </w:r>
          </w:p>
        </w:tc>
        <w:tc>
          <w:tcPr>
            <w:tcW w:w="4320" w:type="dxa"/>
          </w:tcPr>
          <w:p w14:paraId="4D114E66">
            <w:r>
              <w:rPr>
                <w:rFonts w:ascii="宋体" w:hAnsi="宋体"/>
                <w:sz w:val="22"/>
              </w:rPr>
              <w:t>特征提取</w:t>
            </w:r>
          </w:p>
        </w:tc>
      </w:tr>
      <w:tr w14:paraId="6C11F6BA">
        <w:tc>
          <w:tcPr>
            <w:tcW w:w="4320" w:type="dxa"/>
          </w:tcPr>
          <w:p w14:paraId="27870EA2">
            <w:r>
              <w:rPr>
                <w:rFonts w:ascii="宋体" w:hAnsi="宋体"/>
                <w:sz w:val="22"/>
              </w:rPr>
              <w:t>Dense(24)</w:t>
            </w:r>
          </w:p>
        </w:tc>
        <w:tc>
          <w:tcPr>
            <w:tcW w:w="4320" w:type="dxa"/>
          </w:tcPr>
          <w:p w14:paraId="0EBD3265">
            <w:r>
              <w:rPr>
                <w:rFonts w:ascii="宋体" w:hAnsi="宋体"/>
                <w:sz w:val="22"/>
              </w:rPr>
              <w:t>输出未来 24 小时水位</w:t>
            </w:r>
          </w:p>
        </w:tc>
      </w:tr>
    </w:tbl>
    <w:p w14:paraId="68EC3D6F">
      <w:pPr>
        <w:spacing w:before="120" w:after="60"/>
      </w:pPr>
      <w:r>
        <w:rPr>
          <w:rFonts w:ascii="黑体" w:hAnsi="黑体"/>
          <w:b/>
          <w:sz w:val="26"/>
        </w:rPr>
        <w:t>5.3 关键参数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329B5CB">
        <w:tc>
          <w:tcPr>
            <w:tcW w:w="2880" w:type="dxa"/>
          </w:tcPr>
          <w:p w14:paraId="27BE90F5">
            <w:r>
              <w:rPr>
                <w:rFonts w:ascii="宋体" w:hAnsi="宋体"/>
                <w:b/>
                <w:sz w:val="22"/>
              </w:rPr>
              <w:t>参数</w:t>
            </w:r>
          </w:p>
        </w:tc>
        <w:tc>
          <w:tcPr>
            <w:tcW w:w="2880" w:type="dxa"/>
          </w:tcPr>
          <w:p w14:paraId="0B5DE469">
            <w:r>
              <w:rPr>
                <w:rFonts w:ascii="宋体" w:hAnsi="宋体"/>
                <w:b/>
                <w:sz w:val="22"/>
              </w:rPr>
              <w:t>取值</w:t>
            </w:r>
          </w:p>
        </w:tc>
        <w:tc>
          <w:tcPr>
            <w:tcW w:w="2880" w:type="dxa"/>
          </w:tcPr>
          <w:p w14:paraId="18DAD4B4">
            <w:r>
              <w:rPr>
                <w:rFonts w:ascii="宋体" w:hAnsi="宋体"/>
                <w:b/>
                <w:sz w:val="22"/>
              </w:rPr>
              <w:t>说明</w:t>
            </w:r>
          </w:p>
        </w:tc>
      </w:tr>
      <w:tr w14:paraId="49C7B011">
        <w:tc>
          <w:tcPr>
            <w:tcW w:w="2880" w:type="dxa"/>
          </w:tcPr>
          <w:p w14:paraId="2D9BC318">
            <w:r>
              <w:rPr>
                <w:rFonts w:ascii="宋体" w:hAnsi="宋体"/>
                <w:sz w:val="22"/>
              </w:rPr>
              <w:t>WINDOW_SIZE</w:t>
            </w:r>
          </w:p>
        </w:tc>
        <w:tc>
          <w:tcPr>
            <w:tcW w:w="2880" w:type="dxa"/>
          </w:tcPr>
          <w:p w14:paraId="02D21372">
            <w:r>
              <w:rPr>
                <w:rFonts w:ascii="宋体" w:hAnsi="宋体"/>
                <w:sz w:val="22"/>
              </w:rPr>
              <w:t>72</w:t>
            </w:r>
          </w:p>
        </w:tc>
        <w:tc>
          <w:tcPr>
            <w:tcW w:w="2880" w:type="dxa"/>
          </w:tcPr>
          <w:p w14:paraId="771DC6F1">
            <w:r>
              <w:rPr>
                <w:rFonts w:ascii="宋体" w:hAnsi="宋体"/>
                <w:sz w:val="22"/>
              </w:rPr>
              <w:t>输入窗口（小时）</w:t>
            </w:r>
          </w:p>
        </w:tc>
      </w:tr>
      <w:tr w14:paraId="03D04C6C">
        <w:tc>
          <w:tcPr>
            <w:tcW w:w="2880" w:type="dxa"/>
          </w:tcPr>
          <w:p w14:paraId="1CF589E1">
            <w:r>
              <w:rPr>
                <w:rFonts w:ascii="宋体" w:hAnsi="宋体"/>
                <w:sz w:val="22"/>
              </w:rPr>
              <w:t>FORECAST_HORIZON</w:t>
            </w:r>
          </w:p>
        </w:tc>
        <w:tc>
          <w:tcPr>
            <w:tcW w:w="2880" w:type="dxa"/>
          </w:tcPr>
          <w:p w14:paraId="4A6EB675">
            <w:r>
              <w:rPr>
                <w:rFonts w:ascii="宋体" w:hAnsi="宋体"/>
                <w:sz w:val="22"/>
              </w:rPr>
              <w:t>24</w:t>
            </w:r>
          </w:p>
        </w:tc>
        <w:tc>
          <w:tcPr>
            <w:tcW w:w="2880" w:type="dxa"/>
          </w:tcPr>
          <w:p w14:paraId="13D94A5D">
            <w:r>
              <w:rPr>
                <w:rFonts w:ascii="宋体" w:hAnsi="宋体"/>
                <w:sz w:val="22"/>
              </w:rPr>
              <w:t>预测步长（小时）</w:t>
            </w:r>
          </w:p>
        </w:tc>
      </w:tr>
      <w:tr w14:paraId="253D6317">
        <w:tc>
          <w:tcPr>
            <w:tcW w:w="2880" w:type="dxa"/>
          </w:tcPr>
          <w:p w14:paraId="41F156D9">
            <w:r>
              <w:rPr>
                <w:rFonts w:ascii="宋体" w:hAnsi="宋体"/>
                <w:sz w:val="22"/>
              </w:rPr>
              <w:t>TEST_RATIO</w:t>
            </w:r>
          </w:p>
        </w:tc>
        <w:tc>
          <w:tcPr>
            <w:tcW w:w="2880" w:type="dxa"/>
          </w:tcPr>
          <w:p w14:paraId="367D18C4">
            <w:r>
              <w:rPr>
                <w:rFonts w:ascii="宋体" w:hAnsi="宋体"/>
                <w:sz w:val="22"/>
              </w:rPr>
              <w:t>0.2</w:t>
            </w:r>
          </w:p>
        </w:tc>
        <w:tc>
          <w:tcPr>
            <w:tcW w:w="2880" w:type="dxa"/>
          </w:tcPr>
          <w:p w14:paraId="271A38F6">
            <w:r>
              <w:rPr>
                <w:rFonts w:ascii="宋体" w:hAnsi="宋体"/>
                <w:sz w:val="22"/>
              </w:rPr>
              <w:t>测试集比例</w:t>
            </w:r>
          </w:p>
        </w:tc>
      </w:tr>
      <w:tr w14:paraId="5011F5EE">
        <w:tc>
          <w:tcPr>
            <w:tcW w:w="2880" w:type="dxa"/>
          </w:tcPr>
          <w:p w14:paraId="690A4FCD">
            <w:r>
              <w:rPr>
                <w:rFonts w:ascii="宋体" w:hAnsi="宋体"/>
                <w:sz w:val="22"/>
              </w:rPr>
              <w:t>Batch Size</w:t>
            </w:r>
          </w:p>
        </w:tc>
        <w:tc>
          <w:tcPr>
            <w:tcW w:w="2880" w:type="dxa"/>
          </w:tcPr>
          <w:p w14:paraId="126D8805">
            <w:r>
              <w:rPr>
                <w:rFonts w:ascii="宋体" w:hAnsi="宋体"/>
                <w:sz w:val="22"/>
              </w:rPr>
              <w:t>128</w:t>
            </w:r>
          </w:p>
        </w:tc>
        <w:tc>
          <w:tcPr>
            <w:tcW w:w="2880" w:type="dxa"/>
          </w:tcPr>
          <w:p w14:paraId="0545CBEC">
            <w:r>
              <w:rPr>
                <w:rFonts w:ascii="宋体" w:hAnsi="宋体"/>
                <w:sz w:val="22"/>
              </w:rPr>
              <w:t>训练批次</w:t>
            </w:r>
          </w:p>
        </w:tc>
      </w:tr>
      <w:tr w14:paraId="1D528EFB">
        <w:tc>
          <w:tcPr>
            <w:tcW w:w="2880" w:type="dxa"/>
          </w:tcPr>
          <w:p w14:paraId="128BBE66">
            <w:r>
              <w:rPr>
                <w:rFonts w:ascii="宋体" w:hAnsi="宋体"/>
                <w:sz w:val="22"/>
              </w:rPr>
              <w:t>Epochs</w:t>
            </w:r>
          </w:p>
        </w:tc>
        <w:tc>
          <w:tcPr>
            <w:tcW w:w="2880" w:type="dxa"/>
          </w:tcPr>
          <w:p w14:paraId="319309AF">
            <w:r>
              <w:rPr>
                <w:rFonts w:ascii="宋体" w:hAnsi="宋体"/>
                <w:sz w:val="22"/>
              </w:rPr>
              <w:t>30</w:t>
            </w:r>
          </w:p>
        </w:tc>
        <w:tc>
          <w:tcPr>
            <w:tcW w:w="2880" w:type="dxa"/>
          </w:tcPr>
          <w:p w14:paraId="07226A64">
            <w:r>
              <w:rPr>
                <w:rFonts w:ascii="宋体" w:hAnsi="宋体"/>
                <w:sz w:val="22"/>
              </w:rPr>
              <w:t>最大训练轮数</w:t>
            </w:r>
          </w:p>
        </w:tc>
      </w:tr>
      <w:tr w14:paraId="52164639">
        <w:tc>
          <w:tcPr>
            <w:tcW w:w="2880" w:type="dxa"/>
          </w:tcPr>
          <w:p w14:paraId="62D24379">
            <w:r>
              <w:rPr>
                <w:rFonts w:ascii="宋体" w:hAnsi="宋体"/>
                <w:sz w:val="22"/>
              </w:rPr>
              <w:t>Learning Rate</w:t>
            </w:r>
          </w:p>
        </w:tc>
        <w:tc>
          <w:tcPr>
            <w:tcW w:w="2880" w:type="dxa"/>
          </w:tcPr>
          <w:p w14:paraId="4F9110AA">
            <w:r>
              <w:rPr>
                <w:rFonts w:ascii="宋体" w:hAnsi="宋体"/>
                <w:sz w:val="22"/>
              </w:rPr>
              <w:t>0.001</w:t>
            </w:r>
          </w:p>
        </w:tc>
        <w:tc>
          <w:tcPr>
            <w:tcW w:w="2880" w:type="dxa"/>
          </w:tcPr>
          <w:p w14:paraId="779C0531">
            <w:r>
              <w:rPr>
                <w:rFonts w:ascii="宋体" w:hAnsi="宋体"/>
                <w:sz w:val="22"/>
              </w:rPr>
              <w:t>Adam 学习率</w:t>
            </w:r>
          </w:p>
        </w:tc>
      </w:tr>
      <w:tr w14:paraId="00F28413">
        <w:tc>
          <w:tcPr>
            <w:tcW w:w="2880" w:type="dxa"/>
          </w:tcPr>
          <w:p w14:paraId="316DFF53">
            <w:r>
              <w:rPr>
                <w:rFonts w:ascii="宋体" w:hAnsi="宋体"/>
                <w:sz w:val="22"/>
              </w:rPr>
              <w:t>EarlyStopping Patience</w:t>
            </w:r>
          </w:p>
        </w:tc>
        <w:tc>
          <w:tcPr>
            <w:tcW w:w="2880" w:type="dxa"/>
          </w:tcPr>
          <w:p w14:paraId="4645967F">
            <w:r>
              <w:rPr>
                <w:rFonts w:ascii="宋体" w:hAnsi="宋体"/>
                <w:sz w:val="22"/>
              </w:rPr>
              <w:t>8</w:t>
            </w:r>
          </w:p>
        </w:tc>
        <w:tc>
          <w:tcPr>
            <w:tcW w:w="2880" w:type="dxa"/>
          </w:tcPr>
          <w:p w14:paraId="2EBC0E51">
            <w:r>
              <w:rPr>
                <w:rFonts w:ascii="宋体" w:hAnsi="宋体"/>
                <w:sz w:val="22"/>
              </w:rPr>
              <w:t>早停耐心值</w:t>
            </w:r>
          </w:p>
        </w:tc>
      </w:tr>
      <w:tr w14:paraId="28BD3C08">
        <w:tc>
          <w:tcPr>
            <w:tcW w:w="2880" w:type="dxa"/>
          </w:tcPr>
          <w:p w14:paraId="4CAA13F0">
            <w:r>
              <w:rPr>
                <w:rFonts w:ascii="宋体" w:hAnsi="宋体"/>
                <w:sz w:val="22"/>
              </w:rPr>
              <w:t>Loss</w:t>
            </w:r>
          </w:p>
        </w:tc>
        <w:tc>
          <w:tcPr>
            <w:tcW w:w="2880" w:type="dxa"/>
          </w:tcPr>
          <w:p w14:paraId="281DFA81">
            <w:r>
              <w:rPr>
                <w:rFonts w:ascii="宋体" w:hAnsi="宋体"/>
                <w:sz w:val="22"/>
              </w:rPr>
              <w:t>MSE</w:t>
            </w:r>
          </w:p>
        </w:tc>
        <w:tc>
          <w:tcPr>
            <w:tcW w:w="2880" w:type="dxa"/>
          </w:tcPr>
          <w:p w14:paraId="1C72E783">
            <w:r>
              <w:rPr>
                <w:rFonts w:ascii="宋体" w:hAnsi="宋体"/>
                <w:sz w:val="22"/>
              </w:rPr>
              <w:t>均方误差损失</w:t>
            </w:r>
          </w:p>
        </w:tc>
      </w:tr>
    </w:tbl>
    <w:p w14:paraId="42B24D7C">
      <w:pPr>
        <w:spacing w:before="120" w:after="60"/>
      </w:pPr>
      <w:r>
        <w:rPr>
          <w:rFonts w:ascii="黑体" w:hAnsi="黑体"/>
          <w:b/>
          <w:sz w:val="26"/>
        </w:rPr>
        <w:t>5.4 评价指标</w:t>
      </w:r>
    </w:p>
    <w:p w14:paraId="54E698BB">
      <w:pPr>
        <w:ind w:left="420" w:firstLine="0"/>
      </w:pPr>
      <w:r>
        <w:rPr>
          <w:rFonts w:ascii="宋体" w:hAnsi="宋体"/>
          <w:sz w:val="24"/>
        </w:rPr>
        <w:t>• MAE = (1/n) Σ|y_true − y_pred|：平均绝对误差，单位 ft。</w:t>
      </w:r>
    </w:p>
    <w:p w14:paraId="5F302BAD">
      <w:pPr>
        <w:ind w:left="420" w:firstLine="0"/>
      </w:pPr>
      <w:r>
        <w:rPr>
          <w:rFonts w:ascii="宋体" w:hAnsi="宋体"/>
          <w:sz w:val="24"/>
        </w:rPr>
        <w:t>• RMSE = √[(1/n) Σ(y_true − y_pred)²]：均方根误差，对极端误差更敏感。</w:t>
      </w:r>
    </w:p>
    <w:p w14:paraId="0C2B3D59">
      <w:pPr>
        <w:ind w:left="420" w:firstLine="0"/>
      </w:pPr>
      <w:r>
        <w:rPr>
          <w:rFonts w:ascii="宋体" w:hAnsi="宋体"/>
          <w:sz w:val="24"/>
        </w:rPr>
        <w:t>• R² = 1 − Σ(y_true−y_pred)² / Σ(y_true−y_mean)²：决定系数，越接近 1 越好。</w:t>
      </w:r>
    </w:p>
    <w:p w14:paraId="223FA32E">
      <w:pPr>
        <w:spacing w:before="120" w:after="60"/>
      </w:pPr>
      <w:r>
        <w:rPr>
          <w:rFonts w:ascii="黑体" w:hAnsi="黑体"/>
          <w:b/>
          <w:sz w:val="26"/>
        </w:rPr>
        <w:t>5.5 风险等级阈值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1607237">
        <w:tc>
          <w:tcPr>
            <w:tcW w:w="2880" w:type="dxa"/>
          </w:tcPr>
          <w:p w14:paraId="288668DF">
            <w:r>
              <w:rPr>
                <w:rFonts w:ascii="宋体" w:hAnsi="宋体"/>
                <w:b/>
                <w:sz w:val="22"/>
              </w:rPr>
              <w:t>风险等级</w:t>
            </w:r>
          </w:p>
        </w:tc>
        <w:tc>
          <w:tcPr>
            <w:tcW w:w="2880" w:type="dxa"/>
          </w:tcPr>
          <w:p w14:paraId="5D94F4CB">
            <w:r>
              <w:rPr>
                <w:rFonts w:ascii="宋体" w:hAnsi="宋体"/>
                <w:b/>
                <w:sz w:val="22"/>
              </w:rPr>
              <w:t>水位范围 (ft)</w:t>
            </w:r>
          </w:p>
        </w:tc>
        <w:tc>
          <w:tcPr>
            <w:tcW w:w="2880" w:type="dxa"/>
          </w:tcPr>
          <w:p w14:paraId="6EB423D0">
            <w:r>
              <w:rPr>
                <w:rFonts w:ascii="宋体" w:hAnsi="宋体"/>
                <w:b/>
                <w:sz w:val="22"/>
              </w:rPr>
              <w:t>含义</w:t>
            </w:r>
          </w:p>
        </w:tc>
      </w:tr>
      <w:tr w14:paraId="753A6E19">
        <w:tc>
          <w:tcPr>
            <w:tcW w:w="2880" w:type="dxa"/>
          </w:tcPr>
          <w:p w14:paraId="46CDDFA3">
            <w:r>
              <w:rPr>
                <w:rFonts w:ascii="宋体" w:hAnsi="宋体"/>
                <w:sz w:val="22"/>
              </w:rPr>
              <w:t>normal</w:t>
            </w:r>
          </w:p>
        </w:tc>
        <w:tc>
          <w:tcPr>
            <w:tcW w:w="2880" w:type="dxa"/>
          </w:tcPr>
          <w:p w14:paraId="7F47A721">
            <w:r>
              <w:rPr>
                <w:rFonts w:ascii="宋体" w:hAnsi="宋体"/>
                <w:sz w:val="22"/>
              </w:rPr>
              <w:t>&lt; 10.0</w:t>
            </w:r>
          </w:p>
        </w:tc>
        <w:tc>
          <w:tcPr>
            <w:tcW w:w="2880" w:type="dxa"/>
          </w:tcPr>
          <w:p w14:paraId="181A63A2">
            <w:r>
              <w:rPr>
                <w:rFonts w:ascii="宋体" w:hAnsi="宋体"/>
                <w:sz w:val="22"/>
              </w:rPr>
              <w:t>正常水位</w:t>
            </w:r>
          </w:p>
        </w:tc>
      </w:tr>
      <w:tr w14:paraId="37DDD9F4">
        <w:tc>
          <w:tcPr>
            <w:tcW w:w="2880" w:type="dxa"/>
          </w:tcPr>
          <w:p w14:paraId="21BA2105">
            <w:r>
              <w:rPr>
                <w:rFonts w:ascii="宋体" w:hAnsi="宋体"/>
                <w:sz w:val="22"/>
              </w:rPr>
              <w:t>action</w:t>
            </w:r>
          </w:p>
        </w:tc>
        <w:tc>
          <w:tcPr>
            <w:tcW w:w="2880" w:type="dxa"/>
          </w:tcPr>
          <w:p w14:paraId="51D05B59">
            <w:r>
              <w:rPr>
                <w:rFonts w:ascii="宋体" w:hAnsi="宋体"/>
                <w:sz w:val="22"/>
              </w:rPr>
              <w:t>10.0 – 12.0</w:t>
            </w:r>
          </w:p>
        </w:tc>
        <w:tc>
          <w:tcPr>
            <w:tcW w:w="2880" w:type="dxa"/>
          </w:tcPr>
          <w:p w14:paraId="1A16003D">
            <w:r>
              <w:rPr>
                <w:rFonts w:ascii="宋体" w:hAnsi="宋体"/>
                <w:sz w:val="22"/>
              </w:rPr>
              <w:t>行动水位（需关注）</w:t>
            </w:r>
          </w:p>
        </w:tc>
      </w:tr>
      <w:tr w14:paraId="1EEA1FAB">
        <w:tc>
          <w:tcPr>
            <w:tcW w:w="2880" w:type="dxa"/>
          </w:tcPr>
          <w:p w14:paraId="0588E42A">
            <w:r>
              <w:rPr>
                <w:rFonts w:ascii="宋体" w:hAnsi="宋体"/>
                <w:sz w:val="22"/>
              </w:rPr>
              <w:t>minor</w:t>
            </w:r>
          </w:p>
        </w:tc>
        <w:tc>
          <w:tcPr>
            <w:tcW w:w="2880" w:type="dxa"/>
          </w:tcPr>
          <w:p w14:paraId="6A4A4D7E">
            <w:r>
              <w:rPr>
                <w:rFonts w:ascii="宋体" w:hAnsi="宋体"/>
                <w:sz w:val="22"/>
              </w:rPr>
              <w:t>12.0 – 14.0</w:t>
            </w:r>
          </w:p>
        </w:tc>
        <w:tc>
          <w:tcPr>
            <w:tcW w:w="2880" w:type="dxa"/>
          </w:tcPr>
          <w:p w14:paraId="55BC2D61">
            <w:r>
              <w:rPr>
                <w:rFonts w:ascii="宋体" w:hAnsi="宋体"/>
                <w:sz w:val="22"/>
              </w:rPr>
              <w:t>轻微洪水</w:t>
            </w:r>
          </w:p>
        </w:tc>
      </w:tr>
      <w:tr w14:paraId="7B2979F6">
        <w:tc>
          <w:tcPr>
            <w:tcW w:w="2880" w:type="dxa"/>
          </w:tcPr>
          <w:p w14:paraId="083BD97E">
            <w:r>
              <w:rPr>
                <w:rFonts w:ascii="宋体" w:hAnsi="宋体"/>
                <w:sz w:val="22"/>
              </w:rPr>
              <w:t>moderate</w:t>
            </w:r>
          </w:p>
        </w:tc>
        <w:tc>
          <w:tcPr>
            <w:tcW w:w="2880" w:type="dxa"/>
          </w:tcPr>
          <w:p w14:paraId="5810F200">
            <w:r>
              <w:rPr>
                <w:rFonts w:ascii="宋体" w:hAnsi="宋体"/>
                <w:sz w:val="22"/>
              </w:rPr>
              <w:t>14.0 – 16.0</w:t>
            </w:r>
          </w:p>
        </w:tc>
        <w:tc>
          <w:tcPr>
            <w:tcW w:w="2880" w:type="dxa"/>
          </w:tcPr>
          <w:p w14:paraId="51AC387B">
            <w:r>
              <w:rPr>
                <w:rFonts w:ascii="宋体" w:hAnsi="宋体"/>
                <w:sz w:val="22"/>
              </w:rPr>
              <w:t>中度洪水</w:t>
            </w:r>
          </w:p>
        </w:tc>
      </w:tr>
      <w:tr w14:paraId="7070C0B1">
        <w:tc>
          <w:tcPr>
            <w:tcW w:w="2880" w:type="dxa"/>
          </w:tcPr>
          <w:p w14:paraId="5CE5F86C">
            <w:r>
              <w:rPr>
                <w:rFonts w:ascii="宋体" w:hAnsi="宋体"/>
                <w:sz w:val="22"/>
              </w:rPr>
              <w:t>major</w:t>
            </w:r>
          </w:p>
        </w:tc>
        <w:tc>
          <w:tcPr>
            <w:tcW w:w="2880" w:type="dxa"/>
          </w:tcPr>
          <w:p w14:paraId="315FE589">
            <w:r>
              <w:rPr>
                <w:rFonts w:ascii="宋体" w:hAnsi="宋体"/>
                <w:sz w:val="22"/>
              </w:rPr>
              <w:t>≥ 16.0</w:t>
            </w:r>
          </w:p>
        </w:tc>
        <w:tc>
          <w:tcPr>
            <w:tcW w:w="2880" w:type="dxa"/>
          </w:tcPr>
          <w:p w14:paraId="27FC1C1A">
            <w:r>
              <w:rPr>
                <w:rFonts w:ascii="宋体" w:hAnsi="宋体"/>
                <w:sz w:val="22"/>
              </w:rPr>
              <w:t>严重洪水</w:t>
            </w:r>
          </w:p>
        </w:tc>
      </w:tr>
    </w:tbl>
    <w:p w14:paraId="011C08AB">
      <w:pPr>
        <w:spacing w:before="240" w:after="120"/>
      </w:pPr>
      <w:r>
        <w:rPr>
          <w:rFonts w:ascii="黑体" w:hAnsi="黑体"/>
          <w:b/>
          <w:sz w:val="32"/>
        </w:rPr>
        <w:t>六、实施步骤</w:t>
      </w:r>
    </w:p>
    <w:p w14:paraId="1C943CDE">
      <w:pPr>
        <w:ind w:left="420" w:firstLine="0"/>
      </w:pPr>
      <w:r>
        <w:rPr>
          <w:rFonts w:ascii="宋体" w:hAnsi="宋体"/>
          <w:sz w:val="24"/>
        </w:rPr>
        <w:t>• 步骤1 数据采集：按年份分块调用 USGS Instantaneous Values 接口下载水位、流量瞬时观测，缓存 JSON；调用 Open-Meteo ERA5 接口下载小时降水量。</w:t>
      </w:r>
    </w:p>
    <w:p w14:paraId="46593066">
      <w:pPr>
        <w:ind w:left="420" w:firstLine="0"/>
      </w:pPr>
      <w:r>
        <w:rPr>
          <w:rFonts w:ascii="宋体" w:hAnsi="宋体"/>
          <w:sz w:val="24"/>
        </w:rPr>
        <w:t>• 步骤2 数据清洗：将瞬时值按 1 小时重采样取均值，对 stage_ft、discharge_cfs 做双向线性插值；降水量缺失尾部裁剪并 clip 至非负。</w:t>
      </w:r>
    </w:p>
    <w:p w14:paraId="24F1C0BB">
      <w:pPr>
        <w:ind w:left="420" w:firstLine="0"/>
      </w:pPr>
      <w:r>
        <w:rPr>
          <w:rFonts w:ascii="宋体" w:hAnsi="宋体"/>
          <w:sz w:val="24"/>
        </w:rPr>
        <w:t>• 步骤3 多源融合：以 datetime 为键，将水文数据与降雨数据内连接对齐，生成 cedar_rapids_stage_hourly.csv。</w:t>
      </w:r>
    </w:p>
    <w:p w14:paraId="64FDD708">
      <w:pPr>
        <w:ind w:left="420" w:firstLine="0"/>
      </w:pPr>
      <w:r>
        <w:rPr>
          <w:rFonts w:ascii="宋体" w:hAnsi="宋体"/>
          <w:sz w:val="24"/>
        </w:rPr>
        <w:t>• 步骤4 归一化：用训练集统计量拟合 MinMaxScaler，将 3 维特征映射到 [0,1]。</w:t>
      </w:r>
    </w:p>
    <w:p w14:paraId="542742A8">
      <w:pPr>
        <w:ind w:left="420" w:firstLine="0"/>
      </w:pPr>
      <w:r>
        <w:rPr>
          <w:rFonts w:ascii="宋体" w:hAnsi="宋体"/>
          <w:sz w:val="24"/>
        </w:rPr>
        <w:t>• 步骤5 滑动窗口构造：以 72 小时为输入、24 小时为标签、步长 1 滑动，得到样本对 (X, y)，按 8:2 划分训练/测试集。</w:t>
      </w:r>
    </w:p>
    <w:p w14:paraId="628FF3B5">
      <w:pPr>
        <w:ind w:left="420" w:firstLine="0"/>
      </w:pPr>
      <w:r>
        <w:rPr>
          <w:rFonts w:ascii="宋体" w:hAnsi="宋体"/>
          <w:sz w:val="24"/>
        </w:rPr>
        <w:t>• 步骤6 模型训练：构建双层 LSTM（及 BiLSTM 对照），Adam+MSE，batch=128、epochs=30、validation_split=0.15、EarlyStopping(patience=8)。</w:t>
      </w:r>
    </w:p>
    <w:p w14:paraId="0DBD54EE">
      <w:pPr>
        <w:ind w:left="420" w:firstLine="0"/>
      </w:pPr>
      <w:r>
        <w:rPr>
          <w:rFonts w:ascii="宋体" w:hAnsi="宋体"/>
          <w:sz w:val="24"/>
        </w:rPr>
        <w:t>• 步骤7 模型评估：在测试集预测，反归一化还原水位，按 24 个预测步分别计算 MAE/RMSE/R²。</w:t>
      </w:r>
    </w:p>
    <w:p w14:paraId="6B43F982">
      <w:pPr>
        <w:ind w:left="420" w:firstLine="0"/>
      </w:pPr>
      <w:r>
        <w:rPr>
          <w:rFonts w:ascii="宋体" w:hAnsi="宋体"/>
          <w:sz w:val="24"/>
        </w:rPr>
        <w:t>• 步骤8 未来预测：取最近 72 小时窗口输入模型，输出未来 24 小时水位并进行风险分级。</w:t>
      </w:r>
    </w:p>
    <w:p w14:paraId="51797D1F">
      <w:pPr>
        <w:ind w:left="420" w:firstLine="0"/>
      </w:pPr>
      <w:r>
        <w:rPr>
          <w:rFonts w:ascii="宋体" w:hAnsi="宋体"/>
          <w:sz w:val="24"/>
        </w:rPr>
        <w:t>• 步骤9 结果输出：生成预测对比图、风险图、模型对比图，导出指标 CSV 与未来预报 CSV。</w:t>
      </w:r>
    </w:p>
    <w:p w14:paraId="3E0D9CA5">
      <w:pPr>
        <w:spacing w:before="240" w:after="120"/>
      </w:pPr>
      <w:r>
        <w:rPr>
          <w:rFonts w:ascii="黑体" w:hAnsi="黑体"/>
          <w:b/>
          <w:sz w:val="32"/>
        </w:rPr>
        <w:t>七、结果分析</w:t>
      </w:r>
    </w:p>
    <w:p w14:paraId="517CF2E2">
      <w:pPr>
        <w:spacing w:before="120" w:after="60"/>
      </w:pPr>
      <w:r>
        <w:rPr>
          <w:rFonts w:ascii="黑体" w:hAnsi="黑体"/>
          <w:b/>
          <w:sz w:val="26"/>
        </w:rPr>
        <w:t>7.1 LSTM 各预测步误差</w:t>
      </w:r>
    </w:p>
    <w:p w14:paraId="127AA6E1">
      <w:pPr>
        <w:ind w:firstLine="420"/>
      </w:pPr>
      <w:r>
        <w:rPr>
          <w:rFonts w:ascii="宋体" w:hAnsi="宋体"/>
          <w:b w:val="0"/>
          <w:sz w:val="24"/>
        </w:rPr>
        <w:t>测试集上 LSTM 各预测步（小时）的误差指标如下表所示（节选第 1、6、12、18、24 步）：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BE42AC8">
        <w:tc>
          <w:tcPr>
            <w:tcW w:w="2160" w:type="dxa"/>
          </w:tcPr>
          <w:p w14:paraId="411BA994">
            <w:r>
              <w:rPr>
                <w:rFonts w:ascii="宋体" w:hAnsi="宋体"/>
                <w:b/>
                <w:sz w:val="22"/>
              </w:rPr>
              <w:t>预测小时</w:t>
            </w:r>
          </w:p>
        </w:tc>
        <w:tc>
          <w:tcPr>
            <w:tcW w:w="2160" w:type="dxa"/>
          </w:tcPr>
          <w:p w14:paraId="34D173AB">
            <w:r>
              <w:rPr>
                <w:rFonts w:ascii="宋体" w:hAnsi="宋体"/>
                <w:b/>
                <w:sz w:val="22"/>
              </w:rPr>
              <w:t>MAE (ft)</w:t>
            </w:r>
          </w:p>
        </w:tc>
        <w:tc>
          <w:tcPr>
            <w:tcW w:w="2160" w:type="dxa"/>
          </w:tcPr>
          <w:p w14:paraId="167A5A71">
            <w:r>
              <w:rPr>
                <w:rFonts w:ascii="宋体" w:hAnsi="宋体"/>
                <w:b/>
                <w:sz w:val="22"/>
              </w:rPr>
              <w:t>RMSE (ft)</w:t>
            </w:r>
          </w:p>
        </w:tc>
        <w:tc>
          <w:tcPr>
            <w:tcW w:w="2160" w:type="dxa"/>
          </w:tcPr>
          <w:p w14:paraId="1ED8A072">
            <w:r>
              <w:rPr>
                <w:rFonts w:ascii="宋体" w:hAnsi="宋体"/>
                <w:b/>
                <w:sz w:val="22"/>
              </w:rPr>
              <w:t>R²</w:t>
            </w:r>
          </w:p>
        </w:tc>
      </w:tr>
      <w:tr w14:paraId="2028B52D">
        <w:tc>
          <w:tcPr>
            <w:tcW w:w="2160" w:type="dxa"/>
          </w:tcPr>
          <w:p w14:paraId="1CE59A54">
            <w:r>
              <w:rPr>
                <w:rFonts w:ascii="宋体" w:hAnsi="宋体"/>
                <w:sz w:val="22"/>
              </w:rPr>
              <w:t>第 1 小时</w:t>
            </w:r>
          </w:p>
        </w:tc>
        <w:tc>
          <w:tcPr>
            <w:tcW w:w="2160" w:type="dxa"/>
          </w:tcPr>
          <w:p w14:paraId="09EDFAF4">
            <w:r>
              <w:rPr>
                <w:rFonts w:ascii="宋体" w:hAnsi="宋体"/>
                <w:sz w:val="22"/>
              </w:rPr>
              <w:t>0.096</w:t>
            </w:r>
          </w:p>
        </w:tc>
        <w:tc>
          <w:tcPr>
            <w:tcW w:w="2160" w:type="dxa"/>
          </w:tcPr>
          <w:p w14:paraId="6BFDED1E">
            <w:r>
              <w:rPr>
                <w:rFonts w:ascii="宋体" w:hAnsi="宋体"/>
                <w:sz w:val="22"/>
              </w:rPr>
              <w:t>0.148</w:t>
            </w:r>
          </w:p>
        </w:tc>
        <w:tc>
          <w:tcPr>
            <w:tcW w:w="2160" w:type="dxa"/>
          </w:tcPr>
          <w:p w14:paraId="7D709643">
            <w:r>
              <w:rPr>
                <w:rFonts w:ascii="宋体" w:hAnsi="宋体"/>
                <w:sz w:val="22"/>
              </w:rPr>
              <w:t>0.994</w:t>
            </w:r>
          </w:p>
        </w:tc>
      </w:tr>
      <w:tr w14:paraId="33FC3922">
        <w:tc>
          <w:tcPr>
            <w:tcW w:w="2160" w:type="dxa"/>
          </w:tcPr>
          <w:p w14:paraId="39D27787">
            <w:r>
              <w:rPr>
                <w:rFonts w:ascii="宋体" w:hAnsi="宋体"/>
                <w:sz w:val="22"/>
              </w:rPr>
              <w:t>第 6 小时</w:t>
            </w:r>
          </w:p>
        </w:tc>
        <w:tc>
          <w:tcPr>
            <w:tcW w:w="2160" w:type="dxa"/>
          </w:tcPr>
          <w:p w14:paraId="0134A3E0">
            <w:r>
              <w:rPr>
                <w:rFonts w:ascii="宋体" w:hAnsi="宋体"/>
                <w:sz w:val="22"/>
              </w:rPr>
              <w:t>0.116</w:t>
            </w:r>
          </w:p>
        </w:tc>
        <w:tc>
          <w:tcPr>
            <w:tcW w:w="2160" w:type="dxa"/>
          </w:tcPr>
          <w:p w14:paraId="15C4EEB8">
            <w:r>
              <w:rPr>
                <w:rFonts w:ascii="宋体" w:hAnsi="宋体"/>
                <w:sz w:val="22"/>
              </w:rPr>
              <w:t>0.181</w:t>
            </w:r>
          </w:p>
        </w:tc>
        <w:tc>
          <w:tcPr>
            <w:tcW w:w="2160" w:type="dxa"/>
          </w:tcPr>
          <w:p w14:paraId="68317039">
            <w:r>
              <w:rPr>
                <w:rFonts w:ascii="宋体" w:hAnsi="宋体"/>
                <w:sz w:val="22"/>
              </w:rPr>
              <w:t>0.991</w:t>
            </w:r>
          </w:p>
        </w:tc>
      </w:tr>
      <w:tr w14:paraId="29DA9204">
        <w:tc>
          <w:tcPr>
            <w:tcW w:w="2160" w:type="dxa"/>
          </w:tcPr>
          <w:p w14:paraId="7956FFF1">
            <w:r>
              <w:rPr>
                <w:rFonts w:ascii="宋体" w:hAnsi="宋体"/>
                <w:sz w:val="22"/>
              </w:rPr>
              <w:t>第 12 小时</w:t>
            </w:r>
          </w:p>
        </w:tc>
        <w:tc>
          <w:tcPr>
            <w:tcW w:w="2160" w:type="dxa"/>
          </w:tcPr>
          <w:p w14:paraId="0B5D4BFE">
            <w:r>
              <w:rPr>
                <w:rFonts w:ascii="宋体" w:hAnsi="宋体"/>
                <w:sz w:val="22"/>
              </w:rPr>
              <w:t>0.123</w:t>
            </w:r>
          </w:p>
        </w:tc>
        <w:tc>
          <w:tcPr>
            <w:tcW w:w="2160" w:type="dxa"/>
          </w:tcPr>
          <w:p w14:paraId="0B6DCF94">
            <w:r>
              <w:rPr>
                <w:rFonts w:ascii="宋体" w:hAnsi="宋体"/>
                <w:sz w:val="22"/>
              </w:rPr>
              <w:t>0.222</w:t>
            </w:r>
          </w:p>
        </w:tc>
        <w:tc>
          <w:tcPr>
            <w:tcW w:w="2160" w:type="dxa"/>
          </w:tcPr>
          <w:p w14:paraId="7052915C">
            <w:r>
              <w:rPr>
                <w:rFonts w:ascii="宋体" w:hAnsi="宋体"/>
                <w:sz w:val="22"/>
              </w:rPr>
              <w:t>0.986</w:t>
            </w:r>
          </w:p>
        </w:tc>
      </w:tr>
      <w:tr w14:paraId="3F1846CE">
        <w:tc>
          <w:tcPr>
            <w:tcW w:w="2160" w:type="dxa"/>
          </w:tcPr>
          <w:p w14:paraId="0F0E947A">
            <w:r>
              <w:rPr>
                <w:rFonts w:ascii="宋体" w:hAnsi="宋体"/>
                <w:sz w:val="22"/>
              </w:rPr>
              <w:t>第 18 小时</w:t>
            </w:r>
          </w:p>
        </w:tc>
        <w:tc>
          <w:tcPr>
            <w:tcW w:w="2160" w:type="dxa"/>
          </w:tcPr>
          <w:p w14:paraId="266505FF">
            <w:r>
              <w:rPr>
                <w:rFonts w:ascii="宋体" w:hAnsi="宋体"/>
                <w:sz w:val="22"/>
              </w:rPr>
              <w:t>0.141</w:t>
            </w:r>
          </w:p>
        </w:tc>
        <w:tc>
          <w:tcPr>
            <w:tcW w:w="2160" w:type="dxa"/>
          </w:tcPr>
          <w:p w14:paraId="49C186EA">
            <w:r>
              <w:rPr>
                <w:rFonts w:ascii="宋体" w:hAnsi="宋体"/>
                <w:sz w:val="22"/>
              </w:rPr>
              <w:t>0.236</w:t>
            </w:r>
          </w:p>
        </w:tc>
        <w:tc>
          <w:tcPr>
            <w:tcW w:w="2160" w:type="dxa"/>
          </w:tcPr>
          <w:p w14:paraId="3E6DD7FC">
            <w:r>
              <w:rPr>
                <w:rFonts w:ascii="宋体" w:hAnsi="宋体"/>
                <w:sz w:val="22"/>
              </w:rPr>
              <w:t>0.984</w:t>
            </w:r>
          </w:p>
        </w:tc>
      </w:tr>
      <w:tr w14:paraId="1F79C4D9">
        <w:tc>
          <w:tcPr>
            <w:tcW w:w="2160" w:type="dxa"/>
          </w:tcPr>
          <w:p w14:paraId="207AEB42">
            <w:r>
              <w:rPr>
                <w:rFonts w:ascii="宋体" w:hAnsi="宋体"/>
                <w:sz w:val="22"/>
              </w:rPr>
              <w:t>第 24 小时</w:t>
            </w:r>
          </w:p>
        </w:tc>
        <w:tc>
          <w:tcPr>
            <w:tcW w:w="2160" w:type="dxa"/>
          </w:tcPr>
          <w:p w14:paraId="3245F356">
            <w:r>
              <w:rPr>
                <w:rFonts w:ascii="宋体" w:hAnsi="宋体"/>
                <w:sz w:val="22"/>
              </w:rPr>
              <w:t>0.174</w:t>
            </w:r>
          </w:p>
        </w:tc>
        <w:tc>
          <w:tcPr>
            <w:tcW w:w="2160" w:type="dxa"/>
          </w:tcPr>
          <w:p w14:paraId="4ED9EA87">
            <w:r>
              <w:rPr>
                <w:rFonts w:ascii="宋体" w:hAnsi="宋体"/>
                <w:sz w:val="22"/>
              </w:rPr>
              <w:t>0.298</w:t>
            </w:r>
          </w:p>
        </w:tc>
        <w:tc>
          <w:tcPr>
            <w:tcW w:w="2160" w:type="dxa"/>
          </w:tcPr>
          <w:p w14:paraId="0F33B761">
            <w:r>
              <w:rPr>
                <w:rFonts w:ascii="宋体" w:hAnsi="宋体"/>
                <w:sz w:val="22"/>
              </w:rPr>
              <w:t>0.975</w:t>
            </w:r>
          </w:p>
        </w:tc>
      </w:tr>
    </w:tbl>
    <w:p w14:paraId="20F127A8">
      <w:pPr>
        <w:ind w:firstLine="420"/>
      </w:pPr>
      <w:r>
        <w:rPr>
          <w:rFonts w:ascii="宋体" w:hAnsi="宋体"/>
          <w:b w:val="0"/>
          <w:sz w:val="24"/>
        </w:rPr>
        <w:t>结果显示预测精度随预测步长增大而缓慢下降，但整体保持高精度：第 1 小时 R² 高达 0.994、MAE 仅 0.096 ft；即便第 24 小时 R² 仍达 0.975，RMSE 为 0.298 ft，说明模型对中短期水位趋势具备良好拟合与外推能力，符合时间序列预测误差随步长递增的一般规律。</w:t>
      </w:r>
    </w:p>
    <w:p w14:paraId="0FE490FC">
      <w:pPr>
        <w:jc w:val="center"/>
      </w:pPr>
      <w:r>
        <w:drawing>
          <wp:inline distT="0" distB="0" distL="114300" distR="114300">
            <wp:extent cx="5399405" cy="2249805"/>
            <wp:effectExtent l="0" t="0" r="1079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6B1A">
      <w:pPr>
        <w:jc w:val="center"/>
      </w:pPr>
      <w:r>
        <w:rPr>
          <w:rFonts w:ascii="宋体" w:hAnsi="宋体"/>
          <w:sz w:val="21"/>
        </w:rPr>
        <w:t>图1 真实水位与 LSTM 预测值对比</w:t>
      </w:r>
    </w:p>
    <w:p w14:paraId="6DB59D38">
      <w:pPr>
        <w:spacing w:before="120" w:after="60"/>
      </w:pPr>
      <w:r>
        <w:rPr>
          <w:rFonts w:ascii="黑体" w:hAnsi="黑体"/>
          <w:b/>
          <w:sz w:val="26"/>
        </w:rPr>
        <w:t>7.2 LSTM 与 BiLSTM 对比</w:t>
      </w:r>
    </w:p>
    <w:p w14:paraId="5690E82B">
      <w:pPr>
        <w:ind w:firstLine="420"/>
      </w:pPr>
      <w:r>
        <w:rPr>
          <w:rFonts w:ascii="宋体" w:hAnsi="宋体"/>
          <w:b w:val="0"/>
          <w:sz w:val="24"/>
        </w:rPr>
        <w:t>为评估方向建模的影响，并行实现并训练了一个结构对应的 BiLSTM 模型，平均指标对比见下表：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C345282">
        <w:tc>
          <w:tcPr>
            <w:tcW w:w="2160" w:type="dxa"/>
          </w:tcPr>
          <w:p w14:paraId="0466AB87">
            <w:r>
              <w:rPr>
                <w:rFonts w:ascii="宋体" w:hAnsi="宋体"/>
                <w:b/>
                <w:sz w:val="22"/>
              </w:rPr>
              <w:t>模型</w:t>
            </w:r>
          </w:p>
        </w:tc>
        <w:tc>
          <w:tcPr>
            <w:tcW w:w="2160" w:type="dxa"/>
          </w:tcPr>
          <w:p w14:paraId="530FF247">
            <w:r>
              <w:rPr>
                <w:rFonts w:ascii="宋体" w:hAnsi="宋体"/>
                <w:b/>
                <w:sz w:val="22"/>
              </w:rPr>
              <w:t>平均 MAE (ft)</w:t>
            </w:r>
          </w:p>
        </w:tc>
        <w:tc>
          <w:tcPr>
            <w:tcW w:w="2160" w:type="dxa"/>
          </w:tcPr>
          <w:p w14:paraId="787CE4D9">
            <w:r>
              <w:rPr>
                <w:rFonts w:ascii="宋体" w:hAnsi="宋体"/>
                <w:b/>
                <w:sz w:val="22"/>
              </w:rPr>
              <w:t>平均 RMSE (ft)</w:t>
            </w:r>
          </w:p>
        </w:tc>
        <w:tc>
          <w:tcPr>
            <w:tcW w:w="2160" w:type="dxa"/>
          </w:tcPr>
          <w:p w14:paraId="2F423341">
            <w:r>
              <w:rPr>
                <w:rFonts w:ascii="宋体" w:hAnsi="宋体"/>
                <w:b/>
                <w:sz w:val="22"/>
              </w:rPr>
              <w:t>平均 R²</w:t>
            </w:r>
          </w:p>
        </w:tc>
      </w:tr>
      <w:tr w14:paraId="6D8E2876">
        <w:tc>
          <w:tcPr>
            <w:tcW w:w="2160" w:type="dxa"/>
          </w:tcPr>
          <w:p w14:paraId="06239379">
            <w:r>
              <w:rPr>
                <w:rFonts w:ascii="宋体" w:hAnsi="宋体"/>
                <w:sz w:val="22"/>
              </w:rPr>
              <w:t>LSTM</w:t>
            </w:r>
          </w:p>
        </w:tc>
        <w:tc>
          <w:tcPr>
            <w:tcW w:w="2160" w:type="dxa"/>
          </w:tcPr>
          <w:p w14:paraId="36EEB4F4">
            <w:r>
              <w:rPr>
                <w:rFonts w:ascii="宋体" w:hAnsi="宋体"/>
                <w:sz w:val="22"/>
              </w:rPr>
              <w:t>0.129</w:t>
            </w:r>
          </w:p>
        </w:tc>
        <w:tc>
          <w:tcPr>
            <w:tcW w:w="2160" w:type="dxa"/>
          </w:tcPr>
          <w:p w14:paraId="529E95D3">
            <w:r>
              <w:rPr>
                <w:rFonts w:ascii="宋体" w:hAnsi="宋体"/>
                <w:sz w:val="22"/>
              </w:rPr>
              <w:t>0.218</w:t>
            </w:r>
          </w:p>
        </w:tc>
        <w:tc>
          <w:tcPr>
            <w:tcW w:w="2160" w:type="dxa"/>
          </w:tcPr>
          <w:p w14:paraId="57B4D4CA">
            <w:r>
              <w:rPr>
                <w:rFonts w:ascii="宋体" w:hAnsi="宋体"/>
                <w:sz w:val="22"/>
              </w:rPr>
              <w:t>0.986</w:t>
            </w:r>
          </w:p>
        </w:tc>
      </w:tr>
      <w:tr w14:paraId="3ADFBC90">
        <w:tc>
          <w:tcPr>
            <w:tcW w:w="2160" w:type="dxa"/>
          </w:tcPr>
          <w:p w14:paraId="31379409">
            <w:r>
              <w:rPr>
                <w:rFonts w:ascii="宋体" w:hAnsi="宋体"/>
                <w:sz w:val="22"/>
              </w:rPr>
              <w:t>BiLSTM</w:t>
            </w:r>
          </w:p>
        </w:tc>
        <w:tc>
          <w:tcPr>
            <w:tcW w:w="2160" w:type="dxa"/>
          </w:tcPr>
          <w:p w14:paraId="68FD084E">
            <w:r>
              <w:rPr>
                <w:rFonts w:ascii="宋体" w:hAnsi="宋体"/>
                <w:sz w:val="22"/>
              </w:rPr>
              <w:t>0.123</w:t>
            </w:r>
          </w:p>
        </w:tc>
        <w:tc>
          <w:tcPr>
            <w:tcW w:w="2160" w:type="dxa"/>
          </w:tcPr>
          <w:p w14:paraId="5515C58E">
            <w:r>
              <w:rPr>
                <w:rFonts w:ascii="宋体" w:hAnsi="宋体"/>
                <w:sz w:val="22"/>
              </w:rPr>
              <w:t>0.203</w:t>
            </w:r>
          </w:p>
        </w:tc>
        <w:tc>
          <w:tcPr>
            <w:tcW w:w="2160" w:type="dxa"/>
          </w:tcPr>
          <w:p w14:paraId="64EBF224">
            <w:r>
              <w:rPr>
                <w:rFonts w:ascii="宋体" w:hAnsi="宋体"/>
                <w:sz w:val="22"/>
              </w:rPr>
              <w:t>0.988</w:t>
            </w:r>
          </w:p>
        </w:tc>
      </w:tr>
    </w:tbl>
    <w:p w14:paraId="24449558">
      <w:pPr>
        <w:ind w:firstLine="420"/>
      </w:pPr>
      <w:r>
        <w:rPr>
          <w:rFonts w:ascii="宋体" w:hAnsi="宋体"/>
          <w:b w:val="0"/>
          <w:sz w:val="24"/>
        </w:rPr>
        <w:t>BiLSTM 在各步误差上略优于单向 LSTM，平均 R² 提升约 0.002，平均 RMSE 降低约 0.015 ft，说明引入反向时序信息对水位趋势刻画有帮助，但提升幅度有限，表明水位序列本身具有显著的正向因果方向。鉴于 LSTM 结构更轻、效率更高，其预测精度已满足预警需求，故最终采用 LSTM 进行未来预报。</w:t>
      </w:r>
    </w:p>
    <w:p w14:paraId="4DDD41D6">
      <w:pPr>
        <w:jc w:val="center"/>
      </w:pPr>
      <w:r>
        <w:drawing>
          <wp:inline distT="0" distB="0" distL="114300" distR="114300">
            <wp:extent cx="5399405" cy="3856990"/>
            <wp:effectExtent l="0" t="0" r="1079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0E83">
      <w:pPr>
        <w:jc w:val="center"/>
      </w:pPr>
      <w:r>
        <w:rPr>
          <w:rFonts w:ascii="宋体" w:hAnsi="宋体"/>
          <w:sz w:val="21"/>
        </w:rPr>
        <w:t>图2 LSTM vs BiLSTM 预测对比与误差分布</w:t>
      </w:r>
    </w:p>
    <w:p w14:paraId="5B16E6CB">
      <w:pPr>
        <w:spacing w:before="120" w:after="60"/>
      </w:pPr>
      <w:r>
        <w:rPr>
          <w:rFonts w:ascii="黑体" w:hAnsi="黑体"/>
          <w:b/>
          <w:sz w:val="26"/>
        </w:rPr>
        <w:t>7.3 未来 24 小时预测与风险分级</w:t>
      </w:r>
    </w:p>
    <w:p w14:paraId="7E601D7F">
      <w:pPr>
        <w:ind w:firstLine="420"/>
      </w:pPr>
      <w:r>
        <w:rPr>
          <w:rFonts w:ascii="宋体" w:hAnsi="宋体"/>
          <w:b w:val="0"/>
          <w:sz w:val="24"/>
        </w:rPr>
        <w:t>以最近 72 小时数据为输入，得到未来 24 小时水位预测，水位区间约 7.64–7.83 ft，对应风险等级均为 normal（正常），表明当前无洪水风险。下图叠加了近 180 小时历史水位、未来预测序列与各级洪水阈值线，可直观判断风险变化趋势。</w:t>
      </w:r>
    </w:p>
    <w:p w14:paraId="77B92D17">
      <w:pPr>
        <w:jc w:val="center"/>
      </w:pPr>
      <w:r>
        <w:drawing>
          <wp:inline distT="0" distB="0" distL="114300" distR="114300">
            <wp:extent cx="5399405" cy="2249805"/>
            <wp:effectExtent l="0" t="0" r="1079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B9CB">
      <w:pPr>
        <w:jc w:val="center"/>
      </w:pPr>
      <w:r>
        <w:rPr>
          <w:rFonts w:ascii="宋体" w:hAnsi="宋体"/>
          <w:sz w:val="21"/>
        </w:rPr>
        <w:t>图3 近期水位与未来 24 小时洪水风险预测</w:t>
      </w:r>
    </w:p>
    <w:p w14:paraId="6C01CF96">
      <w:pPr>
        <w:spacing w:before="240" w:after="120"/>
      </w:pPr>
      <w:r>
        <w:rPr>
          <w:rFonts w:ascii="黑体" w:hAnsi="黑体"/>
          <w:b/>
          <w:sz w:val="32"/>
        </w:rPr>
        <w:t>八、应用价值</w:t>
      </w:r>
    </w:p>
    <w:p w14:paraId="3F974732">
      <w:pPr>
        <w:ind w:left="420" w:firstLine="0"/>
      </w:pPr>
      <w:r>
        <w:rPr>
          <w:rFonts w:ascii="宋体" w:hAnsi="宋体"/>
          <w:sz w:val="24"/>
        </w:rPr>
        <w:t>• 实时预警：每小时自动更新水位预报，当预测水位触及 action 及以上阈值时触发分级预警，辅助应急决策。</w:t>
      </w:r>
    </w:p>
    <w:p w14:paraId="568DFB53">
      <w:pPr>
        <w:ind w:left="420" w:firstLine="0"/>
      </w:pPr>
      <w:r>
        <w:rPr>
          <w:rFonts w:ascii="宋体" w:hAnsi="宋体"/>
          <w:sz w:val="24"/>
        </w:rPr>
        <w:t>• 分级响应：normal 日常监测、action 加强监测、minor 启动预案、moderate/major 全面应急，实现响应资源精准投放。</w:t>
      </w:r>
    </w:p>
    <w:p w14:paraId="2FA72B03">
      <w:pPr>
        <w:ind w:left="420" w:firstLine="0"/>
      </w:pPr>
      <w:r>
        <w:rPr>
          <w:rFonts w:ascii="宋体" w:hAnsi="宋体"/>
          <w:sz w:val="24"/>
        </w:rPr>
        <w:t>• 公众告知：结合多渠道（短信、社交媒体、广播）发布预警，并提供疏散与避难指引。</w:t>
      </w:r>
    </w:p>
    <w:p w14:paraId="199BD271">
      <w:pPr>
        <w:ind w:left="420" w:firstLine="0"/>
      </w:pPr>
      <w:r>
        <w:rPr>
          <w:rFonts w:ascii="宋体" w:hAnsi="宋体"/>
          <w:sz w:val="24"/>
        </w:rPr>
        <w:t>• 基础设施保护：对桥梁、道路、供水等关键设施提前识别风险并制定加固预案。</w:t>
      </w:r>
    </w:p>
    <w:p w14:paraId="4124AAD5">
      <w:pPr>
        <w:ind w:left="420" w:firstLine="0"/>
      </w:pPr>
      <w:r>
        <w:rPr>
          <w:rFonts w:ascii="宋体" w:hAnsi="宋体"/>
          <w:sz w:val="24"/>
        </w:rPr>
        <w:t>• 可推广性：方法与流程对其他流域水文站具备通用性，仅需替换站点编号与阈值即可迁移部署。</w:t>
      </w:r>
    </w:p>
    <w:p w14:paraId="0A2322EB">
      <w:pPr>
        <w:spacing w:before="240" w:after="120"/>
      </w:pPr>
      <w:r>
        <w:rPr>
          <w:rFonts w:ascii="黑体" w:hAnsi="黑体"/>
          <w:b/>
          <w:sz w:val="32"/>
        </w:rPr>
        <w:t>九、问题与改进</w:t>
      </w:r>
    </w:p>
    <w:p w14:paraId="6F2C6664">
      <w:pPr>
        <w:spacing w:before="120" w:after="60"/>
      </w:pPr>
      <w:r>
        <w:rPr>
          <w:rFonts w:ascii="黑体" w:hAnsi="黑体"/>
          <w:b/>
          <w:sz w:val="26"/>
        </w:rPr>
        <w:t>9.1 存在问题</w:t>
      </w:r>
    </w:p>
    <w:p w14:paraId="245DDE7A">
      <w:pPr>
        <w:ind w:left="420" w:firstLine="0"/>
      </w:pPr>
      <w:r>
        <w:rPr>
          <w:rFonts w:ascii="宋体" w:hAnsi="宋体"/>
          <w:sz w:val="24"/>
        </w:rPr>
        <w:t>• 仅使用单站点观测作为输入，缺少上游水文站信息，对流域汇流响应刻画有限。</w:t>
      </w:r>
    </w:p>
    <w:p w14:paraId="2C4630BA">
      <w:pPr>
        <w:ind w:left="420" w:firstLine="0"/>
      </w:pPr>
      <w:r>
        <w:rPr>
          <w:rFonts w:ascii="宋体" w:hAnsi="宋体"/>
          <w:sz w:val="24"/>
        </w:rPr>
        <w:t>• 降雨特征为再分析历史值，尚未引入实时降雨预报，影响极端事件的提前量。</w:t>
      </w:r>
    </w:p>
    <w:p w14:paraId="422D310A">
      <w:pPr>
        <w:ind w:left="420" w:firstLine="0"/>
      </w:pPr>
      <w:r>
        <w:rPr>
          <w:rFonts w:ascii="宋体" w:hAnsi="宋体"/>
          <w:sz w:val="24"/>
        </w:rPr>
        <w:t>• 模型对峰值水量等极端突变的捕捉仍偏弱，长步长（&gt;24h）误差上升明显。</w:t>
      </w:r>
    </w:p>
    <w:p w14:paraId="2AB2F02B">
      <w:pPr>
        <w:ind w:left="420" w:firstLine="0"/>
      </w:pPr>
      <w:r>
        <w:rPr>
          <w:rFonts w:ascii="宋体" w:hAnsi="宋体"/>
          <w:sz w:val="24"/>
        </w:rPr>
        <w:t>• 阈值依赖人工经验设定，未结合本地灾情做动态校准。</w:t>
      </w:r>
    </w:p>
    <w:p w14:paraId="4E8FA0E6">
      <w:pPr>
        <w:spacing w:before="120" w:after="60"/>
      </w:pPr>
      <w:r>
        <w:rPr>
          <w:rFonts w:ascii="黑体" w:hAnsi="黑体"/>
          <w:b/>
          <w:sz w:val="26"/>
        </w:rPr>
        <w:t>9.2 改进方向</w:t>
      </w:r>
    </w:p>
    <w:p w14:paraId="312288E6">
      <w:pPr>
        <w:ind w:left="420" w:firstLine="0"/>
      </w:pPr>
      <w:r>
        <w:rPr>
          <w:rFonts w:ascii="宋体" w:hAnsi="宋体"/>
          <w:sz w:val="24"/>
        </w:rPr>
        <w:t>• 引入上游站点流量、NASA GPM/雷达定量降水预报，构建多变量、多站点输入模型。</w:t>
      </w:r>
    </w:p>
    <w:p w14:paraId="4426AE38">
      <w:pPr>
        <w:ind w:left="420" w:firstLine="0"/>
      </w:pPr>
      <w:r>
        <w:rPr>
          <w:rFonts w:ascii="宋体" w:hAnsi="宋体"/>
          <w:sz w:val="24"/>
        </w:rPr>
        <w:t>• 采用 Transformer、TCN、注意力机制等模型，增强对关键时段与突变点的捕捉能力。</w:t>
      </w:r>
    </w:p>
    <w:p w14:paraId="553A86DF">
      <w:pPr>
        <w:ind w:left="420" w:firstLine="0"/>
      </w:pPr>
      <w:r>
        <w:rPr>
          <w:rFonts w:ascii="宋体" w:hAnsi="宋体"/>
          <w:sz w:val="24"/>
        </w:rPr>
        <w:t>• 扩展预测步长并开展概率预测（分位数/置信区间），量化预测不确定性。</w:t>
      </w:r>
    </w:p>
    <w:p w14:paraId="7A84523D">
      <w:pPr>
        <w:ind w:left="420" w:firstLine="0"/>
      </w:pPr>
      <w:r>
        <w:rPr>
          <w:rFonts w:ascii="宋体" w:hAnsi="宋体"/>
          <w:sz w:val="24"/>
        </w:rPr>
        <w:t>• 结合历史灾情数据对风险阈值进行数据驱动的动态校准。</w:t>
      </w:r>
    </w:p>
    <w:p w14:paraId="3E6F747C">
      <w:pPr>
        <w:ind w:left="420" w:firstLine="0"/>
      </w:pPr>
      <w:r>
        <w:rPr>
          <w:rFonts w:ascii="宋体" w:hAnsi="宋体"/>
          <w:sz w:val="24"/>
        </w:rPr>
        <w:t>• 开发实时预测 API 与可视化仪表盘，支撑自动化、可视化的洪水预警服务。</w:t>
      </w:r>
    </w:p>
    <w:p w14:paraId="669F2E5B">
      <w:pPr>
        <w:spacing w:before="240" w:after="120"/>
      </w:pPr>
      <w:r>
        <w:rPr>
          <w:rFonts w:ascii="黑体" w:hAnsi="黑体"/>
          <w:b/>
          <w:sz w:val="32"/>
        </w:rPr>
        <w:t>结语</w:t>
      </w:r>
    </w:p>
    <w:p w14:paraId="5BB158F2">
      <w:pPr>
        <w:ind w:firstLine="420"/>
      </w:pPr>
      <w:r>
        <w:rPr>
          <w:rFonts w:ascii="宋体" w:hAnsi="宋体"/>
          <w:b w:val="0"/>
          <w:sz w:val="24"/>
        </w:rPr>
        <w:t>本项目基于 LSTM 成功实现了 Cedar River 水位的 24 小时预测，整合 USGS 水文数据与 ERA5 降雨数据构建 161,634 条小时级样本；测试集 LSTM 平均 R² 达 0.986，第 1 小时 R² 达 0.994，并建立了五级风险分类输出，验证了深度学习方法在洪水水位预测与预警中的可行性与有效性。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F13E2">
    <w:pPr>
      <w:pStyle w:val="2"/>
      <w:tabs>
        <w:tab w:val="left" w:pos="5060"/>
        <w:tab w:val="clear" w:pos="4153"/>
      </w:tabs>
      <w:rPr>
        <w:rFonts w:ascii="Times New Roman" w:hAnsi="Times New Roman" w:eastAsia="宋体" w:cs="Times New Roman"/>
      </w:rPr>
    </w:pPr>
    <w:r>
      <w:rPr>
        <w:rFonts w:hint="eastAsia" w:ascii="Times New Roman" w:hAnsi="Times New Roman" w:eastAsia="宋体" w:cs="Times New Roman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F411F">
    <w:pPr>
      <w:pStyle w:val="3"/>
      <w:pBdr>
        <w:bottom w:val="none" w:color="auto" w:sz="0" w:space="1"/>
      </w:pBdr>
      <w:rPr>
        <w:rFonts w:ascii="Times New Roman" w:hAnsi="Times New Roman" w:eastAsia="宋体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EF0F3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uiPriority w:val="99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3">
    <w:name w:val="header"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5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2026-06-25T15:41:27Z</dcterms:created>
  <dc:creator>骆冠君</dc:creator>
  <cp:lastModifiedBy>WPS_1781965252</cp:lastModifiedBy>
  <dcterms:modified xsi:type="dcterms:W3CDTF">2026-06-25T15:48:56Z</dcterms:modified>
  <dc:subject>实验报告书</dc:subject>
  <dc:title>防灾科技学院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5374FCA40639AB6968DD3C6A2852A628_42</vt:lpwstr>
  </property>
</Properties>
</file>