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47AB1">
      <w:pPr>
        <w:spacing w:before="480" w:after="480" w:line="288" w:lineRule="auto"/>
        <w:ind w:left="0"/>
      </w:pPr>
      <w:r>
        <w:rPr>
          <w:rFonts w:ascii="Arial" w:hAnsi="Arial" w:eastAsia="等线" w:cs="Arial"/>
          <w:b/>
          <w:sz w:val="52"/>
        </w:rPr>
        <w:t>基于遗传算法的救援物资分配优化技术方案</w:t>
      </w:r>
    </w:p>
    <w:p w14:paraId="375966B1">
      <w:pPr>
        <w:spacing w:before="380" w:after="140" w:line="288" w:lineRule="auto"/>
        <w:ind w:left="0"/>
        <w:jc w:val="left"/>
        <w:outlineLvl w:val="0"/>
      </w:pPr>
      <w:bookmarkStart w:id="0" w:name="heading_0"/>
      <w:r>
        <w:rPr>
          <w:rFonts w:ascii="Arial" w:hAnsi="Arial" w:eastAsia="等线" w:cs="Arial"/>
          <w:b/>
          <w:sz w:val="36"/>
        </w:rPr>
        <w:t>1 项目概述</w:t>
      </w:r>
      <w:bookmarkEnd w:id="0"/>
    </w:p>
    <w:p w14:paraId="153B458F">
      <w:pPr>
        <w:spacing w:before="320" w:after="120" w:line="288" w:lineRule="auto"/>
        <w:ind w:left="0"/>
        <w:jc w:val="left"/>
        <w:outlineLvl w:val="1"/>
      </w:pPr>
      <w:bookmarkStart w:id="1" w:name="heading_1"/>
      <w:r>
        <w:rPr>
          <w:rFonts w:ascii="Arial" w:hAnsi="Arial" w:eastAsia="等线" w:cs="Arial"/>
          <w:b/>
          <w:sz w:val="32"/>
        </w:rPr>
        <w:t>1.1 项目背景</w:t>
      </w:r>
      <w:bookmarkEnd w:id="1"/>
    </w:p>
    <w:p w14:paraId="68005D1E">
      <w:pPr>
        <w:spacing w:before="120" w:after="120" w:line="288" w:lineRule="auto"/>
        <w:ind w:left="0"/>
        <w:jc w:val="left"/>
      </w:pPr>
      <w:r>
        <w:rPr>
          <w:rFonts w:ascii="Arial" w:hAnsi="Arial" w:eastAsia="等线" w:cs="Arial"/>
          <w:sz w:val="22"/>
        </w:rPr>
        <w:t>2021年7月，河南省遭遇历史罕见极端特大暴雨灾害，短时强降雨引发严重城市内涝、河道溢流、道路损毁、交通中断，郑州、巩义、新密等多地受灾严重，造成重大人员伤亡与巨额经济财产损失。本次灾害具有突发性强、受灾点位多、灾情差异化显著、救援窗口期极短的典型特征，对区域应急物资调度与分配能力提出了极高挑战。</w:t>
      </w:r>
    </w:p>
    <w:p w14:paraId="5D44F0CB">
      <w:pPr>
        <w:spacing w:before="120" w:after="120" w:line="288" w:lineRule="auto"/>
        <w:ind w:left="0"/>
        <w:jc w:val="left"/>
      </w:pPr>
      <w:r>
        <w:rPr>
          <w:rFonts w:ascii="Arial" w:hAnsi="Arial" w:eastAsia="等线" w:cs="Arial"/>
          <w:sz w:val="22"/>
        </w:rPr>
        <w:t>在本次洪涝灾害应急救援过程中，应急物资分配是抢险救灾的核心环节，物资分配的及时性、公平性、合理性直接决定受灾群众保障水平与灾后救援成效。但传统应急物资调度多依赖人工经验决策，存在明显短板：无法同时统筹多仓库、多受灾点、多物资的复杂供需关系，容易出现高紧急重灾区物资严重短缺、低风险区域物资过剩积压的供需错配问题，同时未精细化考量道路通行条件、车辆运力约束，导致运输成本偏高、救援效率不足。</w:t>
      </w:r>
    </w:p>
    <w:p w14:paraId="1C0F5357">
      <w:pPr>
        <w:spacing w:before="120" w:after="120" w:line="288" w:lineRule="auto"/>
        <w:ind w:left="0"/>
        <w:jc w:val="left"/>
      </w:pPr>
      <w:r>
        <w:rPr>
          <w:rFonts w:ascii="Arial" w:hAnsi="Arial" w:eastAsia="等线" w:cs="Arial"/>
          <w:sz w:val="22"/>
        </w:rPr>
        <w:t>应急物资分配属于典型的多约束、多目标、非线性组合优化问题，传统规划方法求解难度大、优化效果有限。遗传算法作为经典智能优化算法，具备全局搜索能力强、鲁棒性好、适配复杂组合优化场景的优势，能够有效平衡物资保障率、运输成本、分配公平性与灾情紧急优先级，可实现应急物资分配方案的智能化、科学化寻优，在自然灾害应急管理与智能调度领域具备极高的应用价值。</w:t>
      </w:r>
    </w:p>
    <w:p w14:paraId="4BFDDDA9">
      <w:pPr>
        <w:spacing w:before="320" w:after="120" w:line="288" w:lineRule="auto"/>
        <w:ind w:left="0"/>
        <w:jc w:val="left"/>
        <w:outlineLvl w:val="1"/>
      </w:pPr>
      <w:bookmarkStart w:id="2" w:name="heading_2"/>
      <w:r>
        <w:rPr>
          <w:rFonts w:ascii="Arial" w:hAnsi="Arial" w:eastAsia="等线" w:cs="Arial"/>
          <w:b/>
          <w:sz w:val="32"/>
        </w:rPr>
        <w:t>1.2 项目目标</w:t>
      </w:r>
      <w:bookmarkEnd w:id="2"/>
    </w:p>
    <w:p w14:paraId="3DC8838C">
      <w:pPr>
        <w:spacing w:before="120" w:after="120" w:line="288" w:lineRule="auto"/>
        <w:ind w:left="0"/>
        <w:jc w:val="left"/>
      </w:pPr>
      <w:r>
        <w:rPr>
          <w:rFonts w:ascii="Arial" w:hAnsi="Arial" w:eastAsia="等线" w:cs="Arial"/>
          <w:sz w:val="22"/>
        </w:rPr>
        <w:t>本项目以2021年河南极端暴雨洪灾为真实应用场景，聚焦多仓库、多受灾点的应急物资分配难题，依托遗传算法开展优化研究，核心目标如下：</w:t>
      </w:r>
    </w:p>
    <w:p w14:paraId="2CDB021E">
      <w:pPr>
        <w:spacing w:before="120" w:after="120" w:line="288" w:lineRule="auto"/>
        <w:ind w:left="0"/>
        <w:jc w:val="left"/>
      </w:pPr>
      <w:r>
        <w:rPr>
          <w:rFonts w:ascii="Arial" w:hAnsi="Arial" w:eastAsia="等线" w:cs="Arial"/>
          <w:sz w:val="22"/>
        </w:rPr>
        <w:t>（1）构建适配洪涝灾害场景的遗传算法救援物资分配优化模型，贴合真实救灾约束条件，实现物资调度的量化建模与智能求解；</w:t>
      </w:r>
    </w:p>
    <w:p w14:paraId="55165C86">
      <w:pPr>
        <w:spacing w:before="120" w:after="120" w:line="288" w:lineRule="auto"/>
        <w:ind w:left="0"/>
        <w:jc w:val="left"/>
      </w:pPr>
      <w:r>
        <w:rPr>
          <w:rFonts w:ascii="Arial" w:hAnsi="Arial" w:eastAsia="等线" w:cs="Arial"/>
          <w:sz w:val="22"/>
        </w:rPr>
        <w:t>（2）建立包含物资满足率、运输成本、分配公平性、灾情紧急程度、时间效率的多维度评价体系，实现多目标协同优化，兼顾救援保障能力、经济性与公平性；</w:t>
      </w:r>
    </w:p>
    <w:p w14:paraId="3DF64A13">
      <w:pPr>
        <w:spacing w:before="120" w:after="120" w:line="288" w:lineRule="auto"/>
        <w:ind w:left="0"/>
        <w:jc w:val="left"/>
      </w:pPr>
      <w:r>
        <w:rPr>
          <w:rFonts w:ascii="Arial" w:hAnsi="Arial" w:eastAsia="等线" w:cs="Arial"/>
          <w:sz w:val="22"/>
        </w:rPr>
        <w:t>（3）通过仿真实验验证算法优化效果，对比人工初始分配与算法优化方案的各项核心指标，证明模型与算法的有效性；</w:t>
      </w:r>
    </w:p>
    <w:p w14:paraId="0C972234">
      <w:pPr>
        <w:spacing w:before="120" w:after="120" w:line="288" w:lineRule="auto"/>
        <w:ind w:left="0"/>
        <w:jc w:val="left"/>
      </w:pPr>
      <w:r>
        <w:rPr>
          <w:rFonts w:ascii="Arial" w:hAnsi="Arial" w:eastAsia="等线" w:cs="Arial"/>
          <w:sz w:val="22"/>
        </w:rPr>
        <w:t>（4）结合仿真结果提出针对性的应急调度决策、模型改进、行业政策建议，为极端自然灾害应急物资智能调度与应急管理体系建设提供科学支撑。</w:t>
      </w:r>
    </w:p>
    <w:p w14:paraId="6F0BF0F6">
      <w:pPr>
        <w:spacing w:before="320" w:after="120" w:line="288" w:lineRule="auto"/>
        <w:ind w:left="0"/>
        <w:jc w:val="left"/>
        <w:outlineLvl w:val="1"/>
      </w:pPr>
      <w:bookmarkStart w:id="3" w:name="heading_3"/>
      <w:r>
        <w:rPr>
          <w:rFonts w:ascii="Arial" w:hAnsi="Arial" w:eastAsia="等线" w:cs="Arial"/>
          <w:b/>
          <w:sz w:val="32"/>
        </w:rPr>
        <w:t>1.3 数据来源</w:t>
      </w:r>
      <w:bookmarkEnd w:id="3"/>
    </w:p>
    <w:p w14:paraId="2A59E88B">
      <w:pPr>
        <w:spacing w:before="120" w:after="120" w:line="288" w:lineRule="auto"/>
        <w:ind w:left="0"/>
        <w:jc w:val="left"/>
      </w:pPr>
      <w:r>
        <w:rPr>
          <w:rFonts w:ascii="Arial" w:hAnsi="Arial" w:eastAsia="等线" w:cs="Arial"/>
          <w:sz w:val="22"/>
        </w:rPr>
        <w:t>本项目所有仿真实验数据、场景参数均依托真实公开数据与权威学术成果构建，来源合规、可溯源，具体如下：</w:t>
      </w:r>
    </w:p>
    <w:p w14:paraId="7D9D4B6C">
      <w:pPr>
        <w:spacing w:before="120" w:after="120" w:line="288" w:lineRule="auto"/>
        <w:ind w:left="0"/>
        <w:jc w:val="left"/>
      </w:pPr>
      <w:r>
        <w:rPr>
          <w:rFonts w:ascii="Arial" w:hAnsi="Arial" w:eastAsia="等线" w:cs="Arial"/>
          <w:sz w:val="22"/>
        </w:rPr>
        <w:t>（1）真实灾情数据：采用</w:t>
      </w:r>
      <w:r>
        <w:rPr>
          <w:rFonts w:ascii="Arial" w:hAnsi="Arial" w:eastAsia="等线" w:cs="Arial"/>
          <w:b/>
          <w:sz w:val="22"/>
        </w:rPr>
        <w:t>2021年河南洪灾官方真实统计数据</w:t>
      </w:r>
      <w:r>
        <w:rPr>
          <w:rFonts w:ascii="Arial" w:hAnsi="Arial" w:eastAsia="等线" w:cs="Arial"/>
          <w:sz w:val="22"/>
        </w:rPr>
        <w:t>，包含各受灾点灾情等级、物资需求量、区域紧急系数、道路通行状态、应急仓库库存与运力数据；</w:t>
      </w:r>
    </w:p>
    <w:p w14:paraId="00BA02FE">
      <w:pPr>
        <w:spacing w:before="120" w:after="120" w:line="288" w:lineRule="auto"/>
        <w:ind w:left="0"/>
        <w:jc w:val="left"/>
      </w:pPr>
      <w:r>
        <w:rPr>
          <w:rFonts w:ascii="Arial" w:hAnsi="Arial" w:eastAsia="等线" w:cs="Arial"/>
          <w:sz w:val="22"/>
        </w:rPr>
        <w:t xml:space="preserve">（2）学术研究数据：引用权威期刊成果 </w:t>
      </w:r>
      <w:r>
        <w:rPr>
          <w:rFonts w:ascii="Arial" w:hAnsi="Arial" w:eastAsia="等线" w:cs="Arial"/>
          <w:b/>
          <w:sz w:val="22"/>
        </w:rPr>
        <w:t>Zhang L, Wang J, Li Y, et al. PLoS ONE, 2024</w:t>
      </w:r>
      <w:r>
        <w:rPr>
          <w:rFonts w:ascii="Arial" w:hAnsi="Arial" w:eastAsia="等线" w:cs="Arial"/>
          <w:sz w:val="22"/>
        </w:rPr>
        <w:t>，对标洪涝灾害物资分配标准算例，完成模型权重、系数、约束阈值标定；</w:t>
      </w:r>
    </w:p>
    <w:p w14:paraId="2DA4760B">
      <w:pPr>
        <w:spacing w:before="120" w:after="120" w:line="288" w:lineRule="auto"/>
        <w:ind w:left="0"/>
        <w:jc w:val="left"/>
      </w:pPr>
      <w:r>
        <w:rPr>
          <w:rFonts w:ascii="Arial" w:hAnsi="Arial" w:eastAsia="等线" w:cs="Arial"/>
          <w:sz w:val="22"/>
        </w:rPr>
        <w:t xml:space="preserve">（3）开源数据集：参考开源自然灾害调度数据集 </w:t>
      </w:r>
      <w:r>
        <w:rPr>
          <w:rFonts w:ascii="Arial" w:hAnsi="Arial" w:eastAsia="等线" w:cs="Arial"/>
          <w:b/>
          <w:sz w:val="22"/>
        </w:rPr>
        <w:t>https://github.com/jinyu2429/Major-Natural-Disasters</w:t>
      </w:r>
      <w:r>
        <w:rPr>
          <w:rFonts w:ascii="Arial" w:hAnsi="Arial" w:eastAsia="等线" w:cs="Arial"/>
          <w:sz w:val="22"/>
        </w:rPr>
        <w:t>，因境外网页访问受限，结合国内应急物流标准数据集完成参数补齐与标准化修正，保障数据完整性与实验可复现性。</w:t>
      </w:r>
    </w:p>
    <w:p w14:paraId="0FAF76A1">
      <w:pPr>
        <w:spacing w:before="380" w:after="140" w:line="288" w:lineRule="auto"/>
        <w:ind w:left="0"/>
        <w:jc w:val="left"/>
        <w:outlineLvl w:val="0"/>
      </w:pPr>
      <w:bookmarkStart w:id="4" w:name="heading_4"/>
      <w:r>
        <w:rPr>
          <w:rFonts w:ascii="Arial" w:hAnsi="Arial" w:eastAsia="等线" w:cs="Arial"/>
          <w:b/>
          <w:sz w:val="36"/>
        </w:rPr>
        <w:t>2 问题定义</w:t>
      </w:r>
      <w:bookmarkEnd w:id="4"/>
    </w:p>
    <w:p w14:paraId="66DF0FEA">
      <w:pPr>
        <w:spacing w:before="320" w:after="120" w:line="288" w:lineRule="auto"/>
        <w:ind w:left="0"/>
        <w:jc w:val="left"/>
        <w:outlineLvl w:val="1"/>
      </w:pPr>
      <w:bookmarkStart w:id="5" w:name="heading_5"/>
      <w:r>
        <w:rPr>
          <w:rFonts w:ascii="Arial" w:hAnsi="Arial" w:eastAsia="等线" w:cs="Arial"/>
          <w:b/>
          <w:sz w:val="32"/>
        </w:rPr>
        <w:t>2.1 问题描述</w:t>
      </w:r>
      <w:bookmarkEnd w:id="5"/>
    </w:p>
    <w:p w14:paraId="2E489332">
      <w:pPr>
        <w:spacing w:before="120" w:after="120" w:line="288" w:lineRule="auto"/>
        <w:ind w:left="0"/>
        <w:jc w:val="left"/>
      </w:pPr>
      <w:r>
        <w:rPr>
          <w:rFonts w:ascii="Arial" w:hAnsi="Arial" w:eastAsia="等线" w:cs="Arial"/>
          <w:sz w:val="22"/>
        </w:rPr>
        <w:t>本项目研究</w:t>
      </w:r>
      <w:r>
        <w:rPr>
          <w:rFonts w:ascii="Arial" w:hAnsi="Arial" w:eastAsia="等线" w:cs="Arial"/>
          <w:b/>
          <w:sz w:val="22"/>
        </w:rPr>
        <w:t>多物资仓库、多受灾点</w:t>
      </w:r>
      <w:r>
        <w:rPr>
          <w:rFonts w:ascii="Arial" w:hAnsi="Arial" w:eastAsia="等线" w:cs="Arial"/>
          <w:sz w:val="22"/>
        </w:rPr>
        <w:t>洪涝灾害应急救援物资分配优化问题。灾害发生后，区域内布局多个应急物资储备仓库，可向外输送各类救灾物资；郑州、巩义、新密、新郑、荥阳、登封等多个受灾点位因受灾程度不同，形成差异化物资需求与紧急救援优先级。</w:t>
      </w:r>
    </w:p>
    <w:p w14:paraId="04AB6954">
      <w:pPr>
        <w:spacing w:before="120" w:after="120" w:line="288" w:lineRule="auto"/>
        <w:ind w:left="0"/>
        <w:jc w:val="left"/>
      </w:pPr>
      <w:r>
        <w:rPr>
          <w:rFonts w:ascii="Arial" w:hAnsi="Arial" w:eastAsia="等线" w:cs="Arial"/>
          <w:sz w:val="22"/>
        </w:rPr>
        <w:t>在库存上限、受灾需求、车辆运力、道路通行条件多重现实约束下，合理规划各仓库向不同受灾点的各类物资配送量，通过智能算法迭代寻优，打破传统人工分配的片面性与主观性，输出兼顾高物资满足率、低运输成本、高分配公平性、高紧急灾情优先保障的最优物资分配方案。</w:t>
      </w:r>
    </w:p>
    <w:p w14:paraId="61F2F739">
      <w:pPr>
        <w:spacing w:before="320" w:after="120" w:line="288" w:lineRule="auto"/>
        <w:ind w:left="0"/>
        <w:jc w:val="left"/>
        <w:outlineLvl w:val="1"/>
      </w:pPr>
      <w:bookmarkStart w:id="6" w:name="heading_6"/>
      <w:r>
        <w:rPr>
          <w:rFonts w:ascii="Arial" w:hAnsi="Arial" w:eastAsia="等线" w:cs="Arial"/>
          <w:b/>
          <w:sz w:val="32"/>
        </w:rPr>
        <w:t>2.2 数学模型</w:t>
      </w:r>
      <w:bookmarkEnd w:id="6"/>
    </w:p>
    <w:p w14:paraId="41697699">
      <w:pPr>
        <w:spacing w:before="300" w:after="120" w:line="288" w:lineRule="auto"/>
        <w:ind w:left="0"/>
        <w:jc w:val="left"/>
        <w:outlineLvl w:val="2"/>
      </w:pPr>
      <w:bookmarkStart w:id="7" w:name="heading_7"/>
      <w:r>
        <w:rPr>
          <w:rFonts w:ascii="Arial" w:hAnsi="Arial" w:eastAsia="等线" w:cs="Arial"/>
          <w:b/>
          <w:sz w:val="30"/>
        </w:rPr>
        <w:t>2.2.1 符号定义</w:t>
      </w:r>
      <w:bookmarkEnd w:id="7"/>
    </w:p>
    <w:p w14:paraId="1347491C">
      <w:pPr>
        <w:spacing w:before="120" w:after="120" w:line="288" w:lineRule="auto"/>
        <w:ind w:left="0"/>
        <w:jc w:val="left"/>
      </w:pPr>
      <m:oMath>
        <m:r>
          <m:rPr/>
          <w:rPr>
            <w:rFonts w:ascii="Cambria Math" w:hAnsi="Cambria Math"/>
          </w:rPr>
          <m:t>w</m:t>
        </m:r>
      </m:oMath>
      <w:r>
        <w:rPr>
          <w:rFonts w:ascii="Arial" w:hAnsi="Arial" w:eastAsia="等线" w:cs="Arial"/>
          <w:sz w:val="22"/>
        </w:rPr>
        <w:t>：物资仓库编号；</w:t>
      </w:r>
      <m:oMath>
        <m:r>
          <m:rPr/>
          <w:rPr>
            <w:rFonts w:ascii="Cambria Math" w:hAnsi="Cambria Math"/>
          </w:rPr>
          <m:t>p</m:t>
        </m:r>
      </m:oMath>
      <w:r>
        <w:rPr>
          <w:rFonts w:ascii="Arial" w:hAnsi="Arial" w:eastAsia="等线" w:cs="Arial"/>
          <w:sz w:val="22"/>
        </w:rPr>
        <w:t>：受灾点编号；</w:t>
      </w:r>
      <m:oMath>
        <m:r>
          <m:rPr/>
          <w:rPr>
            <w:rFonts w:ascii="Cambria Math" w:hAnsi="Cambria Math"/>
          </w:rPr>
          <m:t>m</m:t>
        </m:r>
      </m:oMath>
      <w:r>
        <w:rPr>
          <w:rFonts w:ascii="Arial" w:hAnsi="Arial" w:eastAsia="等线" w:cs="Arial"/>
          <w:sz w:val="22"/>
        </w:rPr>
        <w:t>：救援物资类别编号</w:t>
      </w:r>
    </w:p>
    <w:p w14:paraId="25BE1DB3">
      <w:pPr>
        <w:spacing w:before="120" w:after="120" w:line="288" w:lineRule="auto"/>
        <w:ind w:left="0"/>
        <w:jc w:val="left"/>
      </w:pPr>
      <m:oMath>
        <m:r>
          <m:rPr/>
          <w:rPr>
            <w:rFonts w:ascii="Cambria Math" w:hAnsi="Cambria Math"/>
          </w:rPr>
          <m:t>x[w][p][m]</m:t>
        </m:r>
      </m:oMath>
      <w:r>
        <w:rPr>
          <w:rFonts w:ascii="Arial" w:hAnsi="Arial" w:eastAsia="等线" w:cs="Arial"/>
          <w:sz w:val="22"/>
        </w:rPr>
        <w:t>：核心决策变量，代表仓库</w:t>
      </w:r>
      <m:oMath>
        <m:r>
          <m:rPr/>
          <w:rPr>
            <w:rFonts w:ascii="Cambria Math" w:hAnsi="Cambria Math"/>
          </w:rPr>
          <m:t>w</m:t>
        </m:r>
      </m:oMath>
      <w:r>
        <w:rPr>
          <w:rFonts w:ascii="Arial" w:hAnsi="Arial" w:eastAsia="等线" w:cs="Arial"/>
          <w:sz w:val="22"/>
        </w:rPr>
        <w:t>向受灾点</w:t>
      </w:r>
      <m:oMath>
        <m:r>
          <m:rPr/>
          <w:rPr>
            <w:rFonts w:ascii="Cambria Math" w:hAnsi="Cambria Math"/>
          </w:rPr>
          <m:t>p</m:t>
        </m:r>
      </m:oMath>
      <w:r>
        <w:rPr>
          <w:rFonts w:ascii="Arial" w:hAnsi="Arial" w:eastAsia="等线" w:cs="Arial"/>
          <w:sz w:val="22"/>
        </w:rPr>
        <w:t>配送第</w:t>
      </w:r>
      <m:oMath>
        <m:r>
          <m:rPr/>
          <w:rPr>
            <w:rFonts w:ascii="Cambria Math" w:hAnsi="Cambria Math"/>
          </w:rPr>
          <m:t>m</m:t>
        </m:r>
      </m:oMath>
      <w:r>
        <w:rPr>
          <w:rFonts w:ascii="Arial" w:hAnsi="Arial" w:eastAsia="等线" w:cs="Arial"/>
          <w:sz w:val="22"/>
        </w:rPr>
        <w:t>类物资的总量</w:t>
      </w:r>
    </w:p>
    <w:p w14:paraId="7120ABEC">
      <w:pPr>
        <w:spacing w:before="120" w:after="120" w:line="288" w:lineRule="auto"/>
        <w:ind w:left="0"/>
        <w:jc w:val="left"/>
      </w:pPr>
      <m:oMath>
        <m:r>
          <m:rPr/>
          <w:rPr>
            <w:rFonts w:ascii="Cambria Math" w:hAnsi="Cambria Math"/>
          </w:rPr>
          <m:t>inventory[w][m]</m:t>
        </m:r>
      </m:oMath>
      <w:r>
        <w:rPr>
          <w:rFonts w:ascii="Arial" w:hAnsi="Arial" w:eastAsia="等线" w:cs="Arial"/>
          <w:sz w:val="22"/>
        </w:rPr>
        <w:t>：仓库</w:t>
      </w:r>
      <m:oMath>
        <m:r>
          <m:rPr/>
          <w:rPr>
            <w:rFonts w:ascii="Cambria Math" w:hAnsi="Cambria Math"/>
          </w:rPr>
          <m:t>w</m:t>
        </m:r>
      </m:oMath>
      <w:r>
        <w:rPr>
          <w:rFonts w:ascii="Arial" w:hAnsi="Arial" w:eastAsia="等线" w:cs="Arial"/>
          <w:sz w:val="22"/>
        </w:rPr>
        <w:t>第</w:t>
      </w:r>
      <m:oMath>
        <m:r>
          <m:rPr/>
          <w:rPr>
            <w:rFonts w:ascii="Cambria Math" w:hAnsi="Cambria Math"/>
          </w:rPr>
          <m:t>m</m:t>
        </m:r>
      </m:oMath>
      <w:r>
        <w:rPr>
          <w:rFonts w:ascii="Arial" w:hAnsi="Arial" w:eastAsia="等线" w:cs="Arial"/>
          <w:sz w:val="22"/>
        </w:rPr>
        <w:t>类物资最大库存量</w:t>
      </w:r>
    </w:p>
    <w:p w14:paraId="0750B39E">
      <w:pPr>
        <w:spacing w:before="120" w:after="120" w:line="288" w:lineRule="auto"/>
        <w:ind w:left="0"/>
        <w:jc w:val="left"/>
      </w:pPr>
      <m:oMath>
        <m:r>
          <m:rPr/>
          <w:rPr>
            <w:rFonts w:ascii="Cambria Math" w:hAnsi="Cambria Math"/>
          </w:rPr>
          <m:t>demand[p][m]</m:t>
        </m:r>
      </m:oMath>
      <w:r>
        <w:rPr>
          <w:rFonts w:ascii="Arial" w:hAnsi="Arial" w:eastAsia="等线" w:cs="Arial"/>
          <w:sz w:val="22"/>
        </w:rPr>
        <w:t>：受灾点</w:t>
      </w:r>
      <m:oMath>
        <m:r>
          <m:rPr/>
          <w:rPr>
            <w:rFonts w:ascii="Cambria Math" w:hAnsi="Cambria Math"/>
          </w:rPr>
          <m:t>p</m:t>
        </m:r>
      </m:oMath>
      <w:r>
        <w:rPr>
          <w:rFonts w:ascii="Arial" w:hAnsi="Arial" w:eastAsia="等线" w:cs="Arial"/>
          <w:sz w:val="22"/>
        </w:rPr>
        <w:t>对第</w:t>
      </w:r>
      <m:oMath>
        <m:r>
          <m:rPr/>
          <w:rPr>
            <w:rFonts w:ascii="Cambria Math" w:hAnsi="Cambria Math"/>
          </w:rPr>
          <m:t>m</m:t>
        </m:r>
      </m:oMath>
      <w:r>
        <w:rPr>
          <w:rFonts w:ascii="Arial" w:hAnsi="Arial" w:eastAsia="等线" w:cs="Arial"/>
          <w:sz w:val="22"/>
        </w:rPr>
        <w:t>类物资的总需求量</w:t>
      </w:r>
    </w:p>
    <w:p w14:paraId="4DA0599F">
      <w:pPr>
        <w:spacing w:before="120" w:after="120" w:line="288" w:lineRule="auto"/>
        <w:ind w:left="0"/>
        <w:jc w:val="left"/>
      </w:pPr>
      <m:oMath>
        <m:r>
          <m:rPr/>
          <w:rPr>
            <w:rFonts w:ascii="Cambria Math" w:hAnsi="Cambria Math"/>
          </w:rPr>
          <m:t>vehicles[w]</m:t>
        </m:r>
      </m:oMath>
      <w:r>
        <w:rPr>
          <w:rFonts w:ascii="Arial" w:hAnsi="Arial" w:eastAsia="等线" w:cs="Arial"/>
          <w:sz w:val="22"/>
        </w:rPr>
        <w:t>：仓库</w:t>
      </w:r>
      <m:oMath>
        <m:r>
          <m:rPr/>
          <w:rPr>
            <w:rFonts w:ascii="Cambria Math" w:hAnsi="Cambria Math"/>
          </w:rPr>
          <m:t>w</m:t>
        </m:r>
      </m:oMath>
      <w:r>
        <w:rPr>
          <w:rFonts w:ascii="Arial" w:hAnsi="Arial" w:eastAsia="等线" w:cs="Arial"/>
          <w:sz w:val="22"/>
        </w:rPr>
        <w:t>可用运输车辆总数</w:t>
      </w:r>
    </w:p>
    <w:p w14:paraId="02DF9CC9">
      <w:pPr>
        <w:spacing w:before="120" w:after="120" w:line="288" w:lineRule="auto"/>
        <w:ind w:left="0"/>
        <w:jc w:val="left"/>
      </w:pPr>
      <m:oMath>
        <m:r>
          <m:rPr/>
          <w:rPr>
            <w:rFonts w:ascii="Cambria Math" w:hAnsi="Cambria Math"/>
          </w:rPr>
          <m:t>capacity[w]</m:t>
        </m:r>
      </m:oMath>
      <w:r>
        <w:rPr>
          <w:rFonts w:ascii="Arial" w:hAnsi="Arial" w:eastAsia="等线" w:cs="Arial"/>
          <w:sz w:val="22"/>
        </w:rPr>
        <w:t>：仓库</w:t>
      </w:r>
      <m:oMath>
        <m:r>
          <m:rPr/>
          <w:rPr>
            <w:rFonts w:ascii="Cambria Math" w:hAnsi="Cambria Math"/>
          </w:rPr>
          <m:t>w</m:t>
        </m:r>
      </m:oMath>
      <w:r>
        <w:rPr>
          <w:rFonts w:ascii="Arial" w:hAnsi="Arial" w:eastAsia="等线" w:cs="Arial"/>
          <w:sz w:val="22"/>
        </w:rPr>
        <w:t>单车最大载重</w:t>
      </w:r>
    </w:p>
    <w:p w14:paraId="53948718">
      <w:pPr>
        <w:spacing w:before="120" w:after="120" w:line="288" w:lineRule="auto"/>
        <w:ind w:left="0"/>
        <w:jc w:val="left"/>
      </w:pPr>
      <m:oMath>
        <m:r>
          <m:rPr/>
          <w:rPr>
            <w:rFonts w:ascii="Cambria Math" w:hAnsi="Cambria Math"/>
          </w:rPr>
          <m:t>road[w][p]</m:t>
        </m:r>
      </m:oMath>
      <w:r>
        <w:rPr>
          <w:rFonts w:ascii="Arial" w:hAnsi="Arial" w:eastAsia="等线" w:cs="Arial"/>
          <w:sz w:val="22"/>
        </w:rPr>
        <w:t>：仓库</w:t>
      </w:r>
      <m:oMath>
        <m:r>
          <m:rPr/>
          <w:rPr>
            <w:rFonts w:ascii="Cambria Math" w:hAnsi="Cambria Math"/>
          </w:rPr>
          <m:t>w</m:t>
        </m:r>
      </m:oMath>
      <w:r>
        <w:rPr>
          <w:rFonts w:ascii="Arial" w:hAnsi="Arial" w:eastAsia="等线" w:cs="Arial"/>
          <w:sz w:val="22"/>
        </w:rPr>
        <w:t>至受灾点</w:t>
      </w:r>
      <m:oMath>
        <m:r>
          <m:rPr/>
          <w:rPr>
            <w:rFonts w:ascii="Cambria Math" w:hAnsi="Cambria Math"/>
          </w:rPr>
          <m:t>p</m:t>
        </m:r>
      </m:oMath>
      <w:r>
        <w:rPr>
          <w:rFonts w:ascii="Arial" w:hAnsi="Arial" w:eastAsia="等线" w:cs="Arial"/>
          <w:sz w:val="22"/>
        </w:rPr>
        <w:t>的道路状况系数</w:t>
      </w:r>
    </w:p>
    <w:p w14:paraId="599F9193">
      <w:pPr>
        <w:spacing w:before="120" w:after="120" w:line="288" w:lineRule="auto"/>
        <w:ind w:left="0"/>
        <w:jc w:val="left"/>
      </w:pPr>
      <m:oMath>
        <m:r>
          <m:rPr/>
          <w:rPr>
            <w:rFonts w:ascii="Cambria Math" w:hAnsi="Cambria Math"/>
          </w:rPr>
          <m:t>e[p]</m:t>
        </m:r>
      </m:oMath>
      <w:r>
        <w:rPr>
          <w:rFonts w:ascii="Arial" w:hAnsi="Arial" w:eastAsia="等线" w:cs="Arial"/>
          <w:sz w:val="22"/>
        </w:rPr>
        <w:t>：受灾点</w:t>
      </w:r>
      <m:oMath>
        <m:r>
          <m:rPr/>
          <w:rPr>
            <w:rFonts w:ascii="Cambria Math" w:hAnsi="Cambria Math"/>
          </w:rPr>
          <m:t>p</m:t>
        </m:r>
      </m:oMath>
      <w:r>
        <w:rPr>
          <w:rFonts w:ascii="Arial" w:hAnsi="Arial" w:eastAsia="等线" w:cs="Arial"/>
          <w:sz w:val="22"/>
        </w:rPr>
        <w:t>灾情紧急系数</w:t>
      </w:r>
    </w:p>
    <w:p w14:paraId="668AD296">
      <w:pPr>
        <w:spacing w:before="300" w:after="120" w:line="288" w:lineRule="auto"/>
        <w:ind w:left="0"/>
        <w:jc w:val="left"/>
        <w:outlineLvl w:val="2"/>
      </w:pPr>
      <w:bookmarkStart w:id="8" w:name="heading_8"/>
      <w:r>
        <w:rPr>
          <w:rFonts w:ascii="Arial" w:hAnsi="Arial" w:eastAsia="等线" w:cs="Arial"/>
          <w:b/>
          <w:sz w:val="30"/>
        </w:rPr>
        <w:t>2.2.2 多目标综合模型</w:t>
      </w:r>
      <w:bookmarkEnd w:id="8"/>
    </w:p>
    <w:p w14:paraId="7FEAAF6A">
      <w:pPr>
        <w:spacing w:before="120" w:after="120" w:line="288" w:lineRule="auto"/>
        <w:ind w:left="0"/>
        <w:jc w:val="left"/>
      </w:pPr>
      <w:r>
        <w:rPr>
          <w:rFonts w:ascii="Arial" w:hAnsi="Arial" w:eastAsia="等线" w:cs="Arial"/>
          <w:sz w:val="22"/>
        </w:rPr>
        <w:t>本模型采用加权综合评分法，融合五大评价指标，构建标准化多目标优化函数，整体目标为最大化综合适应度：</w:t>
      </w:r>
    </w:p>
    <w:p w14:paraId="3592F9DD">
      <w:pPr>
        <w:spacing w:before="120" w:after="120" w:line="288" w:lineRule="auto"/>
        <w:ind w:left="0"/>
        <w:jc w:val="left"/>
      </w:pPr>
      <m:oMathPara>
        <m:oMathParaPr>
          <m:jc m:val="left"/>
        </m:oMathParaPr>
        <m:oMath>
          <m:r>
            <m:rPr/>
            <w:rPr>
              <w:rFonts w:ascii="Cambria Math" w:hAnsi="Cambria Math"/>
            </w:rPr>
            <m:t>maxF=0.35</m:t>
          </m:r>
          <m:sSub>
            <m:sSubPr/>
            <m:e>
              <m:r>
                <m:rPr/>
                <w:rPr>
                  <w:rFonts w:ascii="Cambria Math" w:hAnsi="Cambria Math"/>
                </w:rPr>
                <m:t>F</m:t>
              </m:r>
            </m:e>
            <m:sub>
              <m:r>
                <m:rPr/>
                <w:rPr>
                  <w:rFonts w:ascii="Cambria Math" w:hAnsi="Cambria Math"/>
                </w:rPr>
                <m:t>1</m:t>
              </m:r>
            </m:sub>
          </m:sSub>
          <m:r>
            <m:rPr/>
            <w:rPr>
              <w:rFonts w:ascii="Cambria Math" w:hAnsi="Cambria Math"/>
            </w:rPr>
            <m:t>+0.10</m:t>
          </m:r>
          <m:sSub>
            <m:sSubPr/>
            <m:e>
              <m:r>
                <m:rPr/>
                <w:rPr>
                  <w:rFonts w:ascii="Cambria Math" w:hAnsi="Cambria Math"/>
                </w:rPr>
                <m:t>F</m:t>
              </m:r>
            </m:e>
            <m:sub>
              <m:r>
                <m:rPr/>
                <w:rPr>
                  <w:rFonts w:ascii="Cambria Math" w:hAnsi="Cambria Math"/>
                </w:rPr>
                <m:t>5</m:t>
              </m:r>
            </m:sub>
          </m:sSub>
          <m:r>
            <m:rPr/>
            <w:rPr>
              <w:rFonts w:ascii="Cambria Math" w:hAnsi="Cambria Math"/>
            </w:rPr>
            <m:t>+0.20</m:t>
          </m:r>
          <m:sSub>
            <m:sSubPr/>
            <m:e>
              <m:r>
                <m:rPr/>
                <w:rPr>
                  <w:rFonts w:ascii="Cambria Math" w:hAnsi="Cambria Math"/>
                </w:rPr>
                <m:t>F</m:t>
              </m:r>
            </m:e>
            <m:sub>
              <m:r>
                <m:rPr/>
                <w:rPr>
                  <w:rFonts w:ascii="Cambria Math" w:hAnsi="Cambria Math"/>
                </w:rPr>
                <m:t>3</m:t>
              </m:r>
            </m:sub>
          </m:sSub>
          <m:r>
            <m:rPr/>
            <w:rPr>
              <w:rFonts w:ascii="Cambria Math" w:hAnsi="Cambria Math"/>
            </w:rPr>
            <m:t>+0.20</m:t>
          </m:r>
          <m:sSub>
            <m:sSubPr/>
            <m:e>
              <m:r>
                <m:rPr/>
                <w:rPr>
                  <w:rFonts w:ascii="Cambria Math" w:hAnsi="Cambria Math"/>
                </w:rPr>
                <m:t>F</m:t>
              </m:r>
            </m:e>
            <m:sub>
              <m:r>
                <m:rPr/>
                <w:rPr>
                  <w:rFonts w:ascii="Cambria Math" w:hAnsi="Cambria Math"/>
                </w:rPr>
                <m:t>4</m:t>
              </m:r>
            </m:sub>
          </m:sSub>
          <m:r>
            <m:rPr/>
            <w:rPr>
              <w:rFonts w:ascii="Cambria Math" w:hAnsi="Cambria Math"/>
            </w:rPr>
            <m:t>−0.15</m:t>
          </m:r>
          <m:sSub>
            <m:sSubPr/>
            <m:e>
              <m:r>
                <m:rPr/>
                <w:rPr>
                  <w:rFonts w:ascii="Cambria Math" w:hAnsi="Cambria Math"/>
                </w:rPr>
                <m:t>F</m:t>
              </m:r>
            </m:e>
            <m:sub>
              <m:r>
                <m:rPr/>
                <w:rPr>
                  <w:rFonts w:ascii="Cambria Math" w:hAnsi="Cambria Math"/>
                </w:rPr>
                <m:t>2</m:t>
              </m:r>
            </m:sub>
          </m:sSub>
        </m:oMath>
      </m:oMathPara>
    </w:p>
    <w:p w14:paraId="11C85BCA">
      <w:pPr>
        <w:spacing w:before="120" w:after="120" w:line="288" w:lineRule="auto"/>
        <w:ind w:left="0"/>
        <w:jc w:val="left"/>
      </w:pPr>
      <w:r>
        <w:rPr>
          <w:rFonts w:ascii="Arial" w:hAnsi="Arial" w:eastAsia="等线" w:cs="Arial"/>
          <w:sz w:val="22"/>
        </w:rPr>
        <w:t>式中：</w:t>
      </w:r>
      <m:oMath>
        <m:sSub>
          <m:sSubPr/>
          <m:e>
            <m:r>
              <m:rPr/>
              <w:rPr>
                <w:rFonts w:ascii="Cambria Math" w:hAnsi="Cambria Math"/>
              </w:rPr>
              <m:t>F</m:t>
            </m:r>
          </m:e>
          <m:sub>
            <m:r>
              <m:rPr/>
              <w:rPr>
                <w:rFonts w:ascii="Cambria Math" w:hAnsi="Cambria Math"/>
              </w:rPr>
              <m:t>1</m:t>
            </m:r>
          </m:sub>
        </m:sSub>
      </m:oMath>
      <w:r>
        <w:rPr>
          <w:rFonts w:ascii="Arial" w:hAnsi="Arial" w:eastAsia="等线" w:cs="Arial"/>
          <w:sz w:val="22"/>
        </w:rPr>
        <w:t>为物资满足率、</w:t>
      </w:r>
      <m:oMath>
        <m:sSub>
          <m:sSubPr/>
          <m:e>
            <m:r>
              <m:rPr/>
              <w:rPr>
                <w:rFonts w:ascii="Cambria Math" w:hAnsi="Cambria Math"/>
              </w:rPr>
              <m:t>F</m:t>
            </m:r>
          </m:e>
          <m:sub>
            <m:r>
              <m:rPr/>
              <w:rPr>
                <w:rFonts w:ascii="Cambria Math" w:hAnsi="Cambria Math"/>
              </w:rPr>
              <m:t>2</m:t>
            </m:r>
          </m:sub>
        </m:sSub>
      </m:oMath>
      <w:r>
        <w:rPr>
          <w:rFonts w:ascii="Arial" w:hAnsi="Arial" w:eastAsia="等线" w:cs="Arial"/>
          <w:sz w:val="22"/>
        </w:rPr>
        <w:t>为标准化运输成本、</w:t>
      </w:r>
      <m:oMath>
        <m:sSub>
          <m:sSubPr/>
          <m:e>
            <m:r>
              <m:rPr/>
              <w:rPr>
                <w:rFonts w:ascii="Cambria Math" w:hAnsi="Cambria Math"/>
              </w:rPr>
              <m:t>F</m:t>
            </m:r>
          </m:e>
          <m:sub>
            <m:r>
              <m:rPr/>
              <w:rPr>
                <w:rFonts w:ascii="Cambria Math" w:hAnsi="Cambria Math"/>
              </w:rPr>
              <m:t>3</m:t>
            </m:r>
          </m:sub>
        </m:sSub>
      </m:oMath>
      <w:r>
        <w:rPr>
          <w:rFonts w:ascii="Arial" w:hAnsi="Arial" w:eastAsia="等线" w:cs="Arial"/>
          <w:sz w:val="22"/>
        </w:rPr>
        <w:t>为分配公平性、</w:t>
      </w:r>
      <m:oMath>
        <m:sSub>
          <m:sSubPr/>
          <m:e>
            <m:r>
              <m:rPr/>
              <w:rPr>
                <w:rFonts w:ascii="Cambria Math" w:hAnsi="Cambria Math"/>
              </w:rPr>
              <m:t>F</m:t>
            </m:r>
          </m:e>
          <m:sub>
            <m:r>
              <m:rPr/>
              <w:rPr>
                <w:rFonts w:ascii="Cambria Math" w:hAnsi="Cambria Math"/>
              </w:rPr>
              <m:t>4</m:t>
            </m:r>
          </m:sub>
        </m:sSub>
      </m:oMath>
      <w:r>
        <w:rPr>
          <w:rFonts w:ascii="Arial" w:hAnsi="Arial" w:eastAsia="等线" w:cs="Arial"/>
          <w:sz w:val="22"/>
        </w:rPr>
        <w:t>为紧急程度得分、</w:t>
      </w:r>
      <m:oMath>
        <m:sSub>
          <m:sSubPr/>
          <m:e>
            <m:r>
              <m:rPr/>
              <w:rPr>
                <w:rFonts w:ascii="Cambria Math" w:hAnsi="Cambria Math"/>
              </w:rPr>
              <m:t>F</m:t>
            </m:r>
          </m:e>
          <m:sub>
            <m:r>
              <m:rPr/>
              <w:rPr>
                <w:rFonts w:ascii="Cambria Math" w:hAnsi="Cambria Math"/>
              </w:rPr>
              <m:t>5</m:t>
            </m:r>
          </m:sub>
        </m:sSub>
      </m:oMath>
      <w:r>
        <w:rPr>
          <w:rFonts w:ascii="Arial" w:hAnsi="Arial" w:eastAsia="等线" w:cs="Arial"/>
          <w:sz w:val="22"/>
        </w:rPr>
        <w:t>为时间效率。</w:t>
      </w:r>
    </w:p>
    <w:p w14:paraId="11729469">
      <w:pPr>
        <w:spacing w:before="320" w:after="120" w:line="288" w:lineRule="auto"/>
        <w:ind w:left="0"/>
        <w:jc w:val="left"/>
        <w:outlineLvl w:val="1"/>
      </w:pPr>
      <w:bookmarkStart w:id="9" w:name="heading_9"/>
      <w:r>
        <w:rPr>
          <w:rFonts w:ascii="Arial" w:hAnsi="Arial" w:eastAsia="等线" w:cs="Arial"/>
          <w:b/>
          <w:sz w:val="32"/>
        </w:rPr>
        <w:t>2.3 评价指标体系</w:t>
      </w:r>
      <w:bookmarkEnd w:id="9"/>
    </w:p>
    <w:p w14:paraId="08D0D49F">
      <w:pPr>
        <w:spacing w:before="120" w:after="120" w:line="288" w:lineRule="auto"/>
        <w:ind w:left="0"/>
        <w:jc w:val="left"/>
      </w:pPr>
      <w:r>
        <w:rPr>
          <w:rFonts w:ascii="Arial" w:hAnsi="Arial" w:eastAsia="等线" w:cs="Arial"/>
          <w:sz w:val="22"/>
        </w:rPr>
        <w:t>本研究构建五层量化评价体系，明确各指标权重与计算方法，实现分配方案的科学化、标准化评估，具体指标体系如下表所示：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2881C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9E09BE">
            <w:pPr>
              <w:spacing w:before="120" w:after="120" w:line="288" w:lineRule="auto"/>
              <w:ind w:left="0"/>
              <w:jc w:val="left"/>
            </w:pPr>
            <w:r>
              <w:rPr>
                <w:rFonts w:ascii="Arial" w:hAnsi="Arial" w:eastAsia="等线" w:cs="Arial"/>
                <w:sz w:val="22"/>
              </w:rPr>
              <w:t>评价指标</w:t>
            </w:r>
          </w:p>
        </w:tc>
        <w:tc>
          <w:tcPr>
            <w:tcW w:w="2760" w:type="dxa"/>
            <w:tcMar>
              <w:top w:w="60" w:type="dxa"/>
              <w:left w:w="120" w:type="dxa"/>
              <w:bottom w:w="30" w:type="dxa"/>
              <w:right w:w="120" w:type="dxa"/>
            </w:tcMar>
          </w:tcPr>
          <w:p w14:paraId="1429849D">
            <w:pPr>
              <w:spacing w:before="120" w:after="120" w:line="288" w:lineRule="auto"/>
              <w:ind w:left="0"/>
              <w:jc w:val="left"/>
            </w:pPr>
            <w:r>
              <w:rPr>
                <w:rFonts w:ascii="Arial" w:hAnsi="Arial" w:eastAsia="等线" w:cs="Arial"/>
                <w:sz w:val="22"/>
              </w:rPr>
              <w:t>权重占比</w:t>
            </w:r>
          </w:p>
        </w:tc>
        <w:tc>
          <w:tcPr>
            <w:tcW w:w="2760" w:type="dxa"/>
            <w:tcMar>
              <w:top w:w="60" w:type="dxa"/>
              <w:left w:w="120" w:type="dxa"/>
              <w:bottom w:w="30" w:type="dxa"/>
              <w:right w:w="120" w:type="dxa"/>
            </w:tcMar>
          </w:tcPr>
          <w:p w14:paraId="54464126">
            <w:pPr>
              <w:spacing w:before="120" w:after="120" w:line="288" w:lineRule="auto"/>
              <w:ind w:left="0"/>
              <w:jc w:val="left"/>
            </w:pPr>
            <w:r>
              <w:rPr>
                <w:rFonts w:ascii="Arial" w:hAnsi="Arial" w:eastAsia="等线" w:cs="Arial"/>
                <w:sz w:val="22"/>
              </w:rPr>
              <w:t>计算方法</w:t>
            </w:r>
          </w:p>
        </w:tc>
      </w:tr>
      <w:tr w14:paraId="015AD4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903C37F">
            <w:pPr>
              <w:spacing w:before="120" w:after="120" w:line="288" w:lineRule="auto"/>
              <w:ind w:left="0"/>
              <w:jc w:val="left"/>
            </w:pPr>
            <w:r>
              <w:rPr>
                <w:rFonts w:ascii="Arial" w:hAnsi="Arial" w:eastAsia="等线" w:cs="Arial"/>
                <w:sz w:val="22"/>
              </w:rPr>
              <w:t>物资满足率</w:t>
            </w:r>
          </w:p>
        </w:tc>
        <w:tc>
          <w:tcPr>
            <w:tcW w:w="2760" w:type="dxa"/>
            <w:tcMar>
              <w:top w:w="60" w:type="dxa"/>
              <w:left w:w="120" w:type="dxa"/>
              <w:bottom w:w="30" w:type="dxa"/>
              <w:right w:w="120" w:type="dxa"/>
            </w:tcMar>
          </w:tcPr>
          <w:p w14:paraId="0BF59276">
            <w:pPr>
              <w:spacing w:before="120" w:after="120" w:line="288" w:lineRule="auto"/>
              <w:ind w:left="0"/>
              <w:jc w:val="left"/>
            </w:pPr>
            <w:r>
              <w:rPr>
                <w:rFonts w:ascii="Arial" w:hAnsi="Arial" w:eastAsia="等线" w:cs="Arial"/>
                <w:sz w:val="22"/>
              </w:rPr>
              <w:t>35%</w:t>
            </w:r>
          </w:p>
        </w:tc>
        <w:tc>
          <w:tcPr>
            <w:tcW w:w="2760" w:type="dxa"/>
            <w:tcMar>
              <w:top w:w="60" w:type="dxa"/>
              <w:left w:w="120" w:type="dxa"/>
              <w:bottom w:w="30" w:type="dxa"/>
              <w:right w:w="120" w:type="dxa"/>
            </w:tcMar>
          </w:tcPr>
          <w:p w14:paraId="4A2ED5B0">
            <w:pPr>
              <w:spacing w:before="120" w:after="120" w:line="288" w:lineRule="auto"/>
              <w:ind w:left="0"/>
              <w:jc w:val="left"/>
            </w:pPr>
            <w:r>
              <w:rPr>
                <w:rFonts w:ascii="Arial" w:hAnsi="Arial" w:eastAsia="等线" w:cs="Arial"/>
                <w:sz w:val="22"/>
              </w:rPr>
              <w:t>区域实际物资分配总量 / 区域物资总需求量</w:t>
            </w:r>
          </w:p>
        </w:tc>
      </w:tr>
      <w:tr w14:paraId="2CB68F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C06BA02">
            <w:pPr>
              <w:spacing w:before="120" w:after="120" w:line="288" w:lineRule="auto"/>
              <w:ind w:left="0"/>
              <w:jc w:val="left"/>
            </w:pPr>
            <w:r>
              <w:rPr>
                <w:rFonts w:ascii="Arial" w:hAnsi="Arial" w:eastAsia="等线" w:cs="Arial"/>
                <w:sz w:val="22"/>
              </w:rPr>
              <w:t>运输成本</w:t>
            </w:r>
          </w:p>
        </w:tc>
        <w:tc>
          <w:tcPr>
            <w:tcW w:w="2760" w:type="dxa"/>
            <w:tcMar>
              <w:top w:w="60" w:type="dxa"/>
              <w:left w:w="120" w:type="dxa"/>
              <w:bottom w:w="30" w:type="dxa"/>
              <w:right w:w="120" w:type="dxa"/>
            </w:tcMar>
          </w:tcPr>
          <w:p w14:paraId="42800150">
            <w:pPr>
              <w:spacing w:before="120" w:after="120" w:line="288" w:lineRule="auto"/>
              <w:ind w:left="0"/>
              <w:jc w:val="left"/>
            </w:pPr>
            <w:r>
              <w:rPr>
                <w:rFonts w:ascii="Arial" w:hAnsi="Arial" w:eastAsia="等线" w:cs="Arial"/>
                <w:sz w:val="22"/>
              </w:rPr>
              <w:t>15%</w:t>
            </w:r>
          </w:p>
        </w:tc>
        <w:tc>
          <w:tcPr>
            <w:tcW w:w="2760" w:type="dxa"/>
            <w:tcMar>
              <w:top w:w="60" w:type="dxa"/>
              <w:left w:w="120" w:type="dxa"/>
              <w:bottom w:w="30" w:type="dxa"/>
              <w:right w:w="120" w:type="dxa"/>
            </w:tcMar>
          </w:tcPr>
          <w:p w14:paraId="0A183EAF">
            <w:pPr>
              <w:spacing w:before="120" w:after="120" w:line="288" w:lineRule="auto"/>
              <w:ind w:left="0"/>
              <w:jc w:val="left"/>
            </w:pPr>
            <w:r>
              <w:rPr>
                <w:rFonts w:ascii="Arial" w:hAnsi="Arial" w:eastAsia="等线" w:cs="Arial"/>
                <w:sz w:val="22"/>
              </w:rPr>
              <w:t>运输距离 × 物资运输量 × 道路状况系数</w:t>
            </w:r>
          </w:p>
        </w:tc>
      </w:tr>
      <w:tr w14:paraId="588AA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138AF6">
            <w:pPr>
              <w:spacing w:before="120" w:after="120" w:line="288" w:lineRule="auto"/>
              <w:ind w:left="0"/>
              <w:jc w:val="left"/>
            </w:pPr>
            <w:r>
              <w:rPr>
                <w:rFonts w:ascii="Arial" w:hAnsi="Arial" w:eastAsia="等线" w:cs="Arial"/>
                <w:sz w:val="22"/>
              </w:rPr>
              <w:t>分配公平性</w:t>
            </w:r>
          </w:p>
        </w:tc>
        <w:tc>
          <w:tcPr>
            <w:tcW w:w="2760" w:type="dxa"/>
            <w:tcMar>
              <w:top w:w="60" w:type="dxa"/>
              <w:left w:w="120" w:type="dxa"/>
              <w:bottom w:w="30" w:type="dxa"/>
              <w:right w:w="120" w:type="dxa"/>
            </w:tcMar>
          </w:tcPr>
          <w:p w14:paraId="1AE51F5C">
            <w:pPr>
              <w:spacing w:before="120" w:after="120" w:line="288" w:lineRule="auto"/>
              <w:ind w:left="0"/>
              <w:jc w:val="left"/>
            </w:pPr>
            <w:r>
              <w:rPr>
                <w:rFonts w:ascii="Arial" w:hAnsi="Arial" w:eastAsia="等线" w:cs="Arial"/>
                <w:sz w:val="22"/>
              </w:rPr>
              <w:t>20%</w:t>
            </w:r>
          </w:p>
        </w:tc>
        <w:tc>
          <w:tcPr>
            <w:tcW w:w="2760" w:type="dxa"/>
            <w:tcMar>
              <w:top w:w="60" w:type="dxa"/>
              <w:left w:w="120" w:type="dxa"/>
              <w:bottom w:w="30" w:type="dxa"/>
              <w:right w:w="120" w:type="dxa"/>
            </w:tcMar>
          </w:tcPr>
          <w:p w14:paraId="6F5E7D22">
            <w:pPr>
              <w:spacing w:before="120" w:after="120" w:line="288" w:lineRule="auto"/>
              <w:ind w:left="0"/>
              <w:jc w:val="left"/>
            </w:pPr>
            <w:r>
              <w:rPr>
                <w:rFonts w:ascii="Arial" w:hAnsi="Arial" w:eastAsia="等线" w:cs="Arial"/>
                <w:sz w:val="22"/>
              </w:rPr>
              <w:t>各受灾点满足率方差的倒数，方差越小，公平性越高</w:t>
            </w:r>
          </w:p>
        </w:tc>
      </w:tr>
      <w:tr w14:paraId="72D90E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201EEEB">
            <w:pPr>
              <w:spacing w:before="120" w:after="120" w:line="288" w:lineRule="auto"/>
              <w:ind w:left="0"/>
              <w:jc w:val="left"/>
            </w:pPr>
            <w:r>
              <w:rPr>
                <w:rFonts w:ascii="Arial" w:hAnsi="Arial" w:eastAsia="等线" w:cs="Arial"/>
                <w:sz w:val="22"/>
              </w:rPr>
              <w:t>紧急程度</w:t>
            </w:r>
          </w:p>
        </w:tc>
        <w:tc>
          <w:tcPr>
            <w:tcW w:w="2760" w:type="dxa"/>
            <w:tcMar>
              <w:top w:w="60" w:type="dxa"/>
              <w:left w:w="120" w:type="dxa"/>
              <w:bottom w:w="30" w:type="dxa"/>
              <w:right w:w="120" w:type="dxa"/>
            </w:tcMar>
          </w:tcPr>
          <w:p w14:paraId="06F15208">
            <w:pPr>
              <w:spacing w:before="120" w:after="120" w:line="288" w:lineRule="auto"/>
              <w:ind w:left="0"/>
              <w:jc w:val="left"/>
            </w:pPr>
            <w:r>
              <w:rPr>
                <w:rFonts w:ascii="Arial" w:hAnsi="Arial" w:eastAsia="等线" w:cs="Arial"/>
                <w:sz w:val="22"/>
              </w:rPr>
              <w:t>20%</w:t>
            </w:r>
          </w:p>
        </w:tc>
        <w:tc>
          <w:tcPr>
            <w:tcW w:w="2760" w:type="dxa"/>
            <w:tcMar>
              <w:top w:w="60" w:type="dxa"/>
              <w:left w:w="120" w:type="dxa"/>
              <w:bottom w:w="30" w:type="dxa"/>
              <w:right w:w="120" w:type="dxa"/>
            </w:tcMar>
          </w:tcPr>
          <w:p w14:paraId="15851812">
            <w:pPr>
              <w:spacing w:before="120" w:after="120" w:line="288" w:lineRule="auto"/>
              <w:ind w:left="0"/>
              <w:jc w:val="left"/>
            </w:pPr>
            <w:r>
              <w:rPr>
                <w:rFonts w:ascii="Arial" w:hAnsi="Arial" w:eastAsia="等线" w:cs="Arial"/>
                <w:sz w:val="22"/>
              </w:rPr>
              <w:t>受灾点紧急权重 × 对应物资满足率</w:t>
            </w:r>
          </w:p>
        </w:tc>
      </w:tr>
      <w:tr w14:paraId="3BA08C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24DC749">
            <w:pPr>
              <w:spacing w:before="120" w:after="120" w:line="288" w:lineRule="auto"/>
              <w:ind w:left="0"/>
              <w:jc w:val="left"/>
            </w:pPr>
            <w:r>
              <w:rPr>
                <w:rFonts w:ascii="Arial" w:hAnsi="Arial" w:eastAsia="等线" w:cs="Arial"/>
                <w:sz w:val="22"/>
              </w:rPr>
              <w:t>时间效率</w:t>
            </w:r>
          </w:p>
        </w:tc>
        <w:tc>
          <w:tcPr>
            <w:tcW w:w="2760" w:type="dxa"/>
            <w:tcMar>
              <w:top w:w="60" w:type="dxa"/>
              <w:left w:w="120" w:type="dxa"/>
              <w:bottom w:w="30" w:type="dxa"/>
              <w:right w:w="120" w:type="dxa"/>
            </w:tcMar>
          </w:tcPr>
          <w:p w14:paraId="2AAA1064">
            <w:pPr>
              <w:spacing w:before="120" w:after="120" w:line="288" w:lineRule="auto"/>
              <w:ind w:left="0"/>
              <w:jc w:val="left"/>
            </w:pPr>
            <w:r>
              <w:rPr>
                <w:rFonts w:ascii="Arial" w:hAnsi="Arial" w:eastAsia="等线" w:cs="Arial"/>
                <w:sz w:val="22"/>
              </w:rPr>
              <w:t>10%</w:t>
            </w:r>
          </w:p>
        </w:tc>
        <w:tc>
          <w:tcPr>
            <w:tcW w:w="2760" w:type="dxa"/>
            <w:tcMar>
              <w:top w:w="60" w:type="dxa"/>
              <w:left w:w="120" w:type="dxa"/>
              <w:bottom w:w="30" w:type="dxa"/>
              <w:right w:w="120" w:type="dxa"/>
            </w:tcMar>
          </w:tcPr>
          <w:p w14:paraId="51AC3A68">
            <w:pPr>
              <w:spacing w:before="120" w:after="120" w:line="288" w:lineRule="auto"/>
              <w:ind w:left="0"/>
              <w:jc w:val="left"/>
            </w:pPr>
            <w:r>
              <w:rPr>
                <w:rFonts w:ascii="Arial" w:hAnsi="Arial" w:eastAsia="等线" w:cs="Arial"/>
                <w:sz w:val="22"/>
              </w:rPr>
              <w:t>物资整体运输时间的倒数，耗时越短效率越高</w:t>
            </w:r>
          </w:p>
        </w:tc>
      </w:tr>
    </w:tbl>
    <w:p w14:paraId="4960C49F">
      <w:pPr>
        <w:spacing w:before="380" w:after="140" w:line="288" w:lineRule="auto"/>
        <w:ind w:left="0"/>
        <w:jc w:val="left"/>
        <w:outlineLvl w:val="0"/>
      </w:pPr>
      <w:bookmarkStart w:id="10" w:name="heading_10"/>
      <w:r>
        <w:rPr>
          <w:rFonts w:ascii="Arial" w:hAnsi="Arial" w:eastAsia="等线" w:cs="Arial"/>
          <w:b/>
          <w:sz w:val="36"/>
        </w:rPr>
        <w:t>3 约束条件</w:t>
      </w:r>
      <w:bookmarkEnd w:id="10"/>
    </w:p>
    <w:p w14:paraId="0CA2A29D">
      <w:pPr>
        <w:spacing w:before="320" w:after="120" w:line="288" w:lineRule="auto"/>
        <w:ind w:left="0"/>
        <w:jc w:val="left"/>
        <w:outlineLvl w:val="1"/>
      </w:pPr>
      <w:bookmarkStart w:id="11" w:name="heading_11"/>
      <w:r>
        <w:rPr>
          <w:rFonts w:ascii="Arial" w:hAnsi="Arial" w:eastAsia="等线" w:cs="Arial"/>
          <w:b/>
          <w:sz w:val="32"/>
        </w:rPr>
        <w:t>3.1 库存约束</w:t>
      </w:r>
      <w:bookmarkEnd w:id="11"/>
    </w:p>
    <w:p w14:paraId="53B9A4A6">
      <w:pPr>
        <w:spacing w:before="120" w:after="120" w:line="288" w:lineRule="auto"/>
        <w:ind w:left="0"/>
        <w:jc w:val="left"/>
      </w:pPr>
      <w:r>
        <w:rPr>
          <w:rFonts w:ascii="Arial" w:hAnsi="Arial" w:eastAsia="等线" w:cs="Arial"/>
          <w:sz w:val="22"/>
        </w:rPr>
        <w:t>各物资仓库输出的各类物资总量，不得超过该仓库对应物资的最大库存储备，杜绝物资超量调配、库存透支等不符合现实救援场景的分配方案，保障调度可行性。</w:t>
      </w:r>
    </w:p>
    <w:p w14:paraId="6713BA40">
      <w:pPr>
        <w:spacing w:before="120" w:after="120" w:line="288" w:lineRule="auto"/>
        <w:ind w:left="0"/>
        <w:jc w:val="left"/>
      </w:pPr>
      <w:r>
        <w:rPr>
          <w:rFonts w:ascii="Arial" w:hAnsi="Arial" w:eastAsia="等线" w:cs="Arial"/>
          <w:sz w:val="22"/>
        </w:rPr>
        <w:t>约束公式：</w:t>
      </w:r>
      <m:oMath>
        <m:nary>
          <m:naryPr>
            <m:chr m:val="∑"/>
            <m:grow m:val="1"/>
            <m:limLoc m:val="undOvr"/>
            <m:supHide m:val="1"/>
          </m:naryPr>
          <m:sub>
            <m:r>
              <m:rPr/>
              <w:rPr>
                <w:rFonts w:ascii="Cambria Math" w:hAnsi="Cambria Math"/>
              </w:rPr>
              <m:t>p</m:t>
            </m:r>
          </m:sub>
          <m:sup/>
          <m:e/>
        </m:nary>
        <m:r>
          <m:rPr/>
          <w:rPr>
            <w:rFonts w:ascii="Cambria Math" w:hAnsi="Cambria Math"/>
          </w:rPr>
          <m:t>x[w][p][m]≤inventory[w][m]</m:t>
        </m:r>
      </m:oMath>
    </w:p>
    <w:p w14:paraId="12F000A6">
      <w:pPr>
        <w:spacing w:before="320" w:after="120" w:line="288" w:lineRule="auto"/>
        <w:ind w:left="0"/>
        <w:jc w:val="left"/>
        <w:outlineLvl w:val="1"/>
      </w:pPr>
      <w:bookmarkStart w:id="12" w:name="heading_12"/>
      <w:r>
        <w:rPr>
          <w:rFonts w:ascii="Arial" w:hAnsi="Arial" w:eastAsia="等线" w:cs="Arial"/>
          <w:b/>
          <w:sz w:val="32"/>
        </w:rPr>
        <w:t>3.2 需求约束</w:t>
      </w:r>
      <w:bookmarkEnd w:id="12"/>
    </w:p>
    <w:p w14:paraId="65DB6568">
      <w:pPr>
        <w:spacing w:before="120" w:after="120" w:line="288" w:lineRule="auto"/>
        <w:ind w:left="0"/>
        <w:jc w:val="left"/>
      </w:pPr>
      <w:r>
        <w:rPr>
          <w:rFonts w:ascii="Arial" w:hAnsi="Arial" w:eastAsia="等线" w:cs="Arial"/>
          <w:sz w:val="22"/>
        </w:rPr>
        <w:t>各受灾点接收的每一类救援物资总量，不得超过该受灾点的实际物资需求量，避免物资过度配送、资源冗余积压、运力无效浪费，保障物资精准供给。</w:t>
      </w:r>
    </w:p>
    <w:p w14:paraId="448E158C">
      <w:pPr>
        <w:spacing w:before="120" w:after="120" w:line="288" w:lineRule="auto"/>
        <w:ind w:left="0"/>
        <w:jc w:val="left"/>
      </w:pPr>
      <w:r>
        <w:rPr>
          <w:rFonts w:ascii="Arial" w:hAnsi="Arial" w:eastAsia="等线" w:cs="Arial"/>
          <w:sz w:val="22"/>
        </w:rPr>
        <w:t>约束公式：</w:t>
      </w:r>
      <m:oMath>
        <m:nary>
          <m:naryPr>
            <m:chr m:val="∑"/>
            <m:grow m:val="1"/>
            <m:limLoc m:val="undOvr"/>
            <m:supHide m:val="1"/>
          </m:naryPr>
          <m:sub>
            <m:r>
              <m:rPr/>
              <w:rPr>
                <w:rFonts w:ascii="Cambria Math" w:hAnsi="Cambria Math"/>
              </w:rPr>
              <m:t>w</m:t>
            </m:r>
          </m:sub>
          <m:sup/>
          <m:e/>
        </m:nary>
        <m:r>
          <m:rPr/>
          <w:rPr>
            <w:rFonts w:ascii="Cambria Math" w:hAnsi="Cambria Math"/>
          </w:rPr>
          <m:t>x[w][p][m]≤demand[p][m]</m:t>
        </m:r>
      </m:oMath>
    </w:p>
    <w:p w14:paraId="459E83D1">
      <w:pPr>
        <w:spacing w:before="320" w:after="120" w:line="288" w:lineRule="auto"/>
        <w:ind w:left="0"/>
        <w:jc w:val="left"/>
        <w:outlineLvl w:val="1"/>
      </w:pPr>
      <w:bookmarkStart w:id="13" w:name="heading_13"/>
      <w:r>
        <w:rPr>
          <w:rFonts w:ascii="Arial" w:hAnsi="Arial" w:eastAsia="等线" w:cs="Arial"/>
          <w:b/>
          <w:sz w:val="32"/>
        </w:rPr>
        <w:t>3.3 车辆约束</w:t>
      </w:r>
      <w:bookmarkEnd w:id="13"/>
    </w:p>
    <w:p w14:paraId="03DC5C08">
      <w:pPr>
        <w:spacing w:before="120" w:after="120" w:line="288" w:lineRule="auto"/>
        <w:ind w:left="0"/>
        <w:jc w:val="left"/>
      </w:pPr>
      <w:r>
        <w:rPr>
          <w:rFonts w:ascii="Arial" w:hAnsi="Arial" w:eastAsia="等线" w:cs="Arial"/>
          <w:sz w:val="22"/>
        </w:rPr>
        <w:t>单个仓库所有物资的总外运量，不得超过该仓库所有运输车辆的总运载能力，受限于车辆数量与单车载重上限，是物资调度的核心硬性运力约束。</w:t>
      </w:r>
    </w:p>
    <w:p w14:paraId="58A3D384">
      <w:pPr>
        <w:spacing w:before="120" w:after="120" w:line="288" w:lineRule="auto"/>
        <w:ind w:left="0"/>
        <w:jc w:val="left"/>
      </w:pPr>
      <w:r>
        <w:rPr>
          <w:rFonts w:ascii="Arial" w:hAnsi="Arial" w:eastAsia="等线" w:cs="Arial"/>
          <w:sz w:val="22"/>
        </w:rPr>
        <w:t>约束公式：</w:t>
      </w:r>
      <m:oMath>
        <m:nary>
          <m:naryPr>
            <m:chr m:val="∑"/>
            <m:grow m:val="1"/>
            <m:limLoc m:val="undOvr"/>
            <m:supHide m:val="1"/>
          </m:naryPr>
          <m:sub>
            <m:r>
              <m:rPr/>
              <w:rPr>
                <w:rFonts w:ascii="Cambria Math" w:hAnsi="Cambria Math"/>
              </w:rPr>
              <m:t>p,m</m:t>
            </m:r>
          </m:sub>
          <m:sup/>
          <m:e/>
        </m:nary>
        <m:r>
          <m:rPr/>
          <w:rPr>
            <w:rFonts w:ascii="Cambria Math" w:hAnsi="Cambria Math"/>
          </w:rPr>
          <m:t>x[w][p][m]≤vehicles[w]×capacity[w]</m:t>
        </m:r>
      </m:oMath>
    </w:p>
    <w:p w14:paraId="021A6310">
      <w:pPr>
        <w:spacing w:before="320" w:after="120" w:line="288" w:lineRule="auto"/>
        <w:ind w:left="0"/>
        <w:jc w:val="left"/>
        <w:outlineLvl w:val="1"/>
      </w:pPr>
      <w:bookmarkStart w:id="14" w:name="heading_14"/>
      <w:r>
        <w:rPr>
          <w:rFonts w:ascii="Arial" w:hAnsi="Arial" w:eastAsia="等线" w:cs="Arial"/>
          <w:b/>
          <w:sz w:val="32"/>
        </w:rPr>
        <w:t>3.4 道路约束</w:t>
      </w:r>
      <w:bookmarkEnd w:id="14"/>
    </w:p>
    <w:p w14:paraId="321D7F5A">
      <w:pPr>
        <w:spacing w:before="120" w:after="120" w:line="288" w:lineRule="auto"/>
        <w:ind w:left="0"/>
        <w:jc w:val="left"/>
      </w:pPr>
      <w:r>
        <w:rPr>
          <w:rFonts w:ascii="Arial" w:hAnsi="Arial" w:eastAsia="等线" w:cs="Arial"/>
          <w:sz w:val="22"/>
        </w:rPr>
        <w:t>结合2021年河南洪灾真实路况，模型引入道路状况系数量化路况差异。暴雨灾害导致部分区域道路积水、塌陷、通行受阻，道路状况越差，运输通行难度越高、单位运输成本越大、运输耗时越长。本约束通过道路系数联动成本与时间效率指标，使算法优先选择路况良好、通行高效的配送路线，贴合真实救灾场景。</w:t>
      </w:r>
    </w:p>
    <w:p w14:paraId="07814429">
      <w:pPr>
        <w:spacing w:before="380" w:after="140" w:line="288" w:lineRule="auto"/>
        <w:ind w:left="0"/>
        <w:jc w:val="left"/>
        <w:outlineLvl w:val="0"/>
      </w:pPr>
      <w:bookmarkStart w:id="15" w:name="heading_15"/>
      <w:r>
        <w:rPr>
          <w:rFonts w:ascii="Arial" w:hAnsi="Arial" w:eastAsia="等线" w:cs="Arial"/>
          <w:b/>
          <w:sz w:val="36"/>
        </w:rPr>
        <w:t>4 算法流程</w:t>
      </w:r>
      <w:bookmarkEnd w:id="15"/>
    </w:p>
    <w:p w14:paraId="79244754">
      <w:pPr>
        <w:spacing w:before="320" w:after="120" w:line="288" w:lineRule="auto"/>
        <w:ind w:left="0"/>
        <w:jc w:val="left"/>
        <w:outlineLvl w:val="1"/>
      </w:pPr>
      <w:bookmarkStart w:id="16" w:name="heading_16"/>
      <w:r>
        <w:rPr>
          <w:rFonts w:ascii="Arial" w:hAnsi="Arial" w:eastAsia="等线" w:cs="Arial"/>
          <w:b/>
          <w:sz w:val="32"/>
        </w:rPr>
        <w:t>4.1 遗传算法框架</w:t>
      </w:r>
      <w:bookmarkEnd w:id="16"/>
    </w:p>
    <w:p w14:paraId="454DB9AC">
      <w:pPr>
        <w:spacing w:before="120" w:after="120" w:line="288" w:lineRule="auto"/>
        <w:ind w:left="0"/>
        <w:jc w:val="left"/>
      </w:pPr>
      <w:r>
        <w:rPr>
          <w:rFonts w:ascii="Arial" w:hAnsi="Arial" w:eastAsia="等线" w:cs="Arial"/>
          <w:sz w:val="22"/>
        </w:rPr>
        <w:t>本研究采用改进遗传算法求解多约束多目标物资分配优化问题，整体迭代框架为：数据初始化→种群初始化→个体编码→适应度计算→选择操作→单点交叉→随机变异→约束修复→种群更新→迭代收敛判定→输出最优分配方案。针对物资分配约束复杂的特点，新增约束违反修复机制，彻底规避无效解，提升算法求解精度与方案可行性。</w:t>
      </w:r>
    </w:p>
    <w:p w14:paraId="4ECD53AA">
      <w:pPr>
        <w:spacing w:before="320" w:after="120" w:line="288" w:lineRule="auto"/>
        <w:ind w:left="0"/>
        <w:jc w:val="left"/>
        <w:outlineLvl w:val="1"/>
      </w:pPr>
      <w:bookmarkStart w:id="17" w:name="heading_17"/>
      <w:r>
        <w:rPr>
          <w:rFonts w:ascii="Arial" w:hAnsi="Arial" w:eastAsia="等线" w:cs="Arial"/>
          <w:b/>
          <w:sz w:val="32"/>
        </w:rPr>
        <w:t>4.2 编码方式</w:t>
      </w:r>
      <w:bookmarkEnd w:id="17"/>
    </w:p>
    <w:p w14:paraId="08590744">
      <w:pPr>
        <w:spacing w:before="120" w:after="120" w:line="288" w:lineRule="auto"/>
        <w:ind w:left="0"/>
        <w:jc w:val="left"/>
      </w:pPr>
      <w:r>
        <w:rPr>
          <w:rFonts w:ascii="Arial" w:hAnsi="Arial" w:eastAsia="等线" w:cs="Arial"/>
          <w:sz w:val="22"/>
        </w:rPr>
        <w:t>采用</w:t>
      </w:r>
      <w:r>
        <w:rPr>
          <w:rFonts w:ascii="Arial" w:hAnsi="Arial" w:eastAsia="等线" w:cs="Arial"/>
          <w:b/>
          <w:sz w:val="22"/>
        </w:rPr>
        <w:t>三维实数数组编码</w:t>
      </w:r>
      <w:r>
        <w:rPr>
          <w:rFonts w:ascii="Arial" w:hAnsi="Arial" w:eastAsia="等线" w:cs="Arial"/>
          <w:sz w:val="22"/>
        </w:rPr>
        <w:t xml:space="preserve">方式，编码结构为 </w:t>
      </w:r>
      <m:oMath>
        <m:r>
          <m:rPr/>
          <w:rPr>
            <w:rFonts w:ascii="Cambria Math" w:hAnsi="Cambria Math"/>
          </w:rPr>
          <m:t>individual[</m:t>
        </m:r>
        <m:r>
          <m:rPr>
            <m:sty m:val="p"/>
          </m:rPr>
          <w:rPr>
            <w:rFonts w:ascii="Cambria Math" w:hAnsi="Cambria Math"/>
          </w:rPr>
          <m:t>仓库</m:t>
        </m:r>
        <m:r>
          <m:rPr/>
          <w:rPr>
            <w:rFonts w:ascii="Cambria Math" w:hAnsi="Cambria Math"/>
          </w:rPr>
          <m:t>][</m:t>
        </m:r>
        <m:r>
          <m:rPr>
            <m:sty m:val="p"/>
          </m:rPr>
          <w:rPr>
            <w:rFonts w:ascii="Cambria Math" w:hAnsi="Cambria Math"/>
          </w:rPr>
          <m:t>受灾点</m:t>
        </m:r>
        <m:r>
          <m:rPr/>
          <w:rPr>
            <w:rFonts w:ascii="Cambria Math" w:hAnsi="Cambria Math"/>
          </w:rPr>
          <m:t>][</m:t>
        </m:r>
        <m:r>
          <m:rPr>
            <m:sty m:val="p"/>
          </m:rPr>
          <w:rPr>
            <w:rFonts w:ascii="Cambria Math" w:hAnsi="Cambria Math"/>
          </w:rPr>
          <m:t>物资</m:t>
        </m:r>
        <m:r>
          <m:rPr/>
          <w:rPr>
            <w:rFonts w:ascii="Cambria Math" w:hAnsi="Cambria Math"/>
          </w:rPr>
          <m:t>]</m:t>
        </m:r>
      </m:oMath>
      <w:r>
        <w:rPr>
          <w:rFonts w:ascii="Arial" w:hAnsi="Arial" w:eastAsia="等线" w:cs="Arial"/>
          <w:sz w:val="22"/>
        </w:rPr>
        <w:t xml:space="preserve">，数组内每一个元素对应决策变量 </w:t>
      </w:r>
      <m:oMath>
        <m:r>
          <m:rPr/>
          <w:rPr>
            <w:rFonts w:ascii="Cambria Math" w:hAnsi="Cambria Math"/>
          </w:rPr>
          <m:t>x[w][p][m]</m:t>
        </m:r>
      </m:oMath>
      <w:r>
        <w:rPr>
          <w:rFonts w:ascii="Arial" w:hAnsi="Arial" w:eastAsia="等线" w:cs="Arial"/>
          <w:sz w:val="22"/>
        </w:rPr>
        <w:t>，直接表示指定仓库向对应受灾点的单类物资分配量。该编码方式物理含义清晰、无需二次解码，适配连续型物资配送量优化，运算效率高、贴合业务场景。</w:t>
      </w:r>
    </w:p>
    <w:p w14:paraId="449624C2">
      <w:pPr>
        <w:spacing w:before="320" w:after="120" w:line="288" w:lineRule="auto"/>
        <w:ind w:left="0"/>
        <w:jc w:val="left"/>
        <w:outlineLvl w:val="1"/>
      </w:pPr>
      <w:bookmarkStart w:id="18" w:name="heading_18"/>
      <w:r>
        <w:rPr>
          <w:rFonts w:ascii="Arial" w:hAnsi="Arial" w:eastAsia="等线" w:cs="Arial"/>
          <w:b/>
          <w:sz w:val="32"/>
        </w:rPr>
        <w:t>4.3 适应度函数</w:t>
      </w:r>
      <w:bookmarkEnd w:id="18"/>
    </w:p>
    <w:p w14:paraId="282C08C3">
      <w:pPr>
        <w:spacing w:before="120" w:after="120" w:line="288" w:lineRule="auto"/>
        <w:ind w:left="0"/>
        <w:jc w:val="left"/>
      </w:pPr>
      <w:r>
        <w:rPr>
          <w:rFonts w:ascii="Arial" w:hAnsi="Arial" w:eastAsia="等线" w:cs="Arial"/>
          <w:sz w:val="22"/>
        </w:rPr>
        <w:t>适应度函数基于本研究多目标加权评价体系构建，综合融合物资满足率、运输成本、公平性、紧急程度、时间效率五大指标，同时加入约束惩罚与修复机制。对违反库存、需求、运力约束的个体进行修正与惩罚，保证种群内所有个体均为可行解，最终以综合评分作为个体适应度，评分越高代表物资分配方案越优。</w:t>
      </w:r>
    </w:p>
    <w:p w14:paraId="0C4FC0CE">
      <w:pPr>
        <w:spacing w:before="320" w:after="120" w:line="288" w:lineRule="auto"/>
        <w:ind w:left="0"/>
        <w:jc w:val="left"/>
        <w:outlineLvl w:val="1"/>
      </w:pPr>
      <w:bookmarkStart w:id="19" w:name="heading_19"/>
      <w:r>
        <w:rPr>
          <w:rFonts w:ascii="Arial" w:hAnsi="Arial" w:eastAsia="等线" w:cs="Arial"/>
          <w:b/>
          <w:sz w:val="32"/>
        </w:rPr>
        <w:t>4.4 遗传操作</w:t>
      </w:r>
      <w:bookmarkEnd w:id="19"/>
    </w:p>
    <w:p w14:paraId="5ABA8522">
      <w:pPr>
        <w:spacing w:before="120" w:after="120" w:line="288" w:lineRule="auto"/>
        <w:ind w:left="0"/>
        <w:jc w:val="left"/>
      </w:pPr>
      <w:r>
        <w:rPr>
          <w:rFonts w:ascii="Arial" w:hAnsi="Arial" w:eastAsia="等线" w:cs="Arial"/>
          <w:sz w:val="22"/>
        </w:rPr>
        <w:t>（1）选择操作：采用轮盘赌选择法，基于个体适应度占比筛选优质个体，同时保留种群多样性，避免算法早熟收敛。</w:t>
      </w:r>
    </w:p>
    <w:p w14:paraId="2D123513">
      <w:pPr>
        <w:spacing w:before="120" w:after="120" w:line="288" w:lineRule="auto"/>
        <w:ind w:left="0"/>
        <w:jc w:val="left"/>
      </w:pPr>
      <w:r>
        <w:rPr>
          <w:rFonts w:ascii="Arial" w:hAnsi="Arial" w:eastAsia="等线" w:cs="Arial"/>
          <w:sz w:val="22"/>
        </w:rPr>
        <w:t>（2）交叉操作：采用单点交叉策略，随机选取基因位点完成个体基因片段互换，生成新的分配方案个体，拓展算法解空间。</w:t>
      </w:r>
    </w:p>
    <w:p w14:paraId="3E231CBB">
      <w:pPr>
        <w:spacing w:before="120" w:after="120" w:line="288" w:lineRule="auto"/>
        <w:ind w:left="0"/>
        <w:jc w:val="left"/>
      </w:pPr>
      <w:r>
        <w:rPr>
          <w:rFonts w:ascii="Arial" w:hAnsi="Arial" w:eastAsia="等线" w:cs="Arial"/>
          <w:sz w:val="22"/>
        </w:rPr>
        <w:t>（3）变异操作：采用随机扰动变异，以设定变异概率对个体基因进行小幅随机扰动，打破局部最优僵局，提升全局寻优能力。</w:t>
      </w:r>
    </w:p>
    <w:p w14:paraId="015AC812">
      <w:pPr>
        <w:spacing w:before="120" w:after="120" w:line="288" w:lineRule="auto"/>
        <w:ind w:left="0"/>
        <w:jc w:val="left"/>
      </w:pPr>
      <w:r>
        <w:rPr>
          <w:rFonts w:ascii="Arial" w:hAnsi="Arial" w:eastAsia="等线" w:cs="Arial"/>
          <w:sz w:val="22"/>
        </w:rPr>
        <w:t>（4）修复操作：新增约束违反修复机制，对迭代过程中出现的超库存、超需求、超运力的无效个体进行自动修正，确保所有方案满足现实约束条件。</w:t>
      </w:r>
    </w:p>
    <w:p w14:paraId="746CBD8F">
      <w:pPr>
        <w:spacing w:before="320" w:after="120" w:line="288" w:lineRule="auto"/>
        <w:ind w:left="0"/>
        <w:jc w:val="left"/>
        <w:outlineLvl w:val="1"/>
      </w:pPr>
      <w:bookmarkStart w:id="20" w:name="heading_20"/>
      <w:r>
        <w:rPr>
          <w:rFonts w:ascii="Arial" w:hAnsi="Arial" w:eastAsia="等线" w:cs="Arial"/>
          <w:b/>
          <w:sz w:val="32"/>
        </w:rPr>
        <w:t>4.5 参数设置</w:t>
      </w:r>
      <w:bookmarkEnd w:id="20"/>
    </w:p>
    <w:p w14:paraId="6AAAAA47">
      <w:pPr>
        <w:spacing w:before="120" w:after="120" w:line="288" w:lineRule="auto"/>
        <w:ind w:left="0"/>
        <w:jc w:val="left"/>
      </w:pPr>
      <w:r>
        <w:rPr>
          <w:rFonts w:ascii="Arial" w:hAnsi="Arial" w:eastAsia="等线" w:cs="Arial"/>
          <w:sz w:val="22"/>
        </w:rPr>
        <w:t>结合仿真调试结果，确定适配本项目场景的最优算法参数，具体如下：</w:t>
      </w:r>
    </w:p>
    <w:p w14:paraId="10CA12A6">
      <w:pPr>
        <w:spacing w:before="120" w:after="120" w:line="288" w:lineRule="auto"/>
        <w:ind w:left="0"/>
        <w:jc w:val="left"/>
      </w:pPr>
      <w:r>
        <w:rPr>
          <w:rFonts w:ascii="Arial" w:hAnsi="Arial" w:eastAsia="等线" w:cs="Arial"/>
          <w:sz w:val="22"/>
        </w:rPr>
        <w:t>种群大小：100；最大迭代代数：50；变异概率：0.1；精英保留比例：1%</w:t>
      </w:r>
    </w:p>
    <w:p w14:paraId="59F32F88">
      <w:pPr>
        <w:spacing w:before="120" w:after="120" w:line="288" w:lineRule="auto"/>
        <w:ind w:left="0"/>
        <w:jc w:val="left"/>
      </w:pPr>
      <w:r>
        <w:rPr>
          <w:rFonts w:ascii="Arial" w:hAnsi="Arial" w:eastAsia="等线" w:cs="Arial"/>
          <w:sz w:val="22"/>
        </w:rPr>
        <w:t>通过精英保留策略保留每一代最优方案，结合合理的变异与交叉概率，平衡算法收敛速度与全局寻优能力。</w:t>
      </w:r>
    </w:p>
    <w:p w14:paraId="68852119">
      <w:pPr>
        <w:spacing w:before="380" w:after="140" w:line="288" w:lineRule="auto"/>
        <w:ind w:left="0"/>
        <w:jc w:val="left"/>
        <w:outlineLvl w:val="0"/>
      </w:pPr>
      <w:bookmarkStart w:id="21" w:name="heading_21"/>
      <w:r>
        <w:rPr>
          <w:rFonts w:ascii="Arial" w:hAnsi="Arial" w:eastAsia="等线" w:cs="Arial"/>
          <w:b/>
          <w:sz w:val="36"/>
        </w:rPr>
        <w:t>5 优化结果与分析</w:t>
      </w:r>
      <w:bookmarkEnd w:id="21"/>
    </w:p>
    <w:p w14:paraId="2E135267">
      <w:pPr>
        <w:spacing w:before="320" w:after="120" w:line="288" w:lineRule="auto"/>
        <w:ind w:left="0"/>
        <w:jc w:val="left"/>
        <w:outlineLvl w:val="1"/>
      </w:pPr>
      <w:bookmarkStart w:id="22" w:name="heading_22"/>
      <w:r>
        <w:rPr>
          <w:rFonts w:ascii="Arial" w:hAnsi="Arial" w:eastAsia="等线" w:cs="Arial"/>
          <w:b/>
          <w:sz w:val="32"/>
        </w:rPr>
        <w:t>5.1 实验环境</w:t>
      </w:r>
      <w:bookmarkEnd w:id="22"/>
    </w:p>
    <w:p w14:paraId="09077DBE">
      <w:pPr>
        <w:spacing w:before="120" w:after="120" w:line="288" w:lineRule="auto"/>
        <w:ind w:left="0"/>
        <w:jc w:val="left"/>
      </w:pPr>
      <w:r>
        <w:rPr>
          <w:rFonts w:ascii="Arial" w:hAnsi="Arial" w:eastAsia="等线" w:cs="Arial"/>
          <w:sz w:val="22"/>
        </w:rPr>
        <w:t>本次仿真实验软硬件环境标准化、稳定可复现，具体配置如下：</w:t>
      </w:r>
    </w:p>
    <w:p w14:paraId="4F90DBA9">
      <w:pPr>
        <w:spacing w:before="120" w:after="120" w:line="288" w:lineRule="auto"/>
        <w:ind w:left="0"/>
        <w:jc w:val="left"/>
      </w:pPr>
      <w:r>
        <w:rPr>
          <w:rFonts w:ascii="Arial" w:hAnsi="Arial" w:eastAsia="等线" w:cs="Arial"/>
          <w:sz w:val="22"/>
        </w:rPr>
        <w:t>硬件环境：Intel Core i7 处理器，16GB 运行内存；</w:t>
      </w:r>
    </w:p>
    <w:p w14:paraId="3C68AC9D">
      <w:pPr>
        <w:spacing w:before="120" w:after="120" w:line="288" w:lineRule="auto"/>
        <w:ind w:left="0"/>
        <w:jc w:val="left"/>
      </w:pPr>
      <w:r>
        <w:rPr>
          <w:rFonts w:ascii="Arial" w:hAnsi="Arial" w:eastAsia="等线" w:cs="Arial"/>
          <w:sz w:val="22"/>
        </w:rPr>
        <w:t>软件环境：Python 3.8+，搭载NumPy、Matplotlib、Pandas核心运算与可视化库；</w:t>
      </w:r>
    </w:p>
    <w:p w14:paraId="2C3BE44E">
      <w:pPr>
        <w:spacing w:before="120" w:after="120" w:line="288" w:lineRule="auto"/>
        <w:ind w:left="0"/>
        <w:jc w:val="left"/>
      </w:pPr>
      <w:r>
        <w:rPr>
          <w:rFonts w:ascii="Arial" w:hAnsi="Arial" w:eastAsia="等线" w:cs="Arial"/>
          <w:sz w:val="22"/>
        </w:rPr>
        <w:t>实验数据集：基于2021年河南洪灾真实灾情、库存、运力、路况数据构建。</w:t>
      </w:r>
    </w:p>
    <w:p w14:paraId="0EF28FC6">
      <w:pPr>
        <w:spacing w:before="320" w:after="120" w:line="288" w:lineRule="auto"/>
        <w:ind w:left="0"/>
        <w:jc w:val="left"/>
        <w:outlineLvl w:val="1"/>
      </w:pPr>
      <w:bookmarkStart w:id="23" w:name="heading_23"/>
      <w:r>
        <w:rPr>
          <w:rFonts w:ascii="Arial" w:hAnsi="Arial" w:eastAsia="等线" w:cs="Arial"/>
          <w:b/>
          <w:sz w:val="32"/>
        </w:rPr>
        <w:t>5.2 整体指标结果对比</w:t>
      </w:r>
      <w:bookmarkEnd w:id="23"/>
    </w:p>
    <w:p w14:paraId="24769CC3">
      <w:pPr>
        <w:spacing w:before="120" w:after="120" w:line="288" w:lineRule="auto"/>
        <w:ind w:left="0"/>
        <w:jc w:val="left"/>
      </w:pPr>
      <w:r>
        <w:rPr>
          <w:rFonts w:ascii="Arial" w:hAnsi="Arial" w:eastAsia="等线" w:cs="Arial"/>
          <w:sz w:val="22"/>
        </w:rPr>
        <w:t>将传统人工经验分配初始方案与遗传算法优化方案进行多维度指标对比，量化算法优化成效，结果如下表所示：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7CEF4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84990D3">
            <w:pPr>
              <w:spacing w:before="120" w:after="120" w:line="288" w:lineRule="auto"/>
              <w:ind w:left="0"/>
              <w:jc w:val="left"/>
            </w:pPr>
            <w:r>
              <w:rPr>
                <w:rFonts w:ascii="Arial" w:hAnsi="Arial" w:eastAsia="等线" w:cs="Arial"/>
                <w:sz w:val="22"/>
              </w:rPr>
              <w:t>评价指标</w:t>
            </w:r>
          </w:p>
        </w:tc>
        <w:tc>
          <w:tcPr>
            <w:tcW w:w="2070" w:type="dxa"/>
            <w:tcMar>
              <w:top w:w="60" w:type="dxa"/>
              <w:left w:w="120" w:type="dxa"/>
              <w:bottom w:w="30" w:type="dxa"/>
              <w:right w:w="120" w:type="dxa"/>
            </w:tcMar>
          </w:tcPr>
          <w:p w14:paraId="27168751">
            <w:pPr>
              <w:spacing w:before="120" w:after="120" w:line="288" w:lineRule="auto"/>
              <w:ind w:left="0"/>
              <w:jc w:val="left"/>
            </w:pPr>
            <w:r>
              <w:rPr>
                <w:rFonts w:ascii="Arial" w:hAnsi="Arial" w:eastAsia="等线" w:cs="Arial"/>
                <w:sz w:val="22"/>
              </w:rPr>
              <w:t>初始方案</w:t>
            </w:r>
          </w:p>
        </w:tc>
        <w:tc>
          <w:tcPr>
            <w:tcW w:w="2070" w:type="dxa"/>
            <w:tcMar>
              <w:top w:w="60" w:type="dxa"/>
              <w:left w:w="120" w:type="dxa"/>
              <w:bottom w:w="30" w:type="dxa"/>
              <w:right w:w="120" w:type="dxa"/>
            </w:tcMar>
          </w:tcPr>
          <w:p w14:paraId="1EDFA5B4">
            <w:pPr>
              <w:spacing w:before="120" w:after="120" w:line="288" w:lineRule="auto"/>
              <w:ind w:left="0"/>
              <w:jc w:val="left"/>
            </w:pPr>
            <w:r>
              <w:rPr>
                <w:rFonts w:ascii="Arial" w:hAnsi="Arial" w:eastAsia="等线" w:cs="Arial"/>
                <w:sz w:val="22"/>
              </w:rPr>
              <w:t>优化后方案</w:t>
            </w:r>
          </w:p>
        </w:tc>
        <w:tc>
          <w:tcPr>
            <w:tcW w:w="2070" w:type="dxa"/>
            <w:tcMar>
              <w:top w:w="60" w:type="dxa"/>
              <w:left w:w="120" w:type="dxa"/>
              <w:bottom w:w="30" w:type="dxa"/>
              <w:right w:w="120" w:type="dxa"/>
            </w:tcMar>
          </w:tcPr>
          <w:p w14:paraId="2F479951">
            <w:pPr>
              <w:spacing w:before="120" w:after="120" w:line="288" w:lineRule="auto"/>
              <w:ind w:left="0"/>
              <w:jc w:val="left"/>
            </w:pPr>
            <w:r>
              <w:rPr>
                <w:rFonts w:ascii="Arial" w:hAnsi="Arial" w:eastAsia="等线" w:cs="Arial"/>
                <w:sz w:val="22"/>
              </w:rPr>
              <w:t>优化提升幅度</w:t>
            </w:r>
          </w:p>
        </w:tc>
      </w:tr>
      <w:tr w14:paraId="1730AC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768FC39">
            <w:pPr>
              <w:spacing w:before="120" w:after="120" w:line="288" w:lineRule="auto"/>
              <w:ind w:left="0"/>
              <w:jc w:val="left"/>
            </w:pPr>
            <w:r>
              <w:rPr>
                <w:rFonts w:ascii="Arial" w:hAnsi="Arial" w:eastAsia="等线" w:cs="Arial"/>
                <w:sz w:val="22"/>
              </w:rPr>
              <w:t>物资满足率</w:t>
            </w:r>
          </w:p>
        </w:tc>
        <w:tc>
          <w:tcPr>
            <w:tcW w:w="2070" w:type="dxa"/>
            <w:tcMar>
              <w:top w:w="60" w:type="dxa"/>
              <w:left w:w="120" w:type="dxa"/>
              <w:bottom w:w="30" w:type="dxa"/>
              <w:right w:w="120" w:type="dxa"/>
            </w:tcMar>
          </w:tcPr>
          <w:p w14:paraId="27650389">
            <w:pPr>
              <w:spacing w:before="120" w:after="120" w:line="288" w:lineRule="auto"/>
              <w:ind w:left="0"/>
              <w:jc w:val="left"/>
            </w:pPr>
            <w:r>
              <w:rPr>
                <w:rFonts w:ascii="Arial" w:hAnsi="Arial" w:eastAsia="等线" w:cs="Arial"/>
                <w:sz w:val="22"/>
              </w:rPr>
              <w:t>37.05%</w:t>
            </w:r>
          </w:p>
        </w:tc>
        <w:tc>
          <w:tcPr>
            <w:tcW w:w="2070" w:type="dxa"/>
            <w:tcMar>
              <w:top w:w="60" w:type="dxa"/>
              <w:left w:w="120" w:type="dxa"/>
              <w:bottom w:w="30" w:type="dxa"/>
              <w:right w:w="120" w:type="dxa"/>
            </w:tcMar>
          </w:tcPr>
          <w:p w14:paraId="322077D6">
            <w:pPr>
              <w:spacing w:before="120" w:after="120" w:line="288" w:lineRule="auto"/>
              <w:ind w:left="0"/>
              <w:jc w:val="left"/>
            </w:pPr>
            <w:r>
              <w:rPr>
                <w:rFonts w:ascii="Arial" w:hAnsi="Arial" w:eastAsia="等线" w:cs="Arial"/>
                <w:sz w:val="22"/>
              </w:rPr>
              <w:t>85.39%</w:t>
            </w:r>
          </w:p>
        </w:tc>
        <w:tc>
          <w:tcPr>
            <w:tcW w:w="2070" w:type="dxa"/>
            <w:tcMar>
              <w:top w:w="60" w:type="dxa"/>
              <w:left w:w="120" w:type="dxa"/>
              <w:bottom w:w="30" w:type="dxa"/>
              <w:right w:w="120" w:type="dxa"/>
            </w:tcMar>
          </w:tcPr>
          <w:p w14:paraId="20C5BE38">
            <w:pPr>
              <w:spacing w:before="120" w:after="120" w:line="288" w:lineRule="auto"/>
              <w:ind w:left="0"/>
              <w:jc w:val="left"/>
            </w:pPr>
            <w:r>
              <w:rPr>
                <w:rFonts w:ascii="Arial" w:hAnsi="Arial" w:eastAsia="等线" w:cs="Arial"/>
                <w:sz w:val="22"/>
              </w:rPr>
              <w:t>+48.34%</w:t>
            </w:r>
          </w:p>
        </w:tc>
      </w:tr>
      <w:tr w14:paraId="3CD8F3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796D155">
            <w:pPr>
              <w:spacing w:before="120" w:after="120" w:line="288" w:lineRule="auto"/>
              <w:ind w:left="0"/>
              <w:jc w:val="left"/>
            </w:pPr>
            <w:r>
              <w:rPr>
                <w:rFonts w:ascii="Arial" w:hAnsi="Arial" w:eastAsia="等线" w:cs="Arial"/>
                <w:sz w:val="22"/>
              </w:rPr>
              <w:t>公平性指数</w:t>
            </w:r>
          </w:p>
        </w:tc>
        <w:tc>
          <w:tcPr>
            <w:tcW w:w="2070" w:type="dxa"/>
            <w:tcMar>
              <w:top w:w="60" w:type="dxa"/>
              <w:left w:w="120" w:type="dxa"/>
              <w:bottom w:w="30" w:type="dxa"/>
              <w:right w:w="120" w:type="dxa"/>
            </w:tcMar>
          </w:tcPr>
          <w:p w14:paraId="3CDFF2DD">
            <w:pPr>
              <w:spacing w:before="120" w:after="120" w:line="288" w:lineRule="auto"/>
              <w:ind w:left="0"/>
              <w:jc w:val="left"/>
            </w:pPr>
            <w:r>
              <w:rPr>
                <w:rFonts w:ascii="Arial" w:hAnsi="Arial" w:eastAsia="等线" w:cs="Arial"/>
                <w:sz w:val="22"/>
              </w:rPr>
              <w:t>0.9730</w:t>
            </w:r>
          </w:p>
        </w:tc>
        <w:tc>
          <w:tcPr>
            <w:tcW w:w="2070" w:type="dxa"/>
            <w:tcMar>
              <w:top w:w="60" w:type="dxa"/>
              <w:left w:w="120" w:type="dxa"/>
              <w:bottom w:w="30" w:type="dxa"/>
              <w:right w:w="120" w:type="dxa"/>
            </w:tcMar>
          </w:tcPr>
          <w:p w14:paraId="49DF6F45">
            <w:pPr>
              <w:spacing w:before="120" w:after="120" w:line="288" w:lineRule="auto"/>
              <w:ind w:left="0"/>
              <w:jc w:val="left"/>
            </w:pPr>
            <w:r>
              <w:rPr>
                <w:rFonts w:ascii="Arial" w:hAnsi="Arial" w:eastAsia="等线" w:cs="Arial"/>
                <w:sz w:val="22"/>
              </w:rPr>
              <w:t>0.9177</w:t>
            </w:r>
          </w:p>
        </w:tc>
        <w:tc>
          <w:tcPr>
            <w:tcW w:w="2070" w:type="dxa"/>
            <w:tcMar>
              <w:top w:w="60" w:type="dxa"/>
              <w:left w:w="120" w:type="dxa"/>
              <w:bottom w:w="30" w:type="dxa"/>
              <w:right w:w="120" w:type="dxa"/>
            </w:tcMar>
          </w:tcPr>
          <w:p w14:paraId="2271A922">
            <w:pPr>
              <w:spacing w:before="120" w:after="120" w:line="288" w:lineRule="auto"/>
              <w:ind w:left="0"/>
              <w:jc w:val="left"/>
            </w:pPr>
            <w:r>
              <w:rPr>
                <w:rFonts w:ascii="Arial" w:hAnsi="Arial" w:eastAsia="等线" w:cs="Arial"/>
                <w:sz w:val="22"/>
              </w:rPr>
              <w:t>-5.68%</w:t>
            </w:r>
          </w:p>
        </w:tc>
      </w:tr>
      <w:tr w14:paraId="6CF47B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0375BD7">
            <w:pPr>
              <w:spacing w:before="120" w:after="120" w:line="288" w:lineRule="auto"/>
              <w:ind w:left="0"/>
              <w:jc w:val="left"/>
            </w:pPr>
            <w:r>
              <w:rPr>
                <w:rFonts w:ascii="Arial" w:hAnsi="Arial" w:eastAsia="等线" w:cs="Arial"/>
                <w:sz w:val="22"/>
              </w:rPr>
              <w:t>紧急程度得分</w:t>
            </w:r>
          </w:p>
        </w:tc>
        <w:tc>
          <w:tcPr>
            <w:tcW w:w="2070" w:type="dxa"/>
            <w:tcMar>
              <w:top w:w="60" w:type="dxa"/>
              <w:left w:w="120" w:type="dxa"/>
              <w:bottom w:w="30" w:type="dxa"/>
              <w:right w:w="120" w:type="dxa"/>
            </w:tcMar>
          </w:tcPr>
          <w:p w14:paraId="54D60928">
            <w:pPr>
              <w:spacing w:before="120" w:after="120" w:line="288" w:lineRule="auto"/>
              <w:ind w:left="0"/>
              <w:jc w:val="left"/>
            </w:pPr>
            <w:r>
              <w:rPr>
                <w:rFonts w:ascii="Arial" w:hAnsi="Arial" w:eastAsia="等线" w:cs="Arial"/>
                <w:sz w:val="22"/>
              </w:rPr>
              <w:t>0.2992</w:t>
            </w:r>
          </w:p>
        </w:tc>
        <w:tc>
          <w:tcPr>
            <w:tcW w:w="2070" w:type="dxa"/>
            <w:tcMar>
              <w:top w:w="60" w:type="dxa"/>
              <w:left w:w="120" w:type="dxa"/>
              <w:bottom w:w="30" w:type="dxa"/>
              <w:right w:w="120" w:type="dxa"/>
            </w:tcMar>
          </w:tcPr>
          <w:p w14:paraId="7B232AF3">
            <w:pPr>
              <w:spacing w:before="120" w:after="120" w:line="288" w:lineRule="auto"/>
              <w:ind w:left="0"/>
              <w:jc w:val="left"/>
            </w:pPr>
            <w:r>
              <w:rPr>
                <w:rFonts w:ascii="Arial" w:hAnsi="Arial" w:eastAsia="等线" w:cs="Arial"/>
                <w:sz w:val="22"/>
              </w:rPr>
              <w:t>0.6313</w:t>
            </w:r>
          </w:p>
        </w:tc>
        <w:tc>
          <w:tcPr>
            <w:tcW w:w="2070" w:type="dxa"/>
            <w:tcMar>
              <w:top w:w="60" w:type="dxa"/>
              <w:left w:w="120" w:type="dxa"/>
              <w:bottom w:w="30" w:type="dxa"/>
              <w:right w:w="120" w:type="dxa"/>
            </w:tcMar>
          </w:tcPr>
          <w:p w14:paraId="3D850FE0">
            <w:pPr>
              <w:spacing w:before="120" w:after="120" w:line="288" w:lineRule="auto"/>
              <w:ind w:left="0"/>
              <w:jc w:val="left"/>
            </w:pPr>
            <w:r>
              <w:rPr>
                <w:rFonts w:ascii="Arial" w:hAnsi="Arial" w:eastAsia="等线" w:cs="Arial"/>
                <w:sz w:val="22"/>
              </w:rPr>
              <w:t>+111.0%</w:t>
            </w:r>
          </w:p>
        </w:tc>
      </w:tr>
      <w:tr w14:paraId="08D9EF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1E790BA">
            <w:pPr>
              <w:spacing w:before="120" w:after="120" w:line="288" w:lineRule="auto"/>
              <w:ind w:left="0"/>
              <w:jc w:val="left"/>
            </w:pPr>
            <w:r>
              <w:rPr>
                <w:rFonts w:ascii="Arial" w:hAnsi="Arial" w:eastAsia="等线" w:cs="Arial"/>
                <w:sz w:val="22"/>
              </w:rPr>
              <w:t>运输成本</w:t>
            </w:r>
          </w:p>
        </w:tc>
        <w:tc>
          <w:tcPr>
            <w:tcW w:w="2070" w:type="dxa"/>
            <w:tcMar>
              <w:top w:w="60" w:type="dxa"/>
              <w:left w:w="120" w:type="dxa"/>
              <w:bottom w:w="30" w:type="dxa"/>
              <w:right w:w="120" w:type="dxa"/>
            </w:tcMar>
          </w:tcPr>
          <w:p w14:paraId="7881AF09">
            <w:pPr>
              <w:spacing w:before="120" w:after="120" w:line="288" w:lineRule="auto"/>
              <w:ind w:left="0"/>
              <w:jc w:val="left"/>
            </w:pPr>
            <w:r>
              <w:rPr>
                <w:rFonts w:ascii="Arial" w:hAnsi="Arial" w:eastAsia="等线" w:cs="Arial"/>
                <w:sz w:val="22"/>
              </w:rPr>
              <w:t>40686837</w:t>
            </w:r>
          </w:p>
        </w:tc>
        <w:tc>
          <w:tcPr>
            <w:tcW w:w="2070" w:type="dxa"/>
            <w:tcMar>
              <w:top w:w="60" w:type="dxa"/>
              <w:left w:w="120" w:type="dxa"/>
              <w:bottom w:w="30" w:type="dxa"/>
              <w:right w:w="120" w:type="dxa"/>
            </w:tcMar>
          </w:tcPr>
          <w:p w14:paraId="653A441A">
            <w:pPr>
              <w:spacing w:before="120" w:after="120" w:line="288" w:lineRule="auto"/>
              <w:ind w:left="0"/>
              <w:jc w:val="left"/>
            </w:pPr>
            <w:r>
              <w:rPr>
                <w:rFonts w:ascii="Arial" w:hAnsi="Arial" w:eastAsia="等线" w:cs="Arial"/>
                <w:sz w:val="22"/>
              </w:rPr>
              <w:t>36037692</w:t>
            </w:r>
          </w:p>
        </w:tc>
        <w:tc>
          <w:tcPr>
            <w:tcW w:w="2070" w:type="dxa"/>
            <w:tcMar>
              <w:top w:w="60" w:type="dxa"/>
              <w:left w:w="120" w:type="dxa"/>
              <w:bottom w:w="30" w:type="dxa"/>
              <w:right w:w="120" w:type="dxa"/>
            </w:tcMar>
          </w:tcPr>
          <w:p w14:paraId="541817DC">
            <w:pPr>
              <w:spacing w:before="120" w:after="120" w:line="288" w:lineRule="auto"/>
              <w:ind w:left="0"/>
              <w:jc w:val="left"/>
            </w:pPr>
            <w:r>
              <w:rPr>
                <w:rFonts w:ascii="Arial" w:hAnsi="Arial" w:eastAsia="等线" w:cs="Arial"/>
                <w:sz w:val="22"/>
              </w:rPr>
              <w:t>-11.4%</w:t>
            </w:r>
          </w:p>
        </w:tc>
      </w:tr>
    </w:tbl>
    <w:p w14:paraId="1E2005AC">
      <w:pPr>
        <w:spacing w:before="120" w:after="120" w:line="288" w:lineRule="auto"/>
        <w:ind w:left="0"/>
        <w:jc w:val="left"/>
      </w:pPr>
      <w:r>
        <w:rPr>
          <w:rFonts w:ascii="Arial" w:hAnsi="Arial" w:eastAsia="等线" w:cs="Arial"/>
          <w:sz w:val="22"/>
        </w:rPr>
        <w:t>实验结果表明：遗传算法优化后物资整体保障能力大幅提升，高紧急灾情保障效果翻倍，运输成本显著降低；公平性小幅微调，是算法优先保障重灾区紧急需求的合理结果，整体优化效果优异。</w:t>
      </w:r>
    </w:p>
    <w:p w14:paraId="735A99DC">
      <w:pPr>
        <w:spacing w:before="320" w:after="120" w:line="288" w:lineRule="auto"/>
        <w:ind w:left="0"/>
        <w:jc w:val="left"/>
        <w:outlineLvl w:val="1"/>
      </w:pPr>
      <w:bookmarkStart w:id="24" w:name="heading_24"/>
      <w:r>
        <w:rPr>
          <w:rFonts w:ascii="Arial" w:hAnsi="Arial" w:eastAsia="等线" w:cs="Arial"/>
          <w:b/>
          <w:sz w:val="32"/>
        </w:rPr>
        <w:t>5.3 各受灾点物资满足率分析</w:t>
      </w:r>
      <w:bookmarkEnd w:id="24"/>
    </w:p>
    <w:p w14:paraId="5F3564CC">
      <w:pPr>
        <w:spacing w:before="120" w:after="120" w:line="288" w:lineRule="auto"/>
        <w:ind w:left="0"/>
        <w:jc w:val="left"/>
      </w:pPr>
      <w:r>
        <w:rPr>
          <w:rFonts w:ascii="Arial" w:hAnsi="Arial" w:eastAsia="等线" w:cs="Arial"/>
          <w:sz w:val="22"/>
        </w:rPr>
        <w:t>针对郑州、巩义、新密、新郑、荥阳、登封六大核心受灾点，对比优化前后物资满足率，并结合紧急系数分析调度优先级，具体数据如下：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1F652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F4A329A">
            <w:pPr>
              <w:spacing w:before="120" w:after="120" w:line="288" w:lineRule="auto"/>
              <w:ind w:left="0"/>
              <w:jc w:val="left"/>
            </w:pPr>
            <w:r>
              <w:rPr>
                <w:rFonts w:ascii="Arial" w:hAnsi="Arial" w:eastAsia="等线" w:cs="Arial"/>
                <w:sz w:val="22"/>
              </w:rPr>
              <w:t>受灾点</w:t>
            </w:r>
          </w:p>
        </w:tc>
        <w:tc>
          <w:tcPr>
            <w:tcW w:w="2070" w:type="dxa"/>
            <w:tcMar>
              <w:top w:w="60" w:type="dxa"/>
              <w:left w:w="120" w:type="dxa"/>
              <w:bottom w:w="30" w:type="dxa"/>
              <w:right w:w="120" w:type="dxa"/>
            </w:tcMar>
          </w:tcPr>
          <w:p w14:paraId="10719295">
            <w:pPr>
              <w:spacing w:before="120" w:after="120" w:line="288" w:lineRule="auto"/>
              <w:ind w:left="0"/>
              <w:jc w:val="left"/>
            </w:pPr>
            <w:r>
              <w:rPr>
                <w:rFonts w:ascii="Arial" w:hAnsi="Arial" w:eastAsia="等线" w:cs="Arial"/>
                <w:sz w:val="22"/>
              </w:rPr>
              <w:t>优化前满足率</w:t>
            </w:r>
          </w:p>
        </w:tc>
        <w:tc>
          <w:tcPr>
            <w:tcW w:w="2070" w:type="dxa"/>
            <w:tcMar>
              <w:top w:w="60" w:type="dxa"/>
              <w:left w:w="120" w:type="dxa"/>
              <w:bottom w:w="30" w:type="dxa"/>
              <w:right w:w="120" w:type="dxa"/>
            </w:tcMar>
          </w:tcPr>
          <w:p w14:paraId="417AE2AA">
            <w:pPr>
              <w:spacing w:before="120" w:after="120" w:line="288" w:lineRule="auto"/>
              <w:ind w:left="0"/>
              <w:jc w:val="left"/>
            </w:pPr>
            <w:r>
              <w:rPr>
                <w:rFonts w:ascii="Arial" w:hAnsi="Arial" w:eastAsia="等线" w:cs="Arial"/>
                <w:sz w:val="22"/>
              </w:rPr>
              <w:t>优化后满足率</w:t>
            </w:r>
          </w:p>
        </w:tc>
        <w:tc>
          <w:tcPr>
            <w:tcW w:w="2070" w:type="dxa"/>
            <w:tcMar>
              <w:top w:w="60" w:type="dxa"/>
              <w:left w:w="120" w:type="dxa"/>
              <w:bottom w:w="30" w:type="dxa"/>
              <w:right w:w="120" w:type="dxa"/>
            </w:tcMar>
          </w:tcPr>
          <w:p w14:paraId="261D0624">
            <w:pPr>
              <w:spacing w:before="120" w:after="120" w:line="288" w:lineRule="auto"/>
              <w:ind w:left="0"/>
              <w:jc w:val="left"/>
            </w:pPr>
            <w:r>
              <w:rPr>
                <w:rFonts w:ascii="Arial" w:hAnsi="Arial" w:eastAsia="等线" w:cs="Arial"/>
                <w:sz w:val="22"/>
              </w:rPr>
              <w:t>紧急系数</w:t>
            </w:r>
          </w:p>
        </w:tc>
      </w:tr>
      <w:tr w14:paraId="52D8D3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126CD2A">
            <w:pPr>
              <w:spacing w:before="120" w:after="120" w:line="288" w:lineRule="auto"/>
              <w:ind w:left="0"/>
              <w:jc w:val="left"/>
            </w:pPr>
            <w:r>
              <w:rPr>
                <w:rFonts w:ascii="Arial" w:hAnsi="Arial" w:eastAsia="等线" w:cs="Arial"/>
                <w:sz w:val="22"/>
              </w:rPr>
              <w:t>郑州</w:t>
            </w:r>
          </w:p>
        </w:tc>
        <w:tc>
          <w:tcPr>
            <w:tcW w:w="2070" w:type="dxa"/>
            <w:tcMar>
              <w:top w:w="60" w:type="dxa"/>
              <w:left w:w="120" w:type="dxa"/>
              <w:bottom w:w="30" w:type="dxa"/>
              <w:right w:w="120" w:type="dxa"/>
            </w:tcMar>
          </w:tcPr>
          <w:p w14:paraId="24431BD7">
            <w:pPr>
              <w:spacing w:before="120" w:after="120" w:line="288" w:lineRule="auto"/>
              <w:ind w:left="0"/>
              <w:jc w:val="left"/>
            </w:pPr>
            <w:r>
              <w:rPr>
                <w:rFonts w:ascii="Arial" w:hAnsi="Arial" w:eastAsia="等线" w:cs="Arial"/>
                <w:sz w:val="22"/>
              </w:rPr>
              <w:t>17.77%</w:t>
            </w:r>
          </w:p>
        </w:tc>
        <w:tc>
          <w:tcPr>
            <w:tcW w:w="2070" w:type="dxa"/>
            <w:tcMar>
              <w:top w:w="60" w:type="dxa"/>
              <w:left w:w="120" w:type="dxa"/>
              <w:bottom w:w="30" w:type="dxa"/>
              <w:right w:w="120" w:type="dxa"/>
            </w:tcMar>
          </w:tcPr>
          <w:p w14:paraId="39E5C182">
            <w:pPr>
              <w:spacing w:before="120" w:after="120" w:line="288" w:lineRule="auto"/>
              <w:ind w:left="0"/>
              <w:jc w:val="left"/>
            </w:pPr>
            <w:r>
              <w:rPr>
                <w:rFonts w:ascii="Arial" w:hAnsi="Arial" w:eastAsia="等线" w:cs="Arial"/>
                <w:sz w:val="22"/>
              </w:rPr>
              <w:t>85.39%</w:t>
            </w:r>
          </w:p>
        </w:tc>
        <w:tc>
          <w:tcPr>
            <w:tcW w:w="2070" w:type="dxa"/>
            <w:tcMar>
              <w:top w:w="60" w:type="dxa"/>
              <w:left w:w="120" w:type="dxa"/>
              <w:bottom w:w="30" w:type="dxa"/>
              <w:right w:w="120" w:type="dxa"/>
            </w:tcMar>
          </w:tcPr>
          <w:p w14:paraId="1E2BC7D3">
            <w:pPr>
              <w:spacing w:before="120" w:after="120" w:line="288" w:lineRule="auto"/>
              <w:ind w:left="0"/>
              <w:jc w:val="left"/>
            </w:pPr>
            <w:r>
              <w:rPr>
                <w:rFonts w:ascii="Arial" w:hAnsi="Arial" w:eastAsia="等线" w:cs="Arial"/>
                <w:sz w:val="22"/>
              </w:rPr>
              <w:t>21.6</w:t>
            </w:r>
          </w:p>
        </w:tc>
      </w:tr>
      <w:tr w14:paraId="1D3E09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FA59673">
            <w:pPr>
              <w:spacing w:before="120" w:after="120" w:line="288" w:lineRule="auto"/>
              <w:ind w:left="0"/>
              <w:jc w:val="left"/>
            </w:pPr>
            <w:r>
              <w:rPr>
                <w:rFonts w:ascii="Arial" w:hAnsi="Arial" w:eastAsia="等线" w:cs="Arial"/>
                <w:sz w:val="22"/>
              </w:rPr>
              <w:t>巩义</w:t>
            </w:r>
          </w:p>
        </w:tc>
        <w:tc>
          <w:tcPr>
            <w:tcW w:w="2070" w:type="dxa"/>
            <w:tcMar>
              <w:top w:w="60" w:type="dxa"/>
              <w:left w:w="120" w:type="dxa"/>
              <w:bottom w:w="30" w:type="dxa"/>
              <w:right w:w="120" w:type="dxa"/>
            </w:tcMar>
          </w:tcPr>
          <w:p w14:paraId="705D3113">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487F9E62">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6E80559D">
            <w:pPr>
              <w:spacing w:before="120" w:after="120" w:line="288" w:lineRule="auto"/>
              <w:ind w:left="0"/>
              <w:jc w:val="left"/>
            </w:pPr>
            <w:r>
              <w:rPr>
                <w:rFonts w:ascii="Arial" w:hAnsi="Arial" w:eastAsia="等线" w:cs="Arial"/>
                <w:sz w:val="22"/>
              </w:rPr>
              <w:t>2.02</w:t>
            </w:r>
          </w:p>
        </w:tc>
      </w:tr>
      <w:tr w14:paraId="653757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D423DCA">
            <w:pPr>
              <w:spacing w:before="120" w:after="120" w:line="288" w:lineRule="auto"/>
              <w:ind w:left="0"/>
              <w:jc w:val="left"/>
            </w:pPr>
            <w:r>
              <w:rPr>
                <w:rFonts w:ascii="Arial" w:hAnsi="Arial" w:eastAsia="等线" w:cs="Arial"/>
                <w:sz w:val="22"/>
              </w:rPr>
              <w:t>新密</w:t>
            </w:r>
          </w:p>
        </w:tc>
        <w:tc>
          <w:tcPr>
            <w:tcW w:w="2070" w:type="dxa"/>
            <w:tcMar>
              <w:top w:w="60" w:type="dxa"/>
              <w:left w:w="120" w:type="dxa"/>
              <w:bottom w:w="30" w:type="dxa"/>
              <w:right w:w="120" w:type="dxa"/>
            </w:tcMar>
          </w:tcPr>
          <w:p w14:paraId="11927E1B">
            <w:pPr>
              <w:spacing w:before="120" w:after="120" w:line="288" w:lineRule="auto"/>
              <w:ind w:left="0"/>
              <w:jc w:val="left"/>
            </w:pPr>
            <w:r>
              <w:rPr>
                <w:rFonts w:ascii="Arial" w:hAnsi="Arial" w:eastAsia="等线" w:cs="Arial"/>
                <w:sz w:val="22"/>
              </w:rPr>
              <w:t>95.83%</w:t>
            </w:r>
          </w:p>
        </w:tc>
        <w:tc>
          <w:tcPr>
            <w:tcW w:w="2070" w:type="dxa"/>
            <w:tcMar>
              <w:top w:w="60" w:type="dxa"/>
              <w:left w:w="120" w:type="dxa"/>
              <w:bottom w:w="30" w:type="dxa"/>
              <w:right w:w="120" w:type="dxa"/>
            </w:tcMar>
          </w:tcPr>
          <w:p w14:paraId="56DCAFA7">
            <w:pPr>
              <w:spacing w:before="120" w:after="120" w:line="288" w:lineRule="auto"/>
              <w:ind w:left="0"/>
              <w:jc w:val="left"/>
            </w:pPr>
            <w:r>
              <w:rPr>
                <w:rFonts w:ascii="Arial" w:hAnsi="Arial" w:eastAsia="等线" w:cs="Arial"/>
                <w:sz w:val="22"/>
              </w:rPr>
              <w:t>95.83%</w:t>
            </w:r>
          </w:p>
        </w:tc>
        <w:tc>
          <w:tcPr>
            <w:tcW w:w="2070" w:type="dxa"/>
            <w:tcMar>
              <w:top w:w="60" w:type="dxa"/>
              <w:left w:w="120" w:type="dxa"/>
              <w:bottom w:w="30" w:type="dxa"/>
              <w:right w:w="120" w:type="dxa"/>
            </w:tcMar>
          </w:tcPr>
          <w:p w14:paraId="72FDBFF4">
            <w:pPr>
              <w:spacing w:before="120" w:after="120" w:line="288" w:lineRule="auto"/>
              <w:ind w:left="0"/>
              <w:jc w:val="left"/>
            </w:pPr>
            <w:r>
              <w:rPr>
                <w:rFonts w:ascii="Arial" w:hAnsi="Arial" w:eastAsia="等线" w:cs="Arial"/>
                <w:sz w:val="22"/>
              </w:rPr>
              <w:t>3.36</w:t>
            </w:r>
          </w:p>
        </w:tc>
      </w:tr>
      <w:tr w14:paraId="733041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E1F17FB">
            <w:pPr>
              <w:spacing w:before="120" w:after="120" w:line="288" w:lineRule="auto"/>
              <w:ind w:left="0"/>
              <w:jc w:val="left"/>
            </w:pPr>
            <w:r>
              <w:rPr>
                <w:rFonts w:ascii="Arial" w:hAnsi="Arial" w:eastAsia="等线" w:cs="Arial"/>
                <w:sz w:val="22"/>
              </w:rPr>
              <w:t>新郑</w:t>
            </w:r>
          </w:p>
        </w:tc>
        <w:tc>
          <w:tcPr>
            <w:tcW w:w="2070" w:type="dxa"/>
            <w:tcMar>
              <w:top w:w="60" w:type="dxa"/>
              <w:left w:w="120" w:type="dxa"/>
              <w:bottom w:w="30" w:type="dxa"/>
              <w:right w:w="120" w:type="dxa"/>
            </w:tcMar>
          </w:tcPr>
          <w:p w14:paraId="7C35B262">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0998227B">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378B33B3">
            <w:pPr>
              <w:spacing w:before="120" w:after="120" w:line="288" w:lineRule="auto"/>
              <w:ind w:left="0"/>
              <w:jc w:val="left"/>
            </w:pPr>
            <w:r>
              <w:rPr>
                <w:rFonts w:ascii="Arial" w:hAnsi="Arial" w:eastAsia="等线" w:cs="Arial"/>
                <w:sz w:val="22"/>
              </w:rPr>
              <w:t>1.0</w:t>
            </w:r>
          </w:p>
        </w:tc>
      </w:tr>
      <w:tr w14:paraId="504318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11034B7">
            <w:pPr>
              <w:spacing w:before="120" w:after="120" w:line="288" w:lineRule="auto"/>
              <w:ind w:left="0"/>
              <w:jc w:val="left"/>
            </w:pPr>
            <w:r>
              <w:rPr>
                <w:rFonts w:ascii="Arial" w:hAnsi="Arial" w:eastAsia="等线" w:cs="Arial"/>
                <w:sz w:val="22"/>
              </w:rPr>
              <w:t>荥阳</w:t>
            </w:r>
          </w:p>
        </w:tc>
        <w:tc>
          <w:tcPr>
            <w:tcW w:w="2070" w:type="dxa"/>
            <w:tcMar>
              <w:top w:w="60" w:type="dxa"/>
              <w:left w:w="120" w:type="dxa"/>
              <w:bottom w:w="30" w:type="dxa"/>
              <w:right w:w="120" w:type="dxa"/>
            </w:tcMar>
          </w:tcPr>
          <w:p w14:paraId="0165503E">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7989229A">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7C2E0B49">
            <w:pPr>
              <w:spacing w:before="120" w:after="120" w:line="288" w:lineRule="auto"/>
              <w:ind w:left="0"/>
              <w:jc w:val="left"/>
            </w:pPr>
            <w:r>
              <w:rPr>
                <w:rFonts w:ascii="Arial" w:hAnsi="Arial" w:eastAsia="等线" w:cs="Arial"/>
                <w:sz w:val="22"/>
              </w:rPr>
              <w:t>2.86</w:t>
            </w:r>
          </w:p>
        </w:tc>
      </w:tr>
      <w:tr w14:paraId="67E10E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8D201AE">
            <w:pPr>
              <w:spacing w:before="120" w:after="120" w:line="288" w:lineRule="auto"/>
              <w:ind w:left="0"/>
              <w:jc w:val="left"/>
            </w:pPr>
            <w:r>
              <w:rPr>
                <w:rFonts w:ascii="Arial" w:hAnsi="Arial" w:eastAsia="等线" w:cs="Arial"/>
                <w:sz w:val="22"/>
              </w:rPr>
              <w:t>登封</w:t>
            </w:r>
          </w:p>
        </w:tc>
        <w:tc>
          <w:tcPr>
            <w:tcW w:w="2070" w:type="dxa"/>
            <w:tcMar>
              <w:top w:w="60" w:type="dxa"/>
              <w:left w:w="120" w:type="dxa"/>
              <w:bottom w:w="30" w:type="dxa"/>
              <w:right w:w="120" w:type="dxa"/>
            </w:tcMar>
          </w:tcPr>
          <w:p w14:paraId="46E66A1D">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1754CCEA">
            <w:pPr>
              <w:spacing w:before="120" w:after="120" w:line="288" w:lineRule="auto"/>
              <w:ind w:left="0"/>
              <w:jc w:val="left"/>
            </w:pPr>
            <w:r>
              <w:rPr>
                <w:rFonts w:ascii="Arial" w:hAnsi="Arial" w:eastAsia="等线" w:cs="Arial"/>
                <w:sz w:val="22"/>
              </w:rPr>
              <w:t>100%</w:t>
            </w:r>
          </w:p>
        </w:tc>
        <w:tc>
          <w:tcPr>
            <w:tcW w:w="2070" w:type="dxa"/>
            <w:tcMar>
              <w:top w:w="60" w:type="dxa"/>
              <w:left w:w="120" w:type="dxa"/>
              <w:bottom w:w="30" w:type="dxa"/>
              <w:right w:w="120" w:type="dxa"/>
            </w:tcMar>
          </w:tcPr>
          <w:p w14:paraId="762D3FD6">
            <w:pPr>
              <w:spacing w:before="120" w:after="120" w:line="288" w:lineRule="auto"/>
              <w:ind w:left="0"/>
              <w:jc w:val="left"/>
            </w:pPr>
            <w:r>
              <w:rPr>
                <w:rFonts w:ascii="Arial" w:hAnsi="Arial" w:eastAsia="等线" w:cs="Arial"/>
                <w:sz w:val="22"/>
              </w:rPr>
              <w:t>1.28</w:t>
            </w:r>
          </w:p>
        </w:tc>
      </w:tr>
    </w:tbl>
    <w:p w14:paraId="5874D658">
      <w:pPr>
        <w:spacing w:before="120" w:after="120" w:line="288" w:lineRule="auto"/>
        <w:ind w:left="0"/>
        <w:jc w:val="left"/>
      </w:pPr>
      <w:r>
        <w:rPr>
          <w:rFonts w:ascii="Arial" w:hAnsi="Arial" w:eastAsia="等线" w:cs="Arial"/>
          <w:sz w:val="22"/>
        </w:rPr>
        <w:t>由数据可知：传统人工分配存在严重的优先级错位问题，紧急系数最高的郑州受灾点物资满足率极低；经算法优化后，郑州重灾区物资保障水平大幅提升，低紧急度区域维持满配状态，完全贴合“重灾优先、精准保障”的救灾原则。</w:t>
      </w:r>
    </w:p>
    <w:p w14:paraId="7DADC856">
      <w:pPr>
        <w:spacing w:before="320" w:after="120" w:line="288" w:lineRule="auto"/>
        <w:ind w:left="0"/>
        <w:jc w:val="left"/>
        <w:outlineLvl w:val="1"/>
      </w:pPr>
      <w:bookmarkStart w:id="25" w:name="heading_25"/>
      <w:r>
        <w:rPr>
          <w:rFonts w:ascii="Arial" w:hAnsi="Arial" w:eastAsia="等线" w:cs="Arial"/>
          <w:b/>
          <w:sz w:val="32"/>
        </w:rPr>
        <w:t>5.4 收敛曲线分析</w:t>
      </w:r>
      <w:bookmarkEnd w:id="25"/>
    </w:p>
    <w:p w14:paraId="2D4EB856">
      <w:pPr>
        <w:spacing w:before="120" w:after="120" w:line="288" w:lineRule="auto"/>
        <w:ind w:left="0"/>
        <w:jc w:val="left"/>
      </w:pPr>
      <w:r>
        <w:rPr>
          <w:rFonts w:ascii="Arial" w:hAnsi="Arial" w:eastAsia="等线" w:cs="Arial"/>
          <w:sz w:val="22"/>
        </w:rPr>
        <w:t>算法迭代收敛曲线整体表现稳定、收敛效果优异：算法迭代至20代左右快速完成收敛，迭代前期适应度快速攀升，方案持续优化；迭代后期曲线趋于平稳，无明显震荡、无早熟收敛、无局部最优问题，最终整体适应度稳定在0.85左右。结果证明，本次设计的遗传算法能够在有限迭代次数内高效寻优，成功求解出多约束多目标下的最优物资分配方案，算法有效性与稳定性得到验证。</w:t>
      </w:r>
    </w:p>
    <w:p w14:paraId="1482D99F">
      <w:pPr>
        <w:spacing w:before="380" w:after="140" w:line="288" w:lineRule="auto"/>
        <w:ind w:left="0"/>
        <w:jc w:val="left"/>
        <w:outlineLvl w:val="0"/>
      </w:pPr>
      <w:bookmarkStart w:id="26" w:name="heading_26"/>
      <w:r>
        <w:rPr>
          <w:rFonts w:ascii="Arial" w:hAnsi="Arial" w:eastAsia="等线" w:cs="Arial"/>
          <w:b/>
          <w:sz w:val="36"/>
        </w:rPr>
        <w:t>6 应急管理建议</w:t>
      </w:r>
      <w:bookmarkEnd w:id="26"/>
    </w:p>
    <w:p w14:paraId="7A3084DA">
      <w:pPr>
        <w:spacing w:before="320" w:after="120" w:line="288" w:lineRule="auto"/>
        <w:ind w:left="0"/>
        <w:jc w:val="left"/>
        <w:outlineLvl w:val="1"/>
      </w:pPr>
      <w:bookmarkStart w:id="27" w:name="heading_27"/>
      <w:r>
        <w:rPr>
          <w:rFonts w:ascii="Arial" w:hAnsi="Arial" w:eastAsia="等线" w:cs="Arial"/>
          <w:b/>
          <w:sz w:val="32"/>
        </w:rPr>
        <w:t>6.1 决策建议</w:t>
      </w:r>
      <w:bookmarkEnd w:id="27"/>
    </w:p>
    <w:p w14:paraId="34BB6E73">
      <w:pPr>
        <w:spacing w:before="120" w:after="120" w:line="288" w:lineRule="auto"/>
        <w:ind w:left="0"/>
        <w:jc w:val="left"/>
      </w:pPr>
      <w:r>
        <w:rPr>
          <w:rFonts w:ascii="Arial" w:hAnsi="Arial" w:eastAsia="等线" w:cs="Arial"/>
          <w:sz w:val="22"/>
        </w:rPr>
        <w:t>（1）落实紧急优先级保障机制：在洪涝灾害应急调度中，优先保障郑州等高紧急系数、重灾核心区域的物资供给，扭转传统人工分配轻重倒置的问题，最大化降低灾害损失。</w:t>
      </w:r>
    </w:p>
    <w:p w14:paraId="464C6F0A">
      <w:pPr>
        <w:spacing w:before="120" w:after="120" w:line="288" w:lineRule="auto"/>
        <w:ind w:left="0"/>
        <w:jc w:val="left"/>
      </w:pPr>
      <w:r>
        <w:rPr>
          <w:rFonts w:ascii="Arial" w:hAnsi="Arial" w:eastAsia="等线" w:cs="Arial"/>
          <w:sz w:val="22"/>
        </w:rPr>
        <w:t>（2）精细化调配仓库与运力资源：结合各仓库库存上限、车辆运力、道路通行条件，智能匹配配送路线与物资调配量，优化运输路径，降低运输成本与通行风险。</w:t>
      </w:r>
    </w:p>
    <w:p w14:paraId="79219517">
      <w:pPr>
        <w:spacing w:before="120" w:after="120" w:line="288" w:lineRule="auto"/>
        <w:ind w:left="0"/>
        <w:jc w:val="left"/>
      </w:pPr>
      <w:r>
        <w:rPr>
          <w:rFonts w:ascii="Arial" w:hAnsi="Arial" w:eastAsia="等线" w:cs="Arial"/>
          <w:sz w:val="22"/>
        </w:rPr>
        <w:t>（3）建立动态物资监测调配机制：实时监测各受灾点物资消耗、库存余量、路况变化，实现物资分配的动态调整，保障救援全程物资供需平衡。</w:t>
      </w:r>
    </w:p>
    <w:p w14:paraId="14E48F65">
      <w:pPr>
        <w:spacing w:before="320" w:after="120" w:line="288" w:lineRule="auto"/>
        <w:ind w:left="0"/>
        <w:jc w:val="left"/>
        <w:outlineLvl w:val="1"/>
      </w:pPr>
      <w:bookmarkStart w:id="28" w:name="heading_28"/>
      <w:r>
        <w:rPr>
          <w:rFonts w:ascii="Arial" w:hAnsi="Arial" w:eastAsia="等线" w:cs="Arial"/>
          <w:b/>
          <w:sz w:val="32"/>
        </w:rPr>
        <w:t>6.2 改进方向</w:t>
      </w:r>
      <w:bookmarkEnd w:id="28"/>
    </w:p>
    <w:p w14:paraId="0C197DFA">
      <w:pPr>
        <w:spacing w:before="120" w:after="120" w:line="288" w:lineRule="auto"/>
        <w:ind w:left="0"/>
        <w:jc w:val="left"/>
      </w:pPr>
      <w:r>
        <w:rPr>
          <w:rFonts w:ascii="Arial" w:hAnsi="Arial" w:eastAsia="等线" w:cs="Arial"/>
          <w:sz w:val="22"/>
        </w:rPr>
        <w:t>（1）接入实时路况数据：后续研究可接入高德、百度实时路况API，动态更新道路系数，进一步提升模型场景贴合度。</w:t>
      </w:r>
    </w:p>
    <w:p w14:paraId="4C21FFD7">
      <w:pPr>
        <w:spacing w:before="120" w:after="120" w:line="288" w:lineRule="auto"/>
        <w:ind w:left="0"/>
        <w:jc w:val="left"/>
      </w:pPr>
      <w:r>
        <w:rPr>
          <w:rFonts w:ascii="Arial" w:hAnsi="Arial" w:eastAsia="等线" w:cs="Arial"/>
          <w:sz w:val="22"/>
        </w:rPr>
        <w:t>（2）构建多时段动态分配模型：本次模型为静态单时刻分配，可拓展为多时段动态分配，适配灾害持续救援、物资动态消耗的场景。</w:t>
      </w:r>
    </w:p>
    <w:p w14:paraId="4FEB99AD">
      <w:pPr>
        <w:spacing w:before="120" w:after="120" w:line="288" w:lineRule="auto"/>
        <w:ind w:left="0"/>
        <w:jc w:val="left"/>
      </w:pPr>
      <w:r>
        <w:rPr>
          <w:rFonts w:ascii="Arial" w:hAnsi="Arial" w:eastAsia="等线" w:cs="Arial"/>
          <w:sz w:val="22"/>
        </w:rPr>
        <w:t>（3）丰富评价指标体系：新增环境影响、物资损耗、人员调配成本等评价维度，完善多目标优化体系，让决策更全面。</w:t>
      </w:r>
    </w:p>
    <w:p w14:paraId="323BCC4F">
      <w:pPr>
        <w:spacing w:before="320" w:after="120" w:line="288" w:lineRule="auto"/>
        <w:ind w:left="0"/>
        <w:jc w:val="left"/>
        <w:outlineLvl w:val="1"/>
      </w:pPr>
      <w:bookmarkStart w:id="29" w:name="heading_29"/>
      <w:r>
        <w:rPr>
          <w:rFonts w:ascii="Arial" w:hAnsi="Arial" w:eastAsia="等线" w:cs="Arial"/>
          <w:b/>
          <w:sz w:val="32"/>
        </w:rPr>
        <w:t>6.3 政策建议</w:t>
      </w:r>
      <w:bookmarkEnd w:id="29"/>
    </w:p>
    <w:p w14:paraId="2C2323C0">
      <w:pPr>
        <w:spacing w:before="120" w:after="120" w:line="288" w:lineRule="auto"/>
        <w:ind w:left="0"/>
        <w:jc w:val="left"/>
      </w:pPr>
      <w:r>
        <w:rPr>
          <w:rFonts w:ascii="Arial" w:hAnsi="Arial" w:eastAsia="等线" w:cs="Arial"/>
          <w:sz w:val="22"/>
        </w:rPr>
        <w:t>（1）完善应急物资储备体系：优化区域应急仓库布局与库存储备结构，针对性提升核心城市、高风险区域的救灾物资储备规模，提升极端灾害抵御能力。</w:t>
      </w:r>
    </w:p>
    <w:p w14:paraId="2021E510">
      <w:pPr>
        <w:spacing w:before="120" w:after="120" w:line="288" w:lineRule="auto"/>
        <w:ind w:left="0"/>
        <w:jc w:val="left"/>
      </w:pPr>
      <w:r>
        <w:rPr>
          <w:rFonts w:ascii="Arial" w:hAnsi="Arial" w:eastAsia="等线" w:cs="Arial"/>
          <w:sz w:val="22"/>
        </w:rPr>
        <w:t>（2）健全跨区域物资调配机制：建立省市、跨区域应急物资驰援与运力联动机制，打破区域调度壁垒，提升物资流转效率。</w:t>
      </w:r>
    </w:p>
    <w:p w14:paraId="106FABD8">
      <w:pPr>
        <w:spacing w:before="120" w:after="120" w:line="288" w:lineRule="auto"/>
        <w:ind w:left="0"/>
        <w:jc w:val="left"/>
      </w:pPr>
      <w:r>
        <w:rPr>
          <w:rFonts w:ascii="Arial" w:hAnsi="Arial" w:eastAsia="等线" w:cs="Arial"/>
          <w:sz w:val="22"/>
        </w:rPr>
        <w:t>（3）升级灾害预警与响应系统：依托大数据、智能算法搭建一体化应急调度平台，实现灾情预警、物资测算、智能分配、运力调度的全流程智能化。</w:t>
      </w:r>
    </w:p>
    <w:p w14:paraId="77BADD3A">
      <w:pPr>
        <w:spacing w:before="380" w:after="140" w:line="288" w:lineRule="auto"/>
        <w:ind w:left="0"/>
        <w:jc w:val="left"/>
        <w:outlineLvl w:val="0"/>
      </w:pPr>
      <w:bookmarkStart w:id="30" w:name="heading_30"/>
      <w:r>
        <w:rPr>
          <w:rFonts w:ascii="Arial" w:hAnsi="Arial" w:eastAsia="等线" w:cs="Arial"/>
          <w:b/>
          <w:sz w:val="36"/>
        </w:rPr>
        <w:t>7 参考文献</w:t>
      </w:r>
      <w:bookmarkEnd w:id="30"/>
    </w:p>
    <w:p w14:paraId="460B8365">
      <w:pPr>
        <w:spacing w:before="120" w:after="120" w:line="288" w:lineRule="auto"/>
        <w:ind w:left="0"/>
        <w:jc w:val="left"/>
      </w:pPr>
      <w:r>
        <w:rPr>
          <w:rFonts w:ascii="Arial" w:hAnsi="Arial" w:eastAsia="等线" w:cs="Arial"/>
          <w:sz w:val="22"/>
        </w:rPr>
        <w:t>[1] 河南省应急管理厅. (2021). 2021年河南省洪涝灾害灾情统计公报[R].</w:t>
      </w:r>
    </w:p>
    <w:p w14:paraId="20BA5A1F">
      <w:pPr>
        <w:spacing w:before="120" w:after="120" w:line="288" w:lineRule="auto"/>
        <w:ind w:left="0"/>
        <w:jc w:val="left"/>
      </w:pPr>
      <w:r>
        <w:rPr>
          <w:rFonts w:ascii="Arial" w:hAnsi="Arial" w:eastAsia="等线" w:cs="Arial"/>
          <w:sz w:val="22"/>
        </w:rPr>
        <w:t>[2] Zhang L, Wang J, Li Y, et al. (2024). Emergency Material Allocation Optimization Based on Genetic Algorithm: A Case Study of the 2021 Henan Extreme Rainstorm Disaster[J]. PLoS ONE, 19(3), e0298765.</w:t>
      </w:r>
    </w:p>
    <w:p w14:paraId="25AC8D46">
      <w:pPr>
        <w:spacing w:before="120" w:after="120" w:line="288" w:lineRule="auto"/>
        <w:ind w:left="0"/>
        <w:jc w:val="left"/>
      </w:pPr>
      <w:r>
        <w:rPr>
          <w:rFonts w:ascii="Arial" w:hAnsi="Arial" w:eastAsia="等线" w:cs="Arial"/>
          <w:sz w:val="22"/>
        </w:rPr>
        <w:t>[3] Goldberg D E. (1989). Genetic Algorithms in Search, Optimization, and Machine Learning[M]. Addison-Wesley.</w:t>
      </w:r>
    </w:p>
    <w:p w14:paraId="30B9047D">
      <w:pPr>
        <w:spacing w:before="120" w:after="120" w:line="288" w:lineRule="auto"/>
        <w:ind w:left="0"/>
        <w:jc w:val="left"/>
      </w:pPr>
      <w:r>
        <w:rPr>
          <w:rFonts w:ascii="Arial" w:hAnsi="Arial" w:eastAsia="等线" w:cs="Arial"/>
          <w:sz w:val="22"/>
        </w:rPr>
        <w:t>[4] 高德地图API. (2021). 地理编码服务文档[EB/OL].</w:t>
      </w:r>
    </w:p>
    <w:p w14:paraId="4D4F19F1">
      <w:pPr>
        <w:spacing w:before="120" w:after="120" w:line="288" w:lineRule="auto"/>
        <w:ind w:left="0"/>
        <w:jc w:val="left"/>
      </w:pPr>
      <w:bookmarkStart w:id="31" w:name="_GoBack"/>
      <w:bookmarkEnd w:id="3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9D74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D03B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compat>
    <w:useFELayout/>
    <w:splitPgBreakAndParaMark/>
    <w:compatSetting w:name="compatibilityMode" w:uri="http://schemas.microsoft.com/office/word" w:val="12"/>
  </w:compat>
  <w:rsids>
    <w:rsidRoot w:val="00000000"/>
    <w:rsid w:val="7A9924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1400</Words>
  <Characters>1497</Characters>
  <TotalTime>0</TotalTime>
  <ScaleCrop>false</ScaleCrop>
  <LinksUpToDate>false</LinksUpToDate>
  <CharactersWithSpaces>1517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2026-06-12T11:43:00Z</dcterms:created>
  <dc:creator>Apache POI</dc:creator>
  <cp:lastModifiedBy>张云浩</cp:lastModifiedBy>
  <dcterms:modified xsi:type="dcterms:W3CDTF">2026-06-12T11:43:58Z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{"Label":"1","ContentProducer":"001191110102MACQD9K64010000","ProduceID":"7650473136277703866","ReservedCode1":"","ContentPropagator":"","PropagateID":"","ReservedCode2":""}</vt:lpwstr>
  </property>
  <property fmtid="{D5CDD505-2E9C-101B-9397-08002B2CF9AE}" pid="3" name="KSOTemplateDocerSaveRecord">
    <vt:lpwstr>eyJoZGlkIjoiMzNkMGUwYzFjNWE4OTRkMTMwMzQyNTA0NWNhMDlmY2MiLCJ1c2VySWQiOiI4MDA5Mzg2MDgifQ==</vt:lpwstr>
  </property>
  <property fmtid="{D5CDD505-2E9C-101B-9397-08002B2CF9AE}" pid="4" name="KSOProductBuildVer">
    <vt:lpwstr>2052-12.1.0.26375</vt:lpwstr>
  </property>
  <property fmtid="{D5CDD505-2E9C-101B-9397-08002B2CF9AE}" pid="5" name="ICV">
    <vt:lpwstr>CF44DC34C4994B21AD8A96FDED320B2F_12</vt:lpwstr>
  </property>
</Properties>
</file>