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A8F8E6A">
      <w:pPr>
        <w:jc w:val="center"/>
        <w:rPr>
          <w:sz w:val="52"/>
          <w:szCs w:val="52"/>
        </w:rPr>
      </w:pPr>
    </w:p>
    <w:p w14:paraId="38266FC4"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应急管理大学</w:t>
      </w:r>
    </w:p>
    <w:p w14:paraId="51D8C252">
      <w:pPr>
        <w:jc w:val="center"/>
        <w:rPr>
          <w:b/>
          <w:spacing w:val="200"/>
          <w:sz w:val="84"/>
          <w:szCs w:val="84"/>
        </w:rPr>
      </w:pPr>
      <w:r>
        <w:rPr>
          <w:rFonts w:hint="eastAsia"/>
          <w:b/>
          <w:spacing w:val="200"/>
          <w:sz w:val="84"/>
          <w:szCs w:val="84"/>
          <w:lang w:val="en-US" w:eastAsia="zh-CN"/>
        </w:rPr>
        <w:t>结课</w:t>
      </w:r>
      <w:r>
        <w:rPr>
          <w:b/>
          <w:spacing w:val="200"/>
          <w:sz w:val="84"/>
          <w:szCs w:val="84"/>
        </w:rPr>
        <w:t>报告书</w:t>
      </w:r>
    </w:p>
    <w:p w14:paraId="785C112B">
      <w:pPr>
        <w:jc w:val="center"/>
        <w:rPr>
          <w:b/>
          <w:sz w:val="84"/>
          <w:szCs w:val="84"/>
        </w:rPr>
      </w:pPr>
    </w:p>
    <w:p w14:paraId="76BD5A65">
      <w:pPr>
        <w:jc w:val="center"/>
        <w:rPr>
          <w:b/>
          <w:sz w:val="84"/>
          <w:szCs w:val="84"/>
        </w:rPr>
      </w:pPr>
    </w:p>
    <w:p w14:paraId="477D89EF">
      <w:pPr>
        <w:jc w:val="center"/>
        <w:rPr>
          <w:b/>
          <w:sz w:val="84"/>
          <w:szCs w:val="84"/>
        </w:rPr>
      </w:pPr>
    </w:p>
    <w:p w14:paraId="5A570CC0">
      <w:pPr>
        <w:jc w:val="center"/>
        <w:rPr>
          <w:b/>
          <w:sz w:val="84"/>
          <w:szCs w:val="84"/>
        </w:rPr>
      </w:pPr>
    </w:p>
    <w:p w14:paraId="570627A4">
      <w:pPr>
        <w:jc w:val="center"/>
        <w:rPr>
          <w:b/>
          <w:sz w:val="28"/>
          <w:szCs w:val="28"/>
        </w:rPr>
      </w:pPr>
    </w:p>
    <w:p w14:paraId="1B90E518">
      <w:pPr>
        <w:jc w:val="left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专    业</w:t>
      </w:r>
      <w:r>
        <w:rPr>
          <w:b/>
          <w:sz w:val="28"/>
          <w:szCs w:val="28"/>
          <w:u w:val="single"/>
        </w:rPr>
        <w:t xml:space="preserve">          </w:t>
      </w:r>
      <w:r>
        <w:rPr>
          <w:rFonts w:hint="eastAsia"/>
          <w:b/>
          <w:sz w:val="28"/>
          <w:szCs w:val="28"/>
          <w:u w:val="single"/>
        </w:rPr>
        <w:t xml:space="preserve">        资源与环境</w:t>
      </w:r>
      <w:r>
        <w:rPr>
          <w:rFonts w:hint="eastAsia" w:hAnsi="宋体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           </w:t>
      </w:r>
    </w:p>
    <w:p w14:paraId="23447A8C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学    院</w:t>
      </w:r>
      <w:r>
        <w:rPr>
          <w:b/>
          <w:sz w:val="28"/>
          <w:szCs w:val="28"/>
          <w:u w:val="single"/>
        </w:rPr>
        <w:t xml:space="preserve">             </w:t>
      </w:r>
      <w:r>
        <w:rPr>
          <w:rFonts w:hint="eastAsia" w:hAnsi="宋体"/>
          <w:b/>
          <w:sz w:val="28"/>
          <w:szCs w:val="28"/>
          <w:u w:val="single"/>
          <w:lang w:val="en-US" w:eastAsia="zh-CN"/>
        </w:rPr>
        <w:t>计算机与信息安全学院</w:t>
      </w:r>
      <w:r>
        <w:rPr>
          <w:b/>
          <w:sz w:val="28"/>
          <w:szCs w:val="28"/>
          <w:u w:val="single"/>
        </w:rPr>
        <w:t xml:space="preserve">              </w:t>
      </w:r>
    </w:p>
    <w:p w14:paraId="1644E95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报告题目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b/>
          <w:sz w:val="28"/>
          <w:szCs w:val="28"/>
          <w:u w:val="single"/>
        </w:rPr>
        <w:t xml:space="preserve"> 灾后建筑损毁自动识别与GIS空间化评估    </w:t>
      </w:r>
    </w:p>
    <w:p w14:paraId="23CE30DB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名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刘星宇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</w:rPr>
        <w:t xml:space="preserve">学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号</w:t>
      </w:r>
      <w:r>
        <w:rPr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25661630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 w14:paraId="777036D8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lang w:val="en-US" w:eastAsia="zh-CN"/>
        </w:rPr>
        <w:t>年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  <w:lang w:val="en-US" w:eastAsia="zh-CN"/>
        </w:rPr>
        <w:t>级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hAnsi="宋体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>202</w:t>
      </w:r>
      <w:r>
        <w:rPr>
          <w:b/>
          <w:sz w:val="28"/>
          <w:szCs w:val="28"/>
          <w:u w:val="single"/>
        </w:rPr>
        <w:t>5</w:t>
      </w:r>
      <w:r>
        <w:rPr>
          <w:rFonts w:hint="eastAsia"/>
          <w:b/>
          <w:sz w:val="28"/>
          <w:szCs w:val="28"/>
          <w:u w:val="single"/>
        </w:rPr>
        <w:t>级</w:t>
      </w:r>
      <w:r>
        <w:rPr>
          <w:rFonts w:hint="eastAsia" w:hAnsi="宋体"/>
          <w:b/>
          <w:sz w:val="28"/>
          <w:szCs w:val="28"/>
          <w:u w:val="single"/>
        </w:rPr>
        <w:t xml:space="preserve">  </w:t>
      </w:r>
      <w:r>
        <w:rPr>
          <w:rFonts w:hint="eastAsia" w:hAnsi="宋体"/>
          <w:b/>
          <w:sz w:val="28"/>
          <w:szCs w:val="28"/>
          <w:u w:val="single"/>
          <w:lang w:val="en-US" w:eastAsia="zh-CN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</w:rPr>
        <w:t>指导教师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hAnsi="宋体"/>
          <w:b/>
          <w:sz w:val="28"/>
          <w:szCs w:val="28"/>
          <w:u w:val="single"/>
        </w:rPr>
        <w:t xml:space="preserve"> </w:t>
      </w:r>
      <w:r>
        <w:rPr>
          <w:rFonts w:hint="eastAsia" w:hAnsi="宋体"/>
          <w:b/>
          <w:sz w:val="28"/>
          <w:szCs w:val="28"/>
          <w:u w:val="single"/>
          <w:lang w:val="en-US" w:eastAsia="zh-CN"/>
        </w:rPr>
        <w:t>袁静</w:t>
      </w:r>
      <w:r>
        <w:rPr>
          <w:rFonts w:hint="eastAsia" w:hAnsi="宋体"/>
          <w:b/>
          <w:sz w:val="28"/>
          <w:szCs w:val="28"/>
          <w:u w:val="single"/>
        </w:rPr>
        <w:t xml:space="preserve"> </w:t>
      </w:r>
      <w:r>
        <w:rPr>
          <w:rFonts w:hint="eastAsia" w:hAnsi="宋体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hAnsi="宋体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</w:t>
      </w:r>
    </w:p>
    <w:p w14:paraId="7B8B1A14">
      <w:pPr>
        <w:tabs>
          <w:tab w:val="left" w:pos="7797"/>
        </w:tabs>
        <w:rPr>
          <w:b/>
          <w:sz w:val="28"/>
          <w:szCs w:val="28"/>
        </w:rPr>
      </w:pPr>
    </w:p>
    <w:p w14:paraId="6855B2DA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202</w:t>
      </w:r>
      <w:r>
        <w:rPr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年6月26日</w:t>
      </w:r>
    </w:p>
    <w:p w14:paraId="6DCD5466">
      <w:pPr>
        <w:rPr>
          <w:sz w:val="52"/>
          <w:szCs w:val="52"/>
        </w:rPr>
      </w:pPr>
    </w:p>
    <w:p w14:paraId="311DB8E6">
      <w:pPr>
        <w:rPr>
          <w:rFonts w:eastAsia="黑体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sdt>
      <w:sdtP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id w:val="147476114"/>
        <w15:color w:val="DBDBDB"/>
        <w:docPartObj>
          <w:docPartGallery w:val="Table of Contents"/>
          <w:docPartUnique/>
        </w:docPartObj>
      </w:sdtPr>
      <w:sdtEndPr>
        <w:rPr>
          <w:rFonts w:hint="eastAsia" w:ascii="Arial" w:hAnsi="宋体" w:eastAsia="黑体" w:cstheme="minorBidi"/>
          <w:bCs/>
          <w:kern w:val="0"/>
          <w:sz w:val="21"/>
          <w:szCs w:val="32"/>
          <w:lang w:val="en-US" w:eastAsia="zh-CN" w:bidi="ar-SA"/>
        </w:rPr>
      </w:sdtEndPr>
      <w:sdtContent>
        <w:sdt>
          <w:sdtPr>
            <w:rPr>
              <w:rFonts w:hint="eastAsia" w:ascii="宋体" w:hAnsi="宋体" w:eastAsia="宋体" w:cs="宋体"/>
              <w:kern w:val="2"/>
              <w:sz w:val="28"/>
              <w:szCs w:val="28"/>
              <w:lang w:val="en-US" w:eastAsia="zh-CN" w:bidi="ar-SA"/>
            </w:rPr>
            <w:id w:val="147459398"/>
            <w15:color w:val="DBDBDB"/>
            <w:docPartObj>
              <w:docPartGallery w:val="Table of Contents"/>
              <w:docPartUnique/>
            </w:docPartObj>
          </w:sdtPr>
          <w:sdtEndPr>
            <w:rPr>
              <w:rFonts w:ascii="Arial" w:hAnsi="宋体" w:eastAsia="黑体" w:cstheme="minorBidi"/>
              <w:bCs/>
              <w:kern w:val="0"/>
              <w:sz w:val="24"/>
              <w:szCs w:val="32"/>
              <w:lang w:val="en-US" w:eastAsia="zh-CN" w:bidi="ar-SA"/>
            </w:rPr>
          </w:sdtEndPr>
          <w:sdtContent>
            <w:sdt>
              <w:sdtPr>
                <w:rPr>
                  <w:rFonts w:ascii="宋体" w:hAnsi="宋体" w:eastAsia="宋体" w:cstheme="minorBidi"/>
                  <w:sz w:val="21"/>
                  <w:szCs w:val="24"/>
                </w:rPr>
                <w:id w:val="147462368"/>
                <w15:color w:val="DBDBDB"/>
                <w:docPartObj>
                  <w:docPartGallery w:val="Table of Contents"/>
                  <w:docPartUnique/>
                </w:docPartObj>
              </w:sdtPr>
              <w:sdtEndPr>
                <w:rPr>
                  <w:rFonts w:ascii="Arial" w:hAnsi="宋体" w:eastAsia="黑体" w:cstheme="minorBidi"/>
                  <w:bCs/>
                  <w:kern w:val="0"/>
                  <w:sz w:val="24"/>
                  <w:szCs w:val="32"/>
                  <w:lang/>
                </w:rPr>
              </w:sdtEndPr>
              <w:sdtContent>
                <w:p w14:paraId="64BDABD7">
                  <w:pPr>
                    <w:spacing w:before="0" w:beforeLines="0" w:after="0" w:afterLines="0" w:line="240" w:lineRule="auto"/>
                    <w:ind w:left="0" w:leftChars="0" w:right="0" w:rightChars="0" w:firstLine="0" w:firstLineChars="0"/>
                    <w:jc w:val="center"/>
                    <w:rPr>
                      <w:rFonts w:hAnsiTheme="minorHAnsi" w:cstheme="minorBidi"/>
                      <w:kern w:val="0"/>
                      <w:sz w:val="24"/>
                      <w:lang/>
                    </w:rPr>
                  </w:pPr>
                  <w:r>
                    <w:rPr>
                      <w:rFonts w:ascii="Arial" w:eastAsia="黑体" w:hAnsiTheme="minorHAnsi" w:cstheme="minorBidi"/>
                      <w:b/>
                      <w:bCs/>
                      <w:kern w:val="0"/>
                      <w:sz w:val="32"/>
                      <w:szCs w:val="32"/>
                      <w:lang/>
                    </w:rPr>
                    <w:t>目</w:t>
                  </w:r>
                  <w:r>
                    <w:rPr>
                      <w:rFonts w:hint="eastAsia" w:ascii="Arial" w:eastAsia="黑体" w:hAnsiTheme="minorHAnsi" w:cstheme="minorBidi"/>
                      <w:b/>
                      <w:bCs/>
                      <w:kern w:val="0"/>
                      <w:sz w:val="32"/>
                      <w:szCs w:val="32"/>
                      <w:lang w:val="en-US" w:eastAsia="zh-CN"/>
                    </w:rPr>
                    <w:t xml:space="preserve">  </w:t>
                  </w:r>
                  <w:r>
                    <w:rPr>
                      <w:rFonts w:ascii="Arial" w:eastAsia="黑体" w:hAnsiTheme="minorHAnsi" w:cstheme="minorBidi"/>
                      <w:b/>
                      <w:bCs/>
                      <w:kern w:val="0"/>
                      <w:sz w:val="32"/>
                      <w:szCs w:val="32"/>
                      <w:lang/>
                    </w:rPr>
                    <w:t>录</w:t>
                  </w:r>
                </w:p>
                <w:p w14:paraId="72BC49EC">
                  <w:pPr>
                    <w:widowControl w:val="0"/>
                    <w:tabs>
                      <w:tab w:val="right" w:leader="dot" w:pos="8299"/>
                    </w:tabs>
                    <w:jc w:val="both"/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="Arial" w:eastAsia="黑体" w:hAnsiTheme="minorHAnsi" w:cstheme="minorBidi"/>
                      <w:b/>
                      <w:bCs/>
                      <w:sz w:val="32"/>
                      <w:szCs w:val="32"/>
                    </w:rPr>
                    <w:fldChar w:fldCharType="begin"/>
                  </w:r>
                  <w:r>
                    <w:rPr>
                      <w:rFonts w:ascii="Arial" w:eastAsia="黑体" w:hAnsiTheme="minorHAnsi" w:cstheme="minorBidi"/>
                      <w:b/>
                      <w:bCs/>
                      <w:sz w:val="32"/>
                      <w:szCs w:val="32"/>
                    </w:rPr>
                    <w:instrText xml:space="preserve">TOC \o "1-2" \h \u </w:instrText>
                  </w:r>
                  <w:r>
                    <w:rPr>
                      <w:rFonts w:ascii="Arial" w:eastAsia="黑体" w:hAnsiTheme="minorHAnsi" w:cstheme="minorBidi"/>
                      <w:b/>
                      <w:bCs/>
                      <w:sz w:val="32"/>
                      <w:szCs w:val="32"/>
                    </w:rPr>
                    <w:fldChar w:fldCharType="separate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begin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instrText xml:space="preserve"> HYPERLINK \l _Toc2723 </w:instrText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一、项目背景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instrText xml:space="preserve"> PAGEREF _Toc2723 \h </w:instrTex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end"/>
                  </w:r>
                </w:p>
                <w:p w14:paraId="392E755A">
                  <w:pPr>
                    <w:widowControl w:val="0"/>
                    <w:tabs>
                      <w:tab w:val="right" w:leader="dot" w:pos="8299"/>
                    </w:tabs>
                    <w:jc w:val="both"/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begin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instrText xml:space="preserve"> HYPERLINK \l _Toc19231 </w:instrText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二、问题定义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instrText xml:space="preserve"> PAGEREF _Toc19231 \h </w:instrTex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end"/>
                  </w:r>
                </w:p>
                <w:p w14:paraId="53A766FA">
                  <w:pPr>
                    <w:widowControl w:val="0"/>
                    <w:tabs>
                      <w:tab w:val="right" w:leader="dot" w:pos="8299"/>
                    </w:tabs>
                    <w:jc w:val="both"/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begin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instrText xml:space="preserve"> HYPERLINK \l _Toc1217 </w:instrText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三、数据来源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instrText xml:space="preserve"> PAGEREF _Toc1217 \h </w:instrTex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end"/>
                  </w:r>
                </w:p>
                <w:p w14:paraId="259A3509">
                  <w:pPr>
                    <w:widowControl w:val="0"/>
                    <w:tabs>
                      <w:tab w:val="right" w:leader="dot" w:pos="8299"/>
                    </w:tabs>
                    <w:jc w:val="both"/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begin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instrText xml:space="preserve"> HYPERLINK \l _Toc28687 </w:instrText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四、技术路线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instrText xml:space="preserve"> PAGEREF _Toc28687 \h </w:instrTex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4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end"/>
                  </w:r>
                </w:p>
                <w:p w14:paraId="2FD33F73">
                  <w:pPr>
                    <w:widowControl w:val="0"/>
                    <w:tabs>
                      <w:tab w:val="right" w:leader="dot" w:pos="8299"/>
                    </w:tabs>
                    <w:jc w:val="both"/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begin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instrText xml:space="preserve"> HYPERLINK \l _Toc2357 </w:instrText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五、算法方法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instrText xml:space="preserve"> PAGEREF _Toc2357 \h </w:instrTex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4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end"/>
                  </w:r>
                </w:p>
                <w:p w14:paraId="3D46D8F6">
                  <w:pPr>
                    <w:widowControl w:val="0"/>
                    <w:tabs>
                      <w:tab w:val="right" w:leader="dot" w:pos="8299"/>
                    </w:tabs>
                    <w:ind w:left="420" w:leftChars="200"/>
                    <w:jc w:val="both"/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begin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instrText xml:space="preserve"> HYPERLINK \l _Toc386 </w:instrText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5.1  孪生变化检测网络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instrText xml:space="preserve"> PAGEREF _Toc386 \h </w:instrTex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4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end"/>
                  </w:r>
                </w:p>
                <w:p w14:paraId="3D5C1361">
                  <w:pPr>
                    <w:widowControl w:val="0"/>
                    <w:tabs>
                      <w:tab w:val="right" w:leader="dot" w:pos="8299"/>
                    </w:tabs>
                    <w:ind w:left="420" w:leftChars="200"/>
                    <w:jc w:val="both"/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begin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instrText xml:space="preserve"> HYPERLINK \l _Toc3728 </w:instrText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5.2  损失函数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instrText xml:space="preserve"> PAGEREF _Toc3728 \h </w:instrTex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4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end"/>
                  </w:r>
                </w:p>
                <w:p w14:paraId="23A5D126">
                  <w:pPr>
                    <w:widowControl w:val="0"/>
                    <w:tabs>
                      <w:tab w:val="right" w:leader="dot" w:pos="8299"/>
                    </w:tabs>
                    <w:ind w:left="420" w:leftChars="200"/>
                    <w:jc w:val="both"/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begin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instrText xml:space="preserve"> HYPERLINK \l _Toc505 </w:instrText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5.3  损失量化与空间化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instrText xml:space="preserve"> PAGEREF _Toc505 \h </w:instrTex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5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end"/>
                  </w:r>
                </w:p>
                <w:p w14:paraId="6D3617BD">
                  <w:pPr>
                    <w:widowControl w:val="0"/>
                    <w:tabs>
                      <w:tab w:val="right" w:leader="dot" w:pos="8299"/>
                    </w:tabs>
                    <w:jc w:val="both"/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begin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instrText xml:space="preserve"> HYPERLINK \l _Toc8884 </w:instrText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六、实施步骤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instrText xml:space="preserve"> PAGEREF _Toc8884 \h </w:instrTex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5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end"/>
                  </w:r>
                </w:p>
                <w:p w14:paraId="1506842B">
                  <w:pPr>
                    <w:widowControl w:val="0"/>
                    <w:tabs>
                      <w:tab w:val="right" w:leader="dot" w:pos="8299"/>
                    </w:tabs>
                    <w:jc w:val="both"/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begin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instrText xml:space="preserve"> HYPERLINK \l _Toc12174 </w:instrText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七、结果分析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instrText xml:space="preserve"> PAGEREF _Toc12174 \h </w:instrTex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5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end"/>
                  </w:r>
                </w:p>
                <w:p w14:paraId="12FD1E09">
                  <w:pPr>
                    <w:widowControl w:val="0"/>
                    <w:tabs>
                      <w:tab w:val="right" w:leader="dot" w:pos="8299"/>
                    </w:tabs>
                    <w:ind w:left="420" w:leftChars="200"/>
                    <w:jc w:val="both"/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begin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instrText xml:space="preserve"> HYPERLINK \l _Toc23569 </w:instrText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7.1  模型精度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instrText xml:space="preserve"> PAGEREF _Toc23569 \h </w:instrTex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5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end"/>
                  </w:r>
                </w:p>
                <w:p w14:paraId="70EA6678">
                  <w:pPr>
                    <w:widowControl w:val="0"/>
                    <w:tabs>
                      <w:tab w:val="right" w:leader="dot" w:pos="8299"/>
                    </w:tabs>
                    <w:ind w:left="420" w:leftChars="200"/>
                    <w:jc w:val="both"/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begin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instrText xml:space="preserve"> HYPERLINK \l _Toc15556 </w:instrText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7.2  测试集损失统计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instrText xml:space="preserve"> PAGEREF _Toc15556 \h </w:instrTex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6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end"/>
                  </w:r>
                </w:p>
                <w:p w14:paraId="1BDBD972">
                  <w:pPr>
                    <w:widowControl w:val="0"/>
                    <w:tabs>
                      <w:tab w:val="right" w:leader="dot" w:pos="8299"/>
                    </w:tabs>
                    <w:ind w:left="420" w:leftChars="200"/>
                    <w:jc w:val="both"/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begin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instrText xml:space="preserve"> HYPERLINK \l _Toc2469 </w:instrText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7.3  空间分布与案例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instrText xml:space="preserve"> PAGEREF _Toc2469 \h </w:instrTex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7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end"/>
                  </w:r>
                </w:p>
                <w:p w14:paraId="353D1507">
                  <w:pPr>
                    <w:widowControl w:val="0"/>
                    <w:tabs>
                      <w:tab w:val="right" w:leader="dot" w:pos="8299"/>
                    </w:tabs>
                    <w:jc w:val="both"/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begin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instrText xml:space="preserve"> HYPERLINK \l _Toc12549 </w:instrText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八、应用价值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instrText xml:space="preserve"> PAGEREF _Toc12549 \h </w:instrTex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7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end"/>
                  </w:r>
                </w:p>
                <w:p w14:paraId="5280A8BD">
                  <w:pPr>
                    <w:widowControl w:val="0"/>
                    <w:tabs>
                      <w:tab w:val="right" w:leader="dot" w:pos="8299"/>
                    </w:tabs>
                    <w:jc w:val="both"/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begin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instrText xml:space="preserve"> HYPERLINK \l _Toc16398 </w:instrText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九、问题与改进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instrText xml:space="preserve"> PAGEREF _Toc16398 \h </w:instrTex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t>8</w:t>
                  </w:r>
                  <w:r>
                    <w:rPr>
                      <w:rFonts w:ascii="Times New Roman" w:eastAsia="宋体" w:hAnsiTheme="minorHAnsi" w:cstheme="minorBidi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Arial" w:eastAsia="黑体" w:hAnsiTheme="minorHAnsi" w:cstheme="minorBidi"/>
                      <w:bCs/>
                      <w:sz w:val="24"/>
                      <w:szCs w:val="32"/>
                    </w:rPr>
                    <w:fldChar w:fldCharType="end"/>
                  </w:r>
                </w:p>
                <w:p w14:paraId="11E48358">
                  <w:pPr>
                    <w:rPr>
                      <w:rFonts w:ascii="Arial" w:hAnsi="宋体" w:eastAsia="黑体" w:cstheme="minorBidi"/>
                      <w:bCs/>
                      <w:kern w:val="0"/>
                      <w:sz w:val="24"/>
                      <w:szCs w:val="32"/>
                      <w:lang/>
                    </w:rPr>
                  </w:pPr>
                  <w:r>
                    <w:rPr>
                      <w:rFonts w:ascii="Arial" w:eastAsia="黑体" w:hAnsiTheme="minorHAnsi" w:cstheme="minorBidi"/>
                      <w:bCs/>
                      <w:kern w:val="0"/>
                      <w:sz w:val="24"/>
                      <w:szCs w:val="32"/>
                      <w:lang/>
                    </w:rPr>
                    <w:fldChar w:fldCharType="end"/>
                  </w:r>
                </w:p>
              </w:sdtContent>
            </w:sdt>
            <w:p w14:paraId="1E352205">
              <w:pPr>
                <w:rPr>
                  <w:rFonts w:hint="eastAsia" w:ascii="Arial" w:hAnsi="宋体" w:eastAsia="黑体" w:cstheme="minorBidi"/>
                  <w:bCs/>
                  <w:kern w:val="0"/>
                  <w:sz w:val="24"/>
                  <w:szCs w:val="32"/>
                  <w:lang w:val="en-US" w:eastAsia="zh-CN"/>
                </w:rPr>
              </w:pPr>
            </w:p>
            <w:p w14:paraId="1244F005">
              <w:pPr>
                <w:rPr>
                  <w:rFonts w:ascii="Arial" w:hAnsi="宋体" w:eastAsia="黑体" w:cstheme="minorBidi"/>
                  <w:bCs/>
                  <w:kern w:val="0"/>
                  <w:sz w:val="21"/>
                  <w:szCs w:val="32"/>
                </w:rPr>
              </w:pPr>
            </w:p>
          </w:sdtContent>
        </w:sdt>
      </w:sdtContent>
    </w:sdt>
    <w:p w14:paraId="179977BA">
      <w:pPr>
        <w:rPr>
          <w:rFonts w:ascii="Arial" w:hAnsi="宋体" w:eastAsia="黑体" w:cstheme="minorBidi"/>
          <w:bCs/>
          <w:kern w:val="0"/>
          <w:sz w:val="21"/>
          <w:szCs w:val="32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bookmarkStart w:id="30" w:name="_GoBack"/>
      <w:bookmarkEnd w:id="30"/>
    </w:p>
    <w:p w14:paraId="0319BDE6">
      <w:pPr>
        <w:spacing w:before="280" w:after="160" w:line="360" w:lineRule="auto"/>
        <w:outlineLvl w:val="0"/>
        <w:rPr>
          <w:rFonts w:ascii="Arial" w:eastAsia="黑体" w:hAnsiTheme="minorHAnsi" w:cstheme="minorBidi"/>
          <w:b/>
          <w:bCs/>
          <w:sz w:val="32"/>
          <w:szCs w:val="32"/>
        </w:rPr>
      </w:pPr>
      <w:bookmarkStart w:id="0" w:name="_Toc18337"/>
      <w:bookmarkStart w:id="1" w:name="_Toc8417"/>
      <w:r>
        <w:rPr>
          <w:rFonts w:ascii="Arial" w:eastAsia="黑体" w:hAnsiTheme="minorHAnsi" w:cstheme="minorBidi"/>
          <w:b/>
          <w:bCs/>
          <w:sz w:val="32"/>
          <w:szCs w:val="32"/>
        </w:rPr>
        <w:t>一、项目背景</w:t>
      </w:r>
      <w:bookmarkEnd w:id="0"/>
      <w:bookmarkEnd w:id="1"/>
    </w:p>
    <w:p w14:paraId="500FED02">
      <w:pPr>
        <w:spacing w:after="60" w:line="360" w:lineRule="auto"/>
        <w:ind w:firstLine="480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  <w:szCs w:val="24"/>
        </w:rPr>
        <w:t>地震、海啸、飓风、野火等突发灾害发生后，建筑物受损情况是应急响应、人员搜救与灾后重建决策的关键信息。传统损毁评估依赖人工现场踏勘或专家目视判读遥感影像，存在响应慢、主观性强、难以覆盖大范围灾区等问题，难以满足灾后“黄金救援期”对快速、客观、量化评估的迫切需求。近年来高分辨率遥感影像与深度学习的发展，使得利用灾前/灾后配对影像自动识别建筑损毁、并将结果空间化呈现成为可能。本报告面向防灾减灾应用，构建一套从遥感影像到损毁分布图的自动评估方法（A 线）。</w:t>
      </w:r>
    </w:p>
    <w:p w14:paraId="4D01DA6D">
      <w:pPr>
        <w:spacing w:before="280" w:after="160" w:line="360" w:lineRule="auto"/>
        <w:outlineLvl w:val="0"/>
        <w:rPr>
          <w:rFonts w:ascii="Arial" w:eastAsia="黑体" w:hAnsiTheme="minorHAnsi" w:cstheme="minorBidi"/>
          <w:b/>
          <w:bCs/>
          <w:sz w:val="32"/>
          <w:szCs w:val="32"/>
        </w:rPr>
      </w:pPr>
      <w:bookmarkStart w:id="2" w:name="_Toc13817"/>
      <w:bookmarkStart w:id="3" w:name="_Toc30718"/>
      <w:r>
        <w:rPr>
          <w:rFonts w:ascii="Arial" w:eastAsia="黑体" w:hAnsiTheme="minorHAnsi" w:cstheme="minorBidi"/>
          <w:b/>
          <w:bCs/>
          <w:sz w:val="32"/>
          <w:szCs w:val="32"/>
        </w:rPr>
        <w:t>二、问题定义</w:t>
      </w:r>
      <w:bookmarkEnd w:id="2"/>
      <w:bookmarkEnd w:id="3"/>
    </w:p>
    <w:p w14:paraId="27CEB0A2">
      <w:pPr>
        <w:spacing w:after="60" w:line="360" w:lineRule="auto"/>
        <w:ind w:firstLine="480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  <w:szCs w:val="24"/>
        </w:rPr>
        <w:t>本项目要解决的核心问题是：给定同一地区的灾前与灾后高分辨率遥感影像，自动判定每栋建筑的损毁等级，并统计损失、形成空间分布。形式化描述如下：</w:t>
      </w:r>
    </w:p>
    <w:p w14:paraId="72235B71">
      <w:pPr>
        <w:pStyle w:val="24"/>
        <w:numPr>
          <w:ilvl w:val="0"/>
          <w:numId w:val="1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输入：灾前影像、灾后影像（配对、同一地理范围）及建筑底面。</w:t>
      </w:r>
    </w:p>
    <w:p w14:paraId="409F6DDD">
      <w:pPr>
        <w:pStyle w:val="24"/>
        <w:numPr>
          <w:ilvl w:val="0"/>
          <w:numId w:val="1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输出：逐栋建筑的损毁等级（完好、轻微、严重、完全损毁四级）、各级建筑数量与损毁面积、损毁空间分布图。</w:t>
      </w:r>
    </w:p>
    <w:p w14:paraId="4DD1F8CB">
      <w:pPr>
        <w:pStyle w:val="24"/>
        <w:numPr>
          <w:ilvl w:val="0"/>
          <w:numId w:val="1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关键挑战：① 自动化（减少人工判读）；② 细粒度分级（区分四级损毁）；③ 类别不平衡（完好建筑占绝大多数）；④ 空间化（结果落到真实地理坐标）。</w:t>
      </w:r>
    </w:p>
    <w:p w14:paraId="7B322CB9">
      <w:pPr>
        <w:spacing w:before="280" w:after="160" w:line="360" w:lineRule="auto"/>
        <w:outlineLvl w:val="0"/>
        <w:rPr>
          <w:rFonts w:ascii="Arial" w:eastAsia="黑体" w:hAnsiTheme="minorHAnsi" w:cstheme="minorBidi"/>
          <w:b/>
          <w:bCs/>
          <w:sz w:val="32"/>
          <w:szCs w:val="32"/>
        </w:rPr>
      </w:pPr>
      <w:bookmarkStart w:id="4" w:name="_Toc570"/>
      <w:bookmarkStart w:id="5" w:name="_Toc8604"/>
      <w:r>
        <w:rPr>
          <w:rFonts w:ascii="Arial" w:eastAsia="黑体" w:hAnsiTheme="minorHAnsi" w:cstheme="minorBidi"/>
          <w:b/>
          <w:bCs/>
          <w:sz w:val="32"/>
          <w:szCs w:val="32"/>
        </w:rPr>
        <w:t>三、数据来源</w:t>
      </w:r>
      <w:bookmarkEnd w:id="4"/>
      <w:bookmarkEnd w:id="5"/>
    </w:p>
    <w:p w14:paraId="0599E66B">
      <w:pPr>
        <w:spacing w:after="60" w:line="360" w:lineRule="auto"/>
        <w:ind w:firstLine="480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  <w:szCs w:val="24"/>
        </w:rPr>
        <w:t>采用公开的 xBD（xView2）建筑损毁评估数据集，由 Maxar/DigitalGlobe 卫星影像与人工标注构成，是该领域权威基准。其灾前/灾后影像配对、地面分辨率约 0.5 米，对每栋建筑标注统一的四级损毁标度，并以 WKT 多边形给出建筑轮廓，同时包含像素坐标与地理经纬度两套坐标。数据来源公开、字段明确，支撑项目复现。主要字段说明如下：</w:t>
      </w:r>
    </w:p>
    <w:tbl>
      <w:tblPr>
        <w:tblStyle w:val="13"/>
        <w:tblW w:w="85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9"/>
        <w:gridCol w:w="5181"/>
      </w:tblGrid>
      <w:tr w14:paraId="6D983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951F6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b/>
                <w:bCs/>
                <w:kern w:val="0"/>
                <w:sz w:val="21"/>
                <w:szCs w:val="21"/>
              </w:rPr>
              <w:t>字段</w:t>
            </w:r>
          </w:p>
        </w:tc>
        <w:tc>
          <w:tcPr>
            <w:tcW w:w="518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F00D5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b/>
                <w:bCs/>
                <w:kern w:val="0"/>
                <w:sz w:val="21"/>
                <w:szCs w:val="21"/>
              </w:rPr>
              <w:t>含义</w:t>
            </w:r>
          </w:p>
        </w:tc>
      </w:tr>
      <w:tr w14:paraId="102B6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ECA2F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{disaster}_{id}_pre/post_disaster.png</w:t>
            </w:r>
          </w:p>
        </w:tc>
        <w:tc>
          <w:tcPr>
            <w:tcW w:w="518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A92F0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灾前/灾后影像，1024×1024，约 0.5m 分辨率</w:t>
            </w:r>
          </w:p>
        </w:tc>
      </w:tr>
      <w:tr w14:paraId="78552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58C5E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features.xy[].wkt</w:t>
            </w:r>
          </w:p>
        </w:tc>
        <w:tc>
          <w:tcPr>
            <w:tcW w:w="518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97A6E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建筑轮廓多边形（像素坐标）</w:t>
            </w:r>
          </w:p>
        </w:tc>
      </w:tr>
      <w:tr w14:paraId="1AE26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97483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features.lng_lat[].wkt</w:t>
            </w:r>
          </w:p>
        </w:tc>
        <w:tc>
          <w:tcPr>
            <w:tcW w:w="518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B83D0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同一建筑轮廓（WGS84 经纬度）</w:t>
            </w:r>
          </w:p>
        </w:tc>
      </w:tr>
      <w:tr w14:paraId="70191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9A5EE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properties.subtype</w:t>
            </w:r>
          </w:p>
        </w:tc>
        <w:tc>
          <w:tcPr>
            <w:tcW w:w="518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36197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损毁等级：no/minor/major-damage、destroyed</w:t>
            </w:r>
          </w:p>
        </w:tc>
      </w:tr>
      <w:tr w14:paraId="56321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9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FC23E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metadata.gsd</w:t>
            </w:r>
          </w:p>
        </w:tc>
        <w:tc>
          <w:tcPr>
            <w:tcW w:w="5181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361A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地面分辨率（米/像素）</w:t>
            </w:r>
          </w:p>
        </w:tc>
      </w:tr>
    </w:tbl>
    <w:p w14:paraId="5E86AEDA">
      <w:pPr>
        <w:spacing w:before="60" w:after="160" w:line="360" w:lineRule="auto"/>
        <w:jc w:val="center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i/>
          <w:iCs/>
          <w:color w:val="555555"/>
          <w:kern w:val="0"/>
          <w:sz w:val="21"/>
          <w:szCs w:val="21"/>
        </w:rPr>
        <w:t>表 1  xBD 数据集主要字段说明</w:t>
      </w:r>
    </w:p>
    <w:p w14:paraId="2A7C9F5C">
      <w:pPr>
        <w:spacing w:after="60" w:line="360" w:lineRule="auto"/>
        <w:ind w:firstLine="480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  <w:szCs w:val="24"/>
        </w:rPr>
        <w:t>数据按官方标准划分为训练集（约 2799 对）、验证集（约 933 对）与测试集，分别用于模型训练、精度评估与最终损失统计。</w:t>
      </w:r>
    </w:p>
    <w:p w14:paraId="6BB822A0">
      <w:pPr>
        <w:spacing w:before="280" w:after="160" w:line="360" w:lineRule="auto"/>
        <w:outlineLvl w:val="0"/>
        <w:rPr>
          <w:rFonts w:ascii="Arial" w:eastAsia="黑体" w:hAnsiTheme="minorHAnsi" w:cstheme="minorBidi"/>
          <w:b/>
          <w:bCs/>
          <w:sz w:val="32"/>
          <w:szCs w:val="32"/>
        </w:rPr>
      </w:pPr>
      <w:bookmarkStart w:id="6" w:name="_Toc21262"/>
      <w:bookmarkStart w:id="7" w:name="_Toc22610"/>
      <w:r>
        <w:rPr>
          <w:rFonts w:ascii="Arial" w:eastAsia="黑体" w:hAnsiTheme="minorHAnsi" w:cstheme="minorBidi"/>
          <w:b/>
          <w:bCs/>
          <w:sz w:val="32"/>
          <w:szCs w:val="32"/>
        </w:rPr>
        <w:t>四、技术路线</w:t>
      </w:r>
      <w:bookmarkEnd w:id="6"/>
      <w:bookmarkEnd w:id="7"/>
    </w:p>
    <w:p w14:paraId="0D55165B">
      <w:pPr>
        <w:spacing w:after="60" w:line="360" w:lineRule="auto"/>
        <w:ind w:firstLine="480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  <w:szCs w:val="24"/>
        </w:rPr>
        <w:t>A 线总体路线为“识别—量化—空间化”三段式：灾前/灾后影像经标注栅格化后输入孪生变化检测网络，输出逐像素损毁分级；再经像素到建筑级聚合得到逐栋损毁等级与面积；最后利用地理坐标完成空间配准、入库与可视化。三个环节解耦，便于独立验证与替换。</w:t>
      </w:r>
    </w:p>
    <w:p w14:paraId="7E83859B">
      <w:pPr>
        <w:spacing w:after="60" w:line="360" w:lineRule="auto"/>
        <w:jc w:val="center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color w:val="333333"/>
          <w:kern w:val="0"/>
          <w:sz w:val="22"/>
          <w:szCs w:val="22"/>
        </w:rPr>
        <w:t>灾前/灾后影像 → 标注栅格化 → 孪生 U-Net 变化检测 → 像素级损毁分级 → 建筑级聚合(数量/面积) → 地理配准(WGS84) → PostGIS 入库 → Cesium 损毁分布图</w:t>
      </w:r>
    </w:p>
    <w:p w14:paraId="2EC74C18">
      <w:pPr>
        <w:spacing w:before="280" w:after="160" w:line="360" w:lineRule="auto"/>
        <w:outlineLvl w:val="0"/>
        <w:rPr>
          <w:rFonts w:ascii="Arial" w:eastAsia="黑体" w:hAnsiTheme="minorHAnsi" w:cstheme="minorBidi"/>
          <w:b/>
          <w:bCs/>
          <w:sz w:val="32"/>
          <w:szCs w:val="32"/>
        </w:rPr>
      </w:pPr>
      <w:bookmarkStart w:id="8" w:name="_Toc3451"/>
      <w:bookmarkStart w:id="9" w:name="_Toc6192"/>
      <w:r>
        <w:rPr>
          <w:rFonts w:ascii="Arial" w:eastAsia="黑体" w:hAnsiTheme="minorHAnsi" w:cstheme="minorBidi"/>
          <w:b/>
          <w:bCs/>
          <w:sz w:val="32"/>
          <w:szCs w:val="32"/>
        </w:rPr>
        <w:t>五、算法方法</w:t>
      </w:r>
      <w:bookmarkEnd w:id="8"/>
      <w:bookmarkEnd w:id="9"/>
    </w:p>
    <w:p w14:paraId="6E050DC1">
      <w:pPr>
        <w:spacing w:before="200" w:after="120" w:line="360" w:lineRule="auto"/>
        <w:outlineLvl w:val="1"/>
        <w:rPr>
          <w:rFonts w:ascii="Arial" w:eastAsia="黑体" w:hAnsiTheme="minorHAnsi" w:cstheme="minorBidi"/>
          <w:b/>
          <w:bCs/>
          <w:sz w:val="28"/>
          <w:szCs w:val="28"/>
        </w:rPr>
      </w:pPr>
      <w:bookmarkStart w:id="10" w:name="_Toc11880"/>
      <w:bookmarkStart w:id="11" w:name="_Toc28806"/>
      <w:r>
        <w:rPr>
          <w:rFonts w:ascii="Arial" w:eastAsia="黑体" w:hAnsiTheme="minorHAnsi" w:cstheme="minorBidi"/>
          <w:b/>
          <w:bCs/>
          <w:sz w:val="28"/>
          <w:szCs w:val="28"/>
        </w:rPr>
        <w:t>5.1  孪生变化检测网络</w:t>
      </w:r>
      <w:bookmarkEnd w:id="10"/>
      <w:bookmarkEnd w:id="11"/>
    </w:p>
    <w:p w14:paraId="453BFFBA">
      <w:pPr>
        <w:spacing w:after="60" w:line="360" w:lineRule="auto"/>
        <w:ind w:firstLine="480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  <w:szCs w:val="24"/>
        </w:rPr>
        <w:t>核心模型为孪生（Siamese）U-Net 变化检测网络：以 ResNet34 为共享权重编码器，分别对灾前、灾后影像提取多尺度特征；定位头基于灾前特征经 U-Net 解码器输出“建筑/背景”二分类；损毁头对灾前、灾后特征逐层取绝对差（表征“变化”）后经 U-Net 解码器输出五类（背景+四级损毁）分级。以“变化”而非单时相外观作为损毁判据，对“建筑仍在但已倒塌/受损”的情形更敏感，符合损毁评估的物理逻辑。模型参数量约 27.6M。</w:t>
      </w:r>
    </w:p>
    <w:p w14:paraId="7C7F1F05">
      <w:pPr>
        <w:spacing w:before="200" w:after="120" w:line="360" w:lineRule="auto"/>
        <w:outlineLvl w:val="1"/>
        <w:rPr>
          <w:rFonts w:ascii="Arial" w:eastAsia="黑体" w:hAnsiTheme="minorHAnsi" w:cstheme="minorBidi"/>
          <w:b/>
          <w:bCs/>
          <w:sz w:val="28"/>
          <w:szCs w:val="28"/>
        </w:rPr>
      </w:pPr>
      <w:bookmarkStart w:id="12" w:name="_Toc5684"/>
      <w:bookmarkStart w:id="13" w:name="_Toc5094"/>
      <w:r>
        <w:rPr>
          <w:rFonts w:ascii="Arial" w:eastAsia="黑体" w:hAnsiTheme="minorHAnsi" w:cstheme="minorBidi"/>
          <w:b/>
          <w:bCs/>
          <w:sz w:val="28"/>
          <w:szCs w:val="28"/>
        </w:rPr>
        <w:t>5.2  损失函数</w:t>
      </w:r>
      <w:bookmarkEnd w:id="12"/>
      <w:bookmarkEnd w:id="13"/>
    </w:p>
    <w:p w14:paraId="21590129">
      <w:pPr>
        <w:spacing w:after="60" w:line="360" w:lineRule="auto"/>
        <w:ind w:firstLine="480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  <w:szCs w:val="24"/>
        </w:rPr>
        <w:t>总损失为定位损失与损毁分级损失之和。因背景像素占绝大多数、各损毁等级样本高度不平衡，损毁分级损失采用类别加权交叉熵，权重 [0.05, 1, 2, 2, 2]，压低背景、强化损毁等级。</w:t>
      </w:r>
    </w:p>
    <w:p w14:paraId="17F0A8B7">
      <w:pPr>
        <w:spacing w:before="200" w:after="120" w:line="360" w:lineRule="auto"/>
        <w:outlineLvl w:val="1"/>
        <w:rPr>
          <w:rFonts w:ascii="Arial" w:eastAsia="黑体" w:hAnsiTheme="minorHAnsi" w:cstheme="minorBidi"/>
          <w:b/>
          <w:bCs/>
          <w:sz w:val="28"/>
          <w:szCs w:val="28"/>
        </w:rPr>
      </w:pPr>
      <w:bookmarkStart w:id="14" w:name="_Toc3469"/>
      <w:bookmarkStart w:id="15" w:name="_Toc2064"/>
      <w:r>
        <w:rPr>
          <w:rFonts w:ascii="Arial" w:eastAsia="黑体" w:hAnsiTheme="minorHAnsi" w:cstheme="minorBidi"/>
          <w:b/>
          <w:bCs/>
          <w:sz w:val="28"/>
          <w:szCs w:val="28"/>
        </w:rPr>
        <w:t>5.3  损失量化与空间化</w:t>
      </w:r>
      <w:bookmarkEnd w:id="14"/>
      <w:bookmarkEnd w:id="15"/>
    </w:p>
    <w:p w14:paraId="401CAA07">
      <w:pPr>
        <w:spacing w:after="60" w:line="360" w:lineRule="auto"/>
        <w:ind w:firstLine="480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  <w:szCs w:val="24"/>
        </w:rPr>
        <w:t>在建筑底面范围内对预测掩膜取众数得到逐栋损毁等级；损毁面积按“像素数 × GSD²”换算为平方米，与处理分辨率无关。空间化方面，直接采用标注中每栋建筑的经纬度底面获得 WGS84 坐标，损毁等级由模型预测填充，输出带损毁属性的地理要素（GeoJSON），写入 PostGIS 并以 Cesium 渲染。</w:t>
      </w:r>
    </w:p>
    <w:p w14:paraId="0CA47998">
      <w:pPr>
        <w:spacing w:before="280" w:after="160" w:line="360" w:lineRule="auto"/>
        <w:outlineLvl w:val="0"/>
        <w:rPr>
          <w:rFonts w:ascii="Arial" w:eastAsia="黑体" w:hAnsiTheme="minorHAnsi" w:cstheme="minorBidi"/>
          <w:b/>
          <w:bCs/>
          <w:sz w:val="32"/>
          <w:szCs w:val="32"/>
        </w:rPr>
      </w:pPr>
      <w:bookmarkStart w:id="16" w:name="_Toc12279"/>
      <w:bookmarkStart w:id="17" w:name="_Toc9828"/>
      <w:r>
        <w:rPr>
          <w:rFonts w:ascii="Arial" w:eastAsia="黑体" w:hAnsiTheme="minorHAnsi" w:cstheme="minorBidi"/>
          <w:b/>
          <w:bCs/>
          <w:sz w:val="32"/>
          <w:szCs w:val="32"/>
        </w:rPr>
        <w:t>六、实施步骤</w:t>
      </w:r>
      <w:bookmarkEnd w:id="16"/>
      <w:bookmarkEnd w:id="17"/>
    </w:p>
    <w:p w14:paraId="235D426D">
      <w:pPr>
        <w:pStyle w:val="24"/>
        <w:numPr>
          <w:ilvl w:val="0"/>
          <w:numId w:val="2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数据准备：下载 xBD，按 train/hold/test 组织。</w:t>
      </w:r>
    </w:p>
    <w:p w14:paraId="777CD050">
      <w:pPr>
        <w:pStyle w:val="24"/>
        <w:numPr>
          <w:ilvl w:val="0"/>
          <w:numId w:val="2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标注栅格化：将 WKT 多边形转为定位掩膜（建筑/背景）与损毁掩膜（0~4 级）。</w:t>
      </w:r>
    </w:p>
    <w:p w14:paraId="6CB281E4">
      <w:pPr>
        <w:pStyle w:val="24"/>
        <w:numPr>
          <w:ilvl w:val="0"/>
          <w:numId w:val="2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模型训练：输入 512×512、批大小 4、AdamW（学习率 1e-3、余弦退火）、ImageNet 预训练编码器，训练 50 个 epoch，按验证集损毁宏 F1 保存最优权重。</w:t>
      </w:r>
    </w:p>
    <w:p w14:paraId="5F0B2CFD">
      <w:pPr>
        <w:pStyle w:val="24"/>
        <w:numPr>
          <w:ilvl w:val="0"/>
          <w:numId w:val="2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推理：对测试影像逐张预测，输出损毁掩膜、彩色图与叠加图。</w:t>
      </w:r>
    </w:p>
    <w:p w14:paraId="70947BFC">
      <w:pPr>
        <w:pStyle w:val="24"/>
        <w:numPr>
          <w:ilvl w:val="0"/>
          <w:numId w:val="2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建筑级统计：连通域分割单栋建筑，取众数等级，统计各级数量与面积，绘制柱状图。</w:t>
      </w:r>
    </w:p>
    <w:p w14:paraId="3F56CF81">
      <w:pPr>
        <w:pStyle w:val="24"/>
        <w:numPr>
          <w:ilvl w:val="0"/>
          <w:numId w:val="2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地理配准：结合标注经纬度底面导出带损毁属性的 GeoJSON。</w:t>
      </w:r>
    </w:p>
    <w:p w14:paraId="50728857">
      <w:pPr>
        <w:pStyle w:val="24"/>
        <w:numPr>
          <w:ilvl w:val="0"/>
          <w:numId w:val="2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入库：建立 PostGIS 表 damage_buildings（含预测/真值等级、面积、几何及空间索引）。</w:t>
      </w:r>
    </w:p>
    <w:p w14:paraId="3DC78CF8">
      <w:pPr>
        <w:pStyle w:val="24"/>
        <w:numPr>
          <w:ilvl w:val="0"/>
          <w:numId w:val="2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可视化：Cesium 按等级着色，支持按灾害筛选、预测/真值切换与点击查询。</w:t>
      </w:r>
    </w:p>
    <w:p w14:paraId="29F4AE18">
      <w:pPr>
        <w:spacing w:after="60" w:line="360" w:lineRule="auto"/>
        <w:ind w:firstLine="480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  <w:szCs w:val="24"/>
        </w:rPr>
        <w:t>源码按模块组织（数据/模型/训练/推理/统计/GIS），含 README 与 requirements.txt，核心功能均可运行。</w:t>
      </w:r>
    </w:p>
    <w:p w14:paraId="39BE26C7">
      <w:pPr>
        <w:spacing w:before="280" w:after="160" w:line="360" w:lineRule="auto"/>
        <w:outlineLvl w:val="0"/>
        <w:rPr>
          <w:rFonts w:ascii="Arial" w:eastAsia="黑体" w:hAnsiTheme="minorHAnsi" w:cstheme="minorBidi"/>
          <w:b/>
          <w:bCs/>
          <w:sz w:val="32"/>
          <w:szCs w:val="32"/>
        </w:rPr>
      </w:pPr>
      <w:bookmarkStart w:id="18" w:name="_Toc12610"/>
      <w:bookmarkStart w:id="19" w:name="_Toc23007"/>
      <w:r>
        <w:rPr>
          <w:rFonts w:ascii="Arial" w:eastAsia="黑体" w:hAnsiTheme="minorHAnsi" w:cstheme="minorBidi"/>
          <w:b/>
          <w:bCs/>
          <w:sz w:val="32"/>
          <w:szCs w:val="32"/>
        </w:rPr>
        <w:t>七、结果分析</w:t>
      </w:r>
      <w:bookmarkEnd w:id="18"/>
      <w:bookmarkEnd w:id="19"/>
    </w:p>
    <w:p w14:paraId="167AC119">
      <w:pPr>
        <w:spacing w:before="200" w:after="120" w:line="360" w:lineRule="auto"/>
        <w:outlineLvl w:val="1"/>
        <w:rPr>
          <w:rFonts w:ascii="Arial" w:eastAsia="黑体" w:hAnsiTheme="minorHAnsi" w:cstheme="minorBidi"/>
          <w:b/>
          <w:bCs/>
          <w:sz w:val="28"/>
          <w:szCs w:val="28"/>
        </w:rPr>
      </w:pPr>
      <w:bookmarkStart w:id="20" w:name="_Toc11768"/>
      <w:bookmarkStart w:id="21" w:name="_Toc22330"/>
      <w:r>
        <w:rPr>
          <w:rFonts w:ascii="Arial" w:eastAsia="黑体" w:hAnsiTheme="minorHAnsi" w:cstheme="minorBidi"/>
          <w:b/>
          <w:bCs/>
          <w:sz w:val="28"/>
          <w:szCs w:val="28"/>
        </w:rPr>
        <w:t>7.1  模型精度</w:t>
      </w:r>
      <w:bookmarkEnd w:id="20"/>
      <w:bookmarkEnd w:id="21"/>
    </w:p>
    <w:p w14:paraId="088EDDA3">
      <w:pPr>
        <w:spacing w:after="60" w:line="360" w:lineRule="auto"/>
        <w:ind w:firstLine="480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  <w:szCs w:val="24"/>
        </w:rPr>
        <w:t>验证集上损毁分级（忽略背景）的宏平均 F1 约为 0.50~0.51，各类别 F1 见下表。完好类识别较好，轻微、严重等中间等级偏低——这与 xBD 公认难点一致：中间损毁等级视觉差异细微且样本不平衡。</w:t>
      </w:r>
    </w:p>
    <w:tbl>
      <w:tblPr>
        <w:tblStyle w:val="13"/>
        <w:tblW w:w="86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755"/>
        <w:gridCol w:w="1755"/>
        <w:gridCol w:w="1755"/>
        <w:gridCol w:w="1076"/>
      </w:tblGrid>
      <w:tr w14:paraId="4249D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D04DD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b/>
                <w:bCs/>
                <w:kern w:val="0"/>
                <w:sz w:val="21"/>
                <w:szCs w:val="21"/>
              </w:rPr>
              <w:t>指标</w:t>
            </w:r>
          </w:p>
        </w:tc>
        <w:tc>
          <w:tcPr>
            <w:tcW w:w="175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6A182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b/>
                <w:bCs/>
                <w:kern w:val="0"/>
                <w:sz w:val="21"/>
                <w:szCs w:val="21"/>
              </w:rPr>
              <w:t>完好</w:t>
            </w:r>
          </w:p>
        </w:tc>
        <w:tc>
          <w:tcPr>
            <w:tcW w:w="175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56944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b/>
                <w:bCs/>
                <w:kern w:val="0"/>
                <w:sz w:val="21"/>
                <w:szCs w:val="21"/>
              </w:rPr>
              <w:t>轻微损毁</w:t>
            </w:r>
          </w:p>
        </w:tc>
        <w:tc>
          <w:tcPr>
            <w:tcW w:w="175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3B3DE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b/>
                <w:bCs/>
                <w:kern w:val="0"/>
                <w:sz w:val="21"/>
                <w:szCs w:val="21"/>
              </w:rPr>
              <w:t>严重损毁</w:t>
            </w:r>
          </w:p>
        </w:tc>
        <w:tc>
          <w:tcPr>
            <w:tcW w:w="107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152D2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b/>
                <w:bCs/>
                <w:kern w:val="0"/>
                <w:sz w:val="21"/>
                <w:szCs w:val="21"/>
              </w:rPr>
              <w:t>完全损毁</w:t>
            </w:r>
          </w:p>
        </w:tc>
      </w:tr>
      <w:tr w14:paraId="55299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A0F4E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F1</w:t>
            </w:r>
          </w:p>
        </w:tc>
        <w:tc>
          <w:tcPr>
            <w:tcW w:w="175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E19DB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0.65</w:t>
            </w:r>
          </w:p>
        </w:tc>
        <w:tc>
          <w:tcPr>
            <w:tcW w:w="175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29A50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0.33</w:t>
            </w:r>
          </w:p>
        </w:tc>
        <w:tc>
          <w:tcPr>
            <w:tcW w:w="175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DE92C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0.49</w:t>
            </w:r>
          </w:p>
        </w:tc>
        <w:tc>
          <w:tcPr>
            <w:tcW w:w="107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31EAD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0.54</w:t>
            </w:r>
          </w:p>
        </w:tc>
      </w:tr>
    </w:tbl>
    <w:p w14:paraId="7FB2C65F">
      <w:pPr>
        <w:spacing w:before="60" w:after="160" w:line="360" w:lineRule="auto"/>
        <w:jc w:val="center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i/>
          <w:iCs/>
          <w:color w:val="555555"/>
          <w:kern w:val="0"/>
          <w:sz w:val="21"/>
          <w:szCs w:val="21"/>
        </w:rPr>
        <w:t>表 2  各损毁等级 F1（验证集）</w:t>
      </w:r>
    </w:p>
    <w:p w14:paraId="2BEF6F36">
      <w:pPr>
        <w:spacing w:after="60" w:line="360" w:lineRule="auto"/>
        <w:ind w:firstLine="480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  <w:szCs w:val="24"/>
        </w:rPr>
        <w:t>模型在灾后影像上的损毁识别叠加效果如图 1，预测损毁建筑按等级着色叠加于灾后影像之上。</w:t>
      </w:r>
    </w:p>
    <w:p w14:paraId="71DC5F84">
      <w:pPr>
        <w:spacing w:before="120"/>
        <w:jc w:val="center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</w:rPr>
        <w:drawing>
          <wp:inline distT="0" distB="0" distL="0" distR="0">
            <wp:extent cx="2286000" cy="2286000"/>
            <wp:effectExtent l="0" t="0" r="0" b="0"/>
            <wp:docPr id="5" name="f" descr="f" title="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" descr="f" title="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36A4">
      <w:pPr>
        <w:spacing w:before="60" w:after="160" w:line="360" w:lineRule="auto"/>
        <w:jc w:val="center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i/>
          <w:iCs/>
          <w:color w:val="555555"/>
          <w:kern w:val="0"/>
          <w:sz w:val="21"/>
          <w:szCs w:val="21"/>
        </w:rPr>
        <w:t>图 1  损毁识别结果叠加图（绿/黄/橙/红=完好/轻微/严重/完全）</w:t>
      </w:r>
    </w:p>
    <w:p w14:paraId="444081F2">
      <w:pPr>
        <w:spacing w:before="200" w:after="120" w:line="360" w:lineRule="auto"/>
        <w:outlineLvl w:val="1"/>
        <w:rPr>
          <w:rFonts w:ascii="Arial" w:eastAsia="黑体" w:hAnsiTheme="minorHAnsi" w:cstheme="minorBidi"/>
          <w:b/>
          <w:bCs/>
          <w:sz w:val="28"/>
          <w:szCs w:val="28"/>
        </w:rPr>
      </w:pPr>
      <w:bookmarkStart w:id="22" w:name="_Toc18309"/>
      <w:bookmarkStart w:id="23" w:name="_Toc3638"/>
      <w:r>
        <w:rPr>
          <w:rFonts w:ascii="Arial" w:eastAsia="黑体" w:hAnsiTheme="minorHAnsi" w:cstheme="minorBidi"/>
          <w:b/>
          <w:bCs/>
          <w:sz w:val="28"/>
          <w:szCs w:val="28"/>
        </w:rPr>
        <w:t>7.2  测试集损失统计</w:t>
      </w:r>
      <w:bookmarkEnd w:id="22"/>
      <w:bookmarkEnd w:id="23"/>
    </w:p>
    <w:p w14:paraId="704CC55C">
      <w:pPr>
        <w:spacing w:after="60" w:line="360" w:lineRule="auto"/>
        <w:ind w:firstLine="480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  <w:szCs w:val="24"/>
        </w:rPr>
        <w:t>以标注建筑底面对齐、由模型预测定级，对测试集全部 54862 栋建筑统计损毁分布如下：模型检出率约 80.5%，漏检约 19.5%（以小型建筑为主），检出建筑中受损约 16.9%。各等级分布如图 2。</w:t>
      </w:r>
    </w:p>
    <w:tbl>
      <w:tblPr>
        <w:tblStyle w:val="13"/>
        <w:tblW w:w="86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2120"/>
        <w:gridCol w:w="3377"/>
      </w:tblGrid>
      <w:tr w14:paraId="5F9C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C1EAA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b/>
                <w:bCs/>
                <w:kern w:val="0"/>
                <w:sz w:val="21"/>
                <w:szCs w:val="21"/>
              </w:rPr>
              <w:t>损毁等级</w:t>
            </w:r>
          </w:p>
        </w:tc>
        <w:tc>
          <w:tcPr>
            <w:tcW w:w="2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323DA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b/>
                <w:bCs/>
                <w:kern w:val="0"/>
                <w:sz w:val="21"/>
                <w:szCs w:val="21"/>
              </w:rPr>
              <w:t>数量(栋)</w:t>
            </w:r>
          </w:p>
        </w:tc>
        <w:tc>
          <w:tcPr>
            <w:tcW w:w="337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4E596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b/>
                <w:bCs/>
                <w:kern w:val="0"/>
                <w:sz w:val="21"/>
                <w:szCs w:val="21"/>
              </w:rPr>
              <w:t>说明</w:t>
            </w:r>
          </w:p>
        </w:tc>
      </w:tr>
      <w:tr w14:paraId="31BDD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D55F0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未检出（背景）</w:t>
            </w:r>
          </w:p>
        </w:tc>
        <w:tc>
          <w:tcPr>
            <w:tcW w:w="2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6A29A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10724</w:t>
            </w:r>
          </w:p>
        </w:tc>
        <w:tc>
          <w:tcPr>
            <w:tcW w:w="337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158C5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模型未检出，漏检</w:t>
            </w:r>
          </w:p>
        </w:tc>
      </w:tr>
      <w:tr w14:paraId="6D25F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57FD5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完好</w:t>
            </w:r>
          </w:p>
        </w:tc>
        <w:tc>
          <w:tcPr>
            <w:tcW w:w="2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5D877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36679</w:t>
            </w:r>
          </w:p>
        </w:tc>
        <w:tc>
          <w:tcPr>
            <w:tcW w:w="337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C2B4A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判为无损毁</w:t>
            </w:r>
          </w:p>
        </w:tc>
      </w:tr>
      <w:tr w14:paraId="07D9B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A180E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轻微损毁</w:t>
            </w:r>
          </w:p>
        </w:tc>
        <w:tc>
          <w:tcPr>
            <w:tcW w:w="2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20BD3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2422</w:t>
            </w:r>
          </w:p>
        </w:tc>
        <w:tc>
          <w:tcPr>
            <w:tcW w:w="337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71BC2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</w:p>
        </w:tc>
      </w:tr>
      <w:tr w14:paraId="00C44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8882A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严重损毁</w:t>
            </w:r>
          </w:p>
        </w:tc>
        <w:tc>
          <w:tcPr>
            <w:tcW w:w="2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191A1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2374</w:t>
            </w:r>
          </w:p>
        </w:tc>
        <w:tc>
          <w:tcPr>
            <w:tcW w:w="337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2505F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</w:p>
        </w:tc>
      </w:tr>
      <w:tr w14:paraId="2572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C63E1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完全损毁</w:t>
            </w:r>
          </w:p>
        </w:tc>
        <w:tc>
          <w:tcPr>
            <w:tcW w:w="2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9E4B4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  <w:r>
              <w:rPr>
                <w:rFonts w:hint="default" w:ascii="Times New Roman" w:eastAsia="宋体" w:hAnsiTheme="minorHAnsi" w:cstheme="minorBidi"/>
                <w:kern w:val="0"/>
                <w:sz w:val="21"/>
                <w:szCs w:val="21"/>
              </w:rPr>
              <w:t>2663</w:t>
            </w:r>
          </w:p>
        </w:tc>
        <w:tc>
          <w:tcPr>
            <w:tcW w:w="337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C3BD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jc w:val="center"/>
              <w:rPr>
                <w:rFonts w:hint="default" w:ascii="Times New Roman" w:eastAsia="宋体" w:hAnsiTheme="minorHAnsi" w:cstheme="minorBidi"/>
                <w:kern w:val="0"/>
                <w:sz w:val="24"/>
              </w:rPr>
            </w:pPr>
          </w:p>
        </w:tc>
      </w:tr>
    </w:tbl>
    <w:p w14:paraId="6C336048">
      <w:pPr>
        <w:spacing w:before="60" w:after="160" w:line="360" w:lineRule="auto"/>
        <w:jc w:val="center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i/>
          <w:iCs/>
          <w:color w:val="555555"/>
          <w:kern w:val="0"/>
          <w:sz w:val="21"/>
          <w:szCs w:val="21"/>
        </w:rPr>
        <w:t>表 3  测试集建筑级损毁分布（共 54862 栋）</w:t>
      </w:r>
    </w:p>
    <w:p w14:paraId="62B95D0E">
      <w:pPr>
        <w:spacing w:before="120"/>
        <w:jc w:val="center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</w:rPr>
        <w:drawing>
          <wp:inline distT="0" distB="0" distL="0" distR="0">
            <wp:extent cx="5143500" cy="1971675"/>
            <wp:effectExtent l="0" t="0" r="0" b="0"/>
            <wp:docPr id="2" name="f" descr="f" title="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" descr="f" title="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7F93">
      <w:pPr>
        <w:spacing w:before="60" w:after="160" w:line="360" w:lineRule="auto"/>
        <w:jc w:val="center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i/>
          <w:iCs/>
          <w:color w:val="555555"/>
          <w:kern w:val="0"/>
          <w:sz w:val="21"/>
          <w:szCs w:val="21"/>
        </w:rPr>
        <w:t>图 2  测试集建筑损毁等级分布（左：含未检出，对数轴；右：受损三级）</w:t>
      </w:r>
    </w:p>
    <w:p w14:paraId="729BD593">
      <w:pPr>
        <w:spacing w:before="200" w:after="120" w:line="360" w:lineRule="auto"/>
        <w:outlineLvl w:val="1"/>
        <w:rPr>
          <w:rFonts w:ascii="Arial" w:eastAsia="黑体" w:hAnsiTheme="minorHAnsi" w:cstheme="minorBidi"/>
          <w:b/>
          <w:bCs/>
          <w:sz w:val="28"/>
          <w:szCs w:val="28"/>
        </w:rPr>
      </w:pPr>
      <w:bookmarkStart w:id="24" w:name="_Toc22400"/>
      <w:bookmarkStart w:id="25" w:name="_Toc14532"/>
      <w:r>
        <w:rPr>
          <w:rFonts w:ascii="Arial" w:eastAsia="黑体" w:hAnsiTheme="minorHAnsi" w:cstheme="minorBidi"/>
          <w:b/>
          <w:bCs/>
          <w:sz w:val="28"/>
          <w:szCs w:val="28"/>
        </w:rPr>
        <w:t>7.3  空间分布与案例</w:t>
      </w:r>
      <w:bookmarkEnd w:id="24"/>
      <w:bookmarkEnd w:id="25"/>
    </w:p>
    <w:p w14:paraId="465F4779">
      <w:pPr>
        <w:spacing w:after="60" w:line="360" w:lineRule="auto"/>
        <w:ind w:firstLine="480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  <w:szCs w:val="24"/>
        </w:rPr>
        <w:t>将损毁结果落到真实地理坐标，在 Cesium 中渲染损毁分布图。以墨西哥城地震为例（11411 栋建筑），可按损毁等级着色并支持按预测/真值切换对比，直观呈现受损建筑的空间聚集，如图 3。</w:t>
      </w:r>
    </w:p>
    <w:p w14:paraId="267BF8BF">
      <w:pPr>
        <w:spacing w:before="120"/>
        <w:jc w:val="center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</w:rPr>
        <w:drawing>
          <wp:inline distT="0" distB="0" distL="0" distR="0">
            <wp:extent cx="5143500" cy="2590800"/>
            <wp:effectExtent l="0" t="0" r="0" b="0"/>
            <wp:docPr id="3" name="f" descr="f" title="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" descr="f" title="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0167">
      <w:pPr>
        <w:spacing w:before="60" w:after="160" w:line="360" w:lineRule="auto"/>
        <w:jc w:val="center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i/>
          <w:iCs/>
          <w:color w:val="555555"/>
          <w:kern w:val="0"/>
          <w:sz w:val="21"/>
          <w:szCs w:val="21"/>
        </w:rPr>
        <w:t>图 3  墨西哥城地震建筑损毁分布图（Cesium）</w:t>
      </w:r>
    </w:p>
    <w:p w14:paraId="06E331EA">
      <w:pPr>
        <w:spacing w:before="280" w:after="160" w:line="360" w:lineRule="auto"/>
        <w:outlineLvl w:val="0"/>
        <w:rPr>
          <w:rFonts w:ascii="Arial" w:eastAsia="黑体" w:hAnsiTheme="minorHAnsi" w:cstheme="minorBidi"/>
          <w:b/>
          <w:bCs/>
          <w:sz w:val="32"/>
          <w:szCs w:val="32"/>
        </w:rPr>
      </w:pPr>
      <w:bookmarkStart w:id="26" w:name="_Toc11930"/>
      <w:bookmarkStart w:id="27" w:name="_Toc29830"/>
      <w:r>
        <w:rPr>
          <w:rFonts w:ascii="Arial" w:eastAsia="黑体" w:hAnsiTheme="minorHAnsi" w:cstheme="minorBidi"/>
          <w:b/>
          <w:bCs/>
          <w:sz w:val="32"/>
          <w:szCs w:val="32"/>
        </w:rPr>
        <w:t>八、应用价值</w:t>
      </w:r>
      <w:bookmarkEnd w:id="26"/>
      <w:bookmarkEnd w:id="27"/>
    </w:p>
    <w:p w14:paraId="02E5B2C4">
      <w:pPr>
        <w:spacing w:after="60" w:line="360" w:lineRule="auto"/>
        <w:ind w:firstLine="480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  <w:szCs w:val="24"/>
        </w:rPr>
        <w:t>本方法面向防灾减灾的应用价值体现在：</w:t>
      </w:r>
    </w:p>
    <w:p w14:paraId="0615E61A">
      <w:pPr>
        <w:pStyle w:val="24"/>
        <w:numPr>
          <w:ilvl w:val="0"/>
          <w:numId w:val="1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快速广域评估：灾后短时间内对大范围灾区完成建筑损毁自动评估，缩短应急响应时间，弥补人工踏勘的覆盖与速度不足。</w:t>
      </w:r>
    </w:p>
    <w:p w14:paraId="67497D3B">
      <w:pPr>
        <w:pStyle w:val="24"/>
        <w:numPr>
          <w:ilvl w:val="0"/>
          <w:numId w:val="1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分级支撑决策：逐栋损毁分级可直接支撑搜救优先级判断与危房识别，完全/严重损毁建筑优先处置。</w:t>
      </w:r>
    </w:p>
    <w:p w14:paraId="51466798">
      <w:pPr>
        <w:pStyle w:val="24"/>
        <w:numPr>
          <w:ilvl w:val="0"/>
          <w:numId w:val="1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空间优先级调度：损毁分布图揭示受灾聚集区，支撑救援力量与物资的空间化调配，实现“先重灾区、后轻灾区”。</w:t>
      </w:r>
    </w:p>
    <w:p w14:paraId="4C9EBAF6">
      <w:pPr>
        <w:pStyle w:val="24"/>
        <w:numPr>
          <w:ilvl w:val="0"/>
          <w:numId w:val="1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系统集成：结果可接入既有地震 GIS 系统，与断层、居民点、人口等图层叠加，服务于灾情研判与重建规划。</w:t>
      </w:r>
    </w:p>
    <w:p w14:paraId="78FE1AA3">
      <w:pPr>
        <w:spacing w:before="280" w:after="160" w:line="360" w:lineRule="auto"/>
        <w:outlineLvl w:val="0"/>
        <w:rPr>
          <w:rFonts w:ascii="Arial" w:eastAsia="黑体" w:hAnsiTheme="minorHAnsi" w:cstheme="minorBidi"/>
          <w:b/>
          <w:bCs/>
          <w:sz w:val="32"/>
          <w:szCs w:val="32"/>
        </w:rPr>
      </w:pPr>
      <w:bookmarkStart w:id="28" w:name="_Toc32098"/>
      <w:bookmarkStart w:id="29" w:name="_Toc20782"/>
      <w:r>
        <w:rPr>
          <w:rFonts w:ascii="Arial" w:eastAsia="黑体" w:hAnsiTheme="minorHAnsi" w:cstheme="minorBidi"/>
          <w:b/>
          <w:bCs/>
          <w:sz w:val="32"/>
          <w:szCs w:val="32"/>
        </w:rPr>
        <w:t>九、问题与改进</w:t>
      </w:r>
      <w:bookmarkEnd w:id="28"/>
      <w:bookmarkEnd w:id="29"/>
    </w:p>
    <w:p w14:paraId="01186898">
      <w:pPr>
        <w:spacing w:after="60" w:line="360" w:lineRule="auto"/>
        <w:ind w:firstLine="480"/>
        <w:rPr>
          <w:rFonts w:ascii="Times New Roman" w:eastAsia="宋体" w:hAnsiTheme="minorHAnsi" w:cstheme="minorBidi"/>
          <w:kern w:val="0"/>
          <w:sz w:val="24"/>
        </w:rPr>
      </w:pPr>
      <w:r>
        <w:rPr>
          <w:rFonts w:ascii="Times New Roman" w:eastAsia="宋体" w:hAnsiTheme="minorHAnsi" w:cstheme="minorBidi"/>
          <w:kern w:val="0"/>
          <w:sz w:val="24"/>
          <w:szCs w:val="24"/>
        </w:rPr>
        <w:t>当前方法的不足与改进方向：</w:t>
      </w:r>
    </w:p>
    <w:p w14:paraId="45FD2E2C">
      <w:pPr>
        <w:pStyle w:val="24"/>
        <w:numPr>
          <w:ilvl w:val="0"/>
          <w:numId w:val="1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受显存约束采用 512 下采样，导致小型建筑漏检（检出率约 80%）、相邻建筑并栋，使计数偏保守、单栋面积偏大；改进：采用 1024 全分辨率或影像切片、引入实例分割切分粘连建筑。</w:t>
      </w:r>
    </w:p>
    <w:p w14:paraId="1FCD20A7">
      <w:pPr>
        <w:pStyle w:val="24"/>
        <w:numPr>
          <w:ilvl w:val="0"/>
          <w:numId w:val="1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轻微/严重等中间损毁等级精度有限；改进：增强类别权重或采用 Focal Loss，引入 Tier3 等数据补充稀有类样本。</w:t>
      </w:r>
    </w:p>
    <w:p w14:paraId="7E465124">
      <w:pPr>
        <w:pStyle w:val="24"/>
        <w:numPr>
          <w:ilvl w:val="0"/>
          <w:numId w:val="1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模型为单一轻量基线；改进：更强编码器、模型集成与测试时增强。</w:t>
      </w:r>
    </w:p>
    <w:p w14:paraId="1471D8AC">
      <w:pPr>
        <w:pStyle w:val="24"/>
        <w:numPr>
          <w:ilvl w:val="0"/>
          <w:numId w:val="1"/>
        </w:numPr>
        <w:spacing w:line="360" w:lineRule="auto"/>
        <w:ind w:left="720" w:hanging="360"/>
      </w:pPr>
      <w:r>
        <w:rPr>
          <w:rFonts w:ascii="Times New Roman" w:eastAsia="宋体"/>
          <w:sz w:val="24"/>
          <w:szCs w:val="24"/>
        </w:rPr>
        <w:t>可进一步与 B 线（无人机三维重建与体积估算）联动，对 A 线筛查出的重灾建筑做精细三维评估。</w:t>
      </w:r>
    </w:p>
    <w:p w14:paraId="56BA381D">
      <w:pPr>
        <w:rPr>
          <w:b/>
          <w:bCs/>
          <w:color w:val="FF0000"/>
        </w:rPr>
      </w:pPr>
    </w:p>
    <w:sectPr>
      <w:footerReference r:id="rId5" w:type="default"/>
      <w:pgSz w:w="11905" w:h="16838"/>
      <w:pgMar w:top="1440" w:right="1803" w:bottom="1440" w:left="1803" w:header="708" w:footer="709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9EB81">
    <w:pPr>
      <w:pStyle w:val="6"/>
      <w:tabs>
        <w:tab w:val="left" w:pos="5060"/>
        <w:tab w:val="clear" w:pos="4153"/>
      </w:tabs>
    </w:pP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71A05">
    <w:pPr>
      <w:jc w:val="center"/>
      <w:rPr>
        <w:rFonts w:ascii="Times New Roman" w:eastAsia="宋体" w:hAnsiTheme="minorHAnsi" w:cstheme="minorBidi"/>
        <w:kern w:val="0"/>
        <w:sz w:val="24"/>
      </w:rPr>
    </w:pPr>
    <w:r>
      <w:rPr>
        <w:rFonts w:ascii="Times New Roman" w:eastAsia="宋体" w:hAnsiTheme="minorHAnsi" w:cstheme="minorBidi"/>
        <w:kern w:val="0"/>
        <w:sz w:val="20"/>
        <w:szCs w:val="20"/>
      </w:rPr>
      <w:t xml:space="preserve">第 </w:t>
    </w:r>
    <w:r>
      <w:rPr>
        <w:rFonts w:ascii="Times New Roman" w:eastAsia="宋体" w:hAnsiTheme="minorHAnsi" w:cstheme="minorBidi"/>
        <w:kern w:val="0"/>
        <w:sz w:val="20"/>
        <w:szCs w:val="20"/>
      </w:rPr>
      <w:fldChar w:fldCharType="begin"/>
    </w:r>
    <w:r>
      <w:rPr>
        <w:rFonts w:ascii="Times New Roman" w:eastAsia="宋体" w:hAnsiTheme="minorHAnsi" w:cstheme="minorBidi"/>
        <w:kern w:val="0"/>
        <w:sz w:val="20"/>
        <w:szCs w:val="20"/>
      </w:rPr>
      <w:instrText xml:space="preserve">PAGE</w:instrText>
    </w:r>
    <w:r>
      <w:rPr>
        <w:rFonts w:ascii="Times New Roman" w:eastAsia="宋体" w:hAnsiTheme="minorHAnsi" w:cstheme="minorBidi"/>
        <w:kern w:val="0"/>
        <w:sz w:val="20"/>
        <w:szCs w:val="20"/>
      </w:rPr>
      <w:fldChar w:fldCharType="separate"/>
    </w:r>
    <w:r>
      <w:rPr>
        <w:rFonts w:ascii="Times New Roman" w:eastAsia="宋体" w:hAnsiTheme="minorHAnsi" w:cstheme="minorBidi"/>
        <w:kern w:val="0"/>
        <w:sz w:val="20"/>
        <w:szCs w:val="20"/>
      </w:rPr>
      <w:fldChar w:fldCharType="end"/>
    </w:r>
    <w:r>
      <w:rPr>
        <w:rFonts w:ascii="Times New Roman" w:eastAsia="宋体" w:hAnsiTheme="minorHAnsi" w:cstheme="minorBidi"/>
        <w:kern w:val="0"/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96E27">
    <w:pPr>
      <w:pStyle w:val="7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B61A5"/>
    <w:multiLevelType w:val="singleLevel"/>
    <w:tmpl w:val="D08B61A5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F34B778E"/>
    <w:multiLevelType w:val="singleLevel"/>
    <w:tmpl w:val="F34B778E"/>
    <w:lvl w:ilvl="0" w:tentative="0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10"/>
  <w:drawingGridVerticalSpacing w:val="99999990"/>
  <w:displayHorizontalDrawingGridEvery w:val="1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1MTYzNjM5ZjYyNGZjMjEyMTU4Njk4NjRjNzI3MjQifQ=="/>
  </w:docVars>
  <w:rsids>
    <w:rsidRoot w:val="00172A27"/>
    <w:rsid w:val="000030D9"/>
    <w:rsid w:val="000143A3"/>
    <w:rsid w:val="000312D9"/>
    <w:rsid w:val="00054877"/>
    <w:rsid w:val="00066D79"/>
    <w:rsid w:val="00082D2E"/>
    <w:rsid w:val="00092533"/>
    <w:rsid w:val="00092C65"/>
    <w:rsid w:val="000A6CF1"/>
    <w:rsid w:val="000C5359"/>
    <w:rsid w:val="000D3442"/>
    <w:rsid w:val="00104402"/>
    <w:rsid w:val="00147D42"/>
    <w:rsid w:val="00152A68"/>
    <w:rsid w:val="0017259C"/>
    <w:rsid w:val="001B2FAD"/>
    <w:rsid w:val="001D12F0"/>
    <w:rsid w:val="001E15E7"/>
    <w:rsid w:val="002254CD"/>
    <w:rsid w:val="00231AD3"/>
    <w:rsid w:val="00232122"/>
    <w:rsid w:val="00233C38"/>
    <w:rsid w:val="00251D5E"/>
    <w:rsid w:val="0027040B"/>
    <w:rsid w:val="00285D9C"/>
    <w:rsid w:val="00290B9F"/>
    <w:rsid w:val="002A59F2"/>
    <w:rsid w:val="002B6CC1"/>
    <w:rsid w:val="002C5998"/>
    <w:rsid w:val="002C5F62"/>
    <w:rsid w:val="002E7F5E"/>
    <w:rsid w:val="002F1354"/>
    <w:rsid w:val="003044F7"/>
    <w:rsid w:val="0030459F"/>
    <w:rsid w:val="00311AF1"/>
    <w:rsid w:val="00346054"/>
    <w:rsid w:val="00354C69"/>
    <w:rsid w:val="0036048A"/>
    <w:rsid w:val="003661E0"/>
    <w:rsid w:val="00382532"/>
    <w:rsid w:val="003851C0"/>
    <w:rsid w:val="003C6C35"/>
    <w:rsid w:val="003D066B"/>
    <w:rsid w:val="003F3AF1"/>
    <w:rsid w:val="00405063"/>
    <w:rsid w:val="00414110"/>
    <w:rsid w:val="00454DDB"/>
    <w:rsid w:val="004A66FA"/>
    <w:rsid w:val="004B4701"/>
    <w:rsid w:val="004B7653"/>
    <w:rsid w:val="004C1605"/>
    <w:rsid w:val="004C203D"/>
    <w:rsid w:val="004E5135"/>
    <w:rsid w:val="004E7A03"/>
    <w:rsid w:val="005027F9"/>
    <w:rsid w:val="00520A33"/>
    <w:rsid w:val="005438CD"/>
    <w:rsid w:val="00553003"/>
    <w:rsid w:val="00553A78"/>
    <w:rsid w:val="005619BC"/>
    <w:rsid w:val="00565960"/>
    <w:rsid w:val="00586D86"/>
    <w:rsid w:val="005C219B"/>
    <w:rsid w:val="005E1513"/>
    <w:rsid w:val="005F6EC2"/>
    <w:rsid w:val="0061713F"/>
    <w:rsid w:val="006631E5"/>
    <w:rsid w:val="0066327B"/>
    <w:rsid w:val="006703D2"/>
    <w:rsid w:val="00690DDC"/>
    <w:rsid w:val="0069642D"/>
    <w:rsid w:val="006B0BC2"/>
    <w:rsid w:val="006C56F6"/>
    <w:rsid w:val="006D2502"/>
    <w:rsid w:val="006D7C06"/>
    <w:rsid w:val="0070272F"/>
    <w:rsid w:val="00721A3B"/>
    <w:rsid w:val="00726D1F"/>
    <w:rsid w:val="0073309E"/>
    <w:rsid w:val="00734176"/>
    <w:rsid w:val="00741A4F"/>
    <w:rsid w:val="00742909"/>
    <w:rsid w:val="00751988"/>
    <w:rsid w:val="00751FA2"/>
    <w:rsid w:val="00757069"/>
    <w:rsid w:val="007603B9"/>
    <w:rsid w:val="00762280"/>
    <w:rsid w:val="0076724A"/>
    <w:rsid w:val="007768D1"/>
    <w:rsid w:val="0078237F"/>
    <w:rsid w:val="00786541"/>
    <w:rsid w:val="00791196"/>
    <w:rsid w:val="007A0807"/>
    <w:rsid w:val="007A1DA9"/>
    <w:rsid w:val="007B66F1"/>
    <w:rsid w:val="007D25F8"/>
    <w:rsid w:val="007E0468"/>
    <w:rsid w:val="007F3288"/>
    <w:rsid w:val="00800530"/>
    <w:rsid w:val="0080522A"/>
    <w:rsid w:val="00816B3A"/>
    <w:rsid w:val="00830162"/>
    <w:rsid w:val="00840E35"/>
    <w:rsid w:val="00852726"/>
    <w:rsid w:val="00856CCD"/>
    <w:rsid w:val="00865D8B"/>
    <w:rsid w:val="00875D86"/>
    <w:rsid w:val="0088567E"/>
    <w:rsid w:val="008B5B55"/>
    <w:rsid w:val="008B5F43"/>
    <w:rsid w:val="008B6879"/>
    <w:rsid w:val="008D65A8"/>
    <w:rsid w:val="009006C0"/>
    <w:rsid w:val="009232EC"/>
    <w:rsid w:val="0093688A"/>
    <w:rsid w:val="009569E1"/>
    <w:rsid w:val="009851C7"/>
    <w:rsid w:val="009863CF"/>
    <w:rsid w:val="009C77C3"/>
    <w:rsid w:val="009D4BE4"/>
    <w:rsid w:val="009E7160"/>
    <w:rsid w:val="009E7225"/>
    <w:rsid w:val="009F272E"/>
    <w:rsid w:val="00A00D96"/>
    <w:rsid w:val="00A15B42"/>
    <w:rsid w:val="00A51E68"/>
    <w:rsid w:val="00A552BD"/>
    <w:rsid w:val="00A87E0F"/>
    <w:rsid w:val="00AA1ABB"/>
    <w:rsid w:val="00AA5A85"/>
    <w:rsid w:val="00AD5A00"/>
    <w:rsid w:val="00AE50BB"/>
    <w:rsid w:val="00AE5D8B"/>
    <w:rsid w:val="00AE746C"/>
    <w:rsid w:val="00B035D9"/>
    <w:rsid w:val="00B344BD"/>
    <w:rsid w:val="00B47075"/>
    <w:rsid w:val="00B66F08"/>
    <w:rsid w:val="00B801E3"/>
    <w:rsid w:val="00B83EFB"/>
    <w:rsid w:val="00B86BEA"/>
    <w:rsid w:val="00B87EC0"/>
    <w:rsid w:val="00B94703"/>
    <w:rsid w:val="00BC5DE9"/>
    <w:rsid w:val="00BD4056"/>
    <w:rsid w:val="00C01AA8"/>
    <w:rsid w:val="00C12B44"/>
    <w:rsid w:val="00C217D2"/>
    <w:rsid w:val="00C361F9"/>
    <w:rsid w:val="00C53F6F"/>
    <w:rsid w:val="00C54199"/>
    <w:rsid w:val="00C5533C"/>
    <w:rsid w:val="00C55799"/>
    <w:rsid w:val="00C61B5E"/>
    <w:rsid w:val="00CA46C2"/>
    <w:rsid w:val="00CA5479"/>
    <w:rsid w:val="00CC2CE3"/>
    <w:rsid w:val="00CD49FC"/>
    <w:rsid w:val="00D11C1B"/>
    <w:rsid w:val="00D42694"/>
    <w:rsid w:val="00D83575"/>
    <w:rsid w:val="00D97AC3"/>
    <w:rsid w:val="00DC16C9"/>
    <w:rsid w:val="00DD7D61"/>
    <w:rsid w:val="00DE3105"/>
    <w:rsid w:val="00E169E1"/>
    <w:rsid w:val="00E260A7"/>
    <w:rsid w:val="00E4118E"/>
    <w:rsid w:val="00E530F3"/>
    <w:rsid w:val="00E53253"/>
    <w:rsid w:val="00E55716"/>
    <w:rsid w:val="00E77FFA"/>
    <w:rsid w:val="00E85349"/>
    <w:rsid w:val="00E90385"/>
    <w:rsid w:val="00E950FB"/>
    <w:rsid w:val="00EA4793"/>
    <w:rsid w:val="00EB4ACB"/>
    <w:rsid w:val="00EC3104"/>
    <w:rsid w:val="00EE0AC2"/>
    <w:rsid w:val="00F5785D"/>
    <w:rsid w:val="01C64BE6"/>
    <w:rsid w:val="02D61077"/>
    <w:rsid w:val="05481451"/>
    <w:rsid w:val="05EA6155"/>
    <w:rsid w:val="07AC3DD4"/>
    <w:rsid w:val="0A1C4C04"/>
    <w:rsid w:val="0E9819DB"/>
    <w:rsid w:val="1DFC12CC"/>
    <w:rsid w:val="25762CA3"/>
    <w:rsid w:val="261260FE"/>
    <w:rsid w:val="29AD036B"/>
    <w:rsid w:val="2A101209"/>
    <w:rsid w:val="2BD01725"/>
    <w:rsid w:val="309B5A02"/>
    <w:rsid w:val="313B54D6"/>
    <w:rsid w:val="335C581F"/>
    <w:rsid w:val="33DE566E"/>
    <w:rsid w:val="3BB93A5A"/>
    <w:rsid w:val="3C854CF1"/>
    <w:rsid w:val="3CFF7403"/>
    <w:rsid w:val="3F3C4AD9"/>
    <w:rsid w:val="3FAA01B9"/>
    <w:rsid w:val="4546413B"/>
    <w:rsid w:val="46766882"/>
    <w:rsid w:val="55EA12D3"/>
    <w:rsid w:val="56982E14"/>
    <w:rsid w:val="5BF53D69"/>
    <w:rsid w:val="5C7D31D8"/>
    <w:rsid w:val="5E141521"/>
    <w:rsid w:val="64AD387E"/>
    <w:rsid w:val="65DA5472"/>
    <w:rsid w:val="69AC58DD"/>
    <w:rsid w:val="6AFC0018"/>
    <w:rsid w:val="6D2E589C"/>
    <w:rsid w:val="6F28606D"/>
    <w:rsid w:val="707A6668"/>
    <w:rsid w:val="70D8325E"/>
    <w:rsid w:val="719B5A6C"/>
    <w:rsid w:val="7A3D242D"/>
    <w:rsid w:val="7B1024E1"/>
    <w:rsid w:val="7C7B6E99"/>
    <w:rsid w:val="7FC141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qFormat="1" w:unhideWhenUsed="0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spacing w:line="360" w:lineRule="auto"/>
      <w:outlineLvl w:val="1"/>
    </w:pPr>
    <w:rPr>
      <w:sz w:val="24"/>
    </w:rPr>
  </w:style>
  <w:style w:type="paragraph" w:styleId="4">
    <w:name w:val="heading 3"/>
    <w:basedOn w:val="1"/>
    <w:next w:val="1"/>
    <w:link w:val="19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uiPriority w:val="0"/>
  </w:style>
  <w:style w:type="table" w:default="1" w:styleId="1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39"/>
    <w:pPr>
      <w:tabs>
        <w:tab w:val="right" w:leader="dot" w:pos="8296"/>
      </w:tabs>
      <w:ind w:left="630" w:leftChars="300"/>
    </w:pPr>
  </w:style>
  <w:style w:type="paragraph" w:styleId="6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  <w:pPr>
      <w:tabs>
        <w:tab w:val="right" w:leader="dot" w:pos="8222"/>
      </w:tabs>
      <w:spacing w:line="360" w:lineRule="auto"/>
    </w:pPr>
    <w:rPr>
      <w:b/>
      <w:color w:val="000000"/>
      <w:sz w:val="28"/>
      <w:szCs w:val="28"/>
    </w:rPr>
  </w:style>
  <w:style w:type="paragraph" w:styleId="9">
    <w:name w:val="toc 4"/>
    <w:basedOn w:val="1"/>
    <w:next w:val="1"/>
    <w:qFormat/>
    <w:uiPriority w:val="39"/>
    <w:pPr>
      <w:ind w:left="1260" w:leftChars="600"/>
    </w:pPr>
  </w:style>
  <w:style w:type="paragraph" w:styleId="10">
    <w:name w:val="toc 2"/>
    <w:basedOn w:val="1"/>
    <w:next w:val="1"/>
    <w:qFormat/>
    <w:uiPriority w:val="39"/>
    <w:pPr>
      <w:ind w:left="420" w:leftChars="200"/>
    </w:pPr>
  </w:style>
  <w:style w:type="paragraph" w:styleId="11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Title"/>
    <w:basedOn w:val="1"/>
    <w:link w:val="22"/>
    <w:qFormat/>
    <w:uiPriority w:val="0"/>
    <w:pPr>
      <w:spacing w:before="240" w:beforeLines="0" w:after="60" w:afterLines="0"/>
      <w:jc w:val="center"/>
      <w:outlineLvl w:val="0"/>
    </w:pPr>
    <w:rPr>
      <w:rFonts w:ascii="Arial" w:hAnsi="Arial" w:eastAsia="宋体" w:cs="Arial"/>
      <w:b/>
      <w:bCs/>
      <w:kern w:val="2"/>
      <w:sz w:val="32"/>
      <w:szCs w:val="32"/>
      <w:lang w:val="en-US" w:eastAsia="zh-CN" w:bidi="ar-SA"/>
    </w:rPr>
  </w:style>
  <w:style w:type="character" w:styleId="15">
    <w:name w:val="Strong"/>
    <w:qFormat/>
    <w:uiPriority w:val="0"/>
    <w:rPr>
      <w:b/>
      <w:bCs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customStyle="1" w:styleId="17">
    <w:name w:val="标题 1 字符"/>
    <w:link w:val="2"/>
    <w:qFormat/>
    <w:uiPriority w:val="0"/>
    <w:rPr>
      <w:b/>
      <w:kern w:val="44"/>
      <w:sz w:val="32"/>
      <w:szCs w:val="24"/>
    </w:rPr>
  </w:style>
  <w:style w:type="character" w:customStyle="1" w:styleId="18">
    <w:name w:val="标题 2 字符"/>
    <w:link w:val="3"/>
    <w:qFormat/>
    <w:uiPriority w:val="0"/>
    <w:rPr>
      <w:kern w:val="2"/>
      <w:sz w:val="24"/>
      <w:szCs w:val="24"/>
    </w:rPr>
  </w:style>
  <w:style w:type="character" w:customStyle="1" w:styleId="19">
    <w:name w:val="标题 3 字符"/>
    <w:link w:val="4"/>
    <w:qFormat/>
    <w:uiPriority w:val="0"/>
    <w:rPr>
      <w:b/>
      <w:bCs/>
      <w:kern w:val="2"/>
      <w:sz w:val="32"/>
      <w:szCs w:val="32"/>
    </w:rPr>
  </w:style>
  <w:style w:type="character" w:customStyle="1" w:styleId="20">
    <w:name w:val="页脚 字符"/>
    <w:link w:val="6"/>
    <w:qFormat/>
    <w:uiPriority w:val="99"/>
    <w:rPr>
      <w:kern w:val="2"/>
      <w:sz w:val="18"/>
      <w:szCs w:val="18"/>
    </w:rPr>
  </w:style>
  <w:style w:type="character" w:customStyle="1" w:styleId="21">
    <w:name w:val="页眉 字符"/>
    <w:link w:val="7"/>
    <w:qFormat/>
    <w:uiPriority w:val="99"/>
    <w:rPr>
      <w:kern w:val="2"/>
      <w:sz w:val="18"/>
      <w:szCs w:val="18"/>
    </w:rPr>
  </w:style>
  <w:style w:type="character" w:customStyle="1" w:styleId="22">
    <w:name w:val="标题 字符"/>
    <w:link w:val="12"/>
    <w:qFormat/>
    <w:uiPriority w:val="0"/>
    <w:rPr>
      <w:rFonts w:ascii="Arial" w:hAnsi="Arial" w:eastAsia="宋体" w:cs="Arial"/>
      <w:b/>
      <w:bCs/>
      <w:kern w:val="2"/>
      <w:sz w:val="32"/>
      <w:szCs w:val="32"/>
      <w:lang w:val="en-US" w:eastAsia="zh-CN" w:bidi="ar-SA"/>
    </w:rPr>
  </w:style>
  <w:style w:type="paragraph" w:customStyle="1" w:styleId="23">
    <w:name w:val="t4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24">
    <w:name w:val="List Paragraph"/>
    <w:qFormat/>
    <w:uiPriority w:val="0"/>
    <w:pPr>
      <w:spacing w:line="360" w:lineRule="auto"/>
    </w:pPr>
    <w:rPr>
      <w:rFonts w:ascii="Times New Roman" w:eastAsia="宋体" w:hAnsiTheme="minorHAnsi" w:cstheme="minorBidi"/>
      <w:sz w:val="24"/>
      <w:szCs w:val="24"/>
    </w:rPr>
  </w:style>
  <w:style w:type="paragraph" w:customStyle="1" w:styleId="2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2742</Words>
  <Characters>3244</Characters>
  <Lines>8</Lines>
  <Paragraphs>2</Paragraphs>
  <TotalTime>0</TotalTime>
  <ScaleCrop>false</ScaleCrop>
  <LinksUpToDate>false</LinksUpToDate>
  <CharactersWithSpaces>3597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2018-07-15T05:01:00Z</dcterms:created>
  <dc:creator>骆冠君</dc:creator>
  <cp:lastModifiedBy>沫笙</cp:lastModifiedBy>
  <cp:lastPrinted>2014-09-02T03:15:00Z</cp:lastPrinted>
  <dcterms:modified xsi:type="dcterms:W3CDTF">2026-06-23T11:52:35Z</dcterms:modified>
  <dc:subject>实验报告书</dc:subject>
  <dc:title>防灾科技学院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85259DD79EBF40C5BEDF39AC5941DF53_13</vt:lpwstr>
  </property>
  <property fmtid="{D5CDD505-2E9C-101B-9397-08002B2CF9AE}" pid="4" name="KSOTemplateDocerSaveRecord">
    <vt:lpwstr>eyJoZGlkIjoiOGM1OTNmODA4NGExNDUyNmM3MThiZTkxZDI1OTk4MDIiLCJ1c2VySWQiOiI2OTk1ODg1MDQifQ==</vt:lpwstr>
  </property>
</Properties>
</file>