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widowControl/>
        <w:spacing w:before="1440" w:after="0" w:line="480" w:lineRule="auto"/>
        <w:ind w:firstLine="0" w:left="0"/>
        <w:jc w:val="center"/>
      </w:pPr>
      <w:r>
        <w:rPr>
          <w:rFonts w:ascii="Times New Roman" w:hAnsi="Times New Roman" w:eastAsia="Times New Roman" w:cs="Times New Roman"/>
          <w:b/>
          <w:i w:val="0"/>
          <w:color w:val="000000"/>
          <w:sz w:val="24"/>
        </w:rPr>
        <w:t>Advanced Shell Simulation with Integrated OS Concepts</w:t>
        <w:br/>
        <w:t>Deliverable 1 Basic Shell Implementation and Process Management</w:t>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Shobhit Dhamania</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University of the Cumberlands</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MSCS-630-M20: Advanced Operating Systems</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Sean Perryman</w:t>
      </w:r>
    </w:p>
    <w:p>
      <w:pPr>
        <w:keepNext w:val="0"/>
        <w:widowControl/>
        <w:spacing w:before="0" w:after="0" w:line="480" w:lineRule="auto"/>
        <w:ind w:firstLine="0" w:left="0"/>
        <w:jc w:val="center"/>
      </w:pPr>
      <w:r>
        <w:rPr>
          <w:rFonts w:ascii="Times New Roman" w:hAnsi="Times New Roman" w:eastAsia="Times New Roman" w:cs="Times New Roman"/>
          <w:b w:val="0"/>
          <w:i w:val="0"/>
          <w:color w:val="000000"/>
          <w:sz w:val="24"/>
        </w:rPr>
        <w:t>October 23, 2026</w:t>
      </w:r>
    </w:p>
    <w:p>
      <w:pPr>
        <w:spacing w:after="0" w:line="240" w:lineRule="auto"/>
      </w:pPr>
      <w:r>
        <w:br w:type="page"/>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Advanced Shell Simulation with Integrated OS Concepts</w:t>
        <w:br/>
        <w:t>Deliverable 1 Basic Shell Implementation and Process Management</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Building this shell made process management easier for me to reason about because every command exposed an operating-system decision. A foreground program needs terminal access, a stopped program needs a state that survives the return of the prompt, and an exited child still needs its status collected. I implemented these behaviors in a C++17 shell and verified them through file operations, external programs, and interactive signal tests. The central result is a working Deliverable 1 implementation with 12 required utility built-ins and the three job-control commands jobs, fg, and bg.</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I used the POSIX specifications to examine the relationship between process creation, program replacement, and terminal control. The resulting shell owns its parser, built-ins, job table, launch ordering, and status handling. The host kernel still supplies actual processes, filesystem access, and CPU scheduling. This distinction matters: the project demonstrates shell-level control of OS mechanisms; it does not claim to replace the kernel or implement the scheduling, memory, synchronization, and security simulations reserved for subsequent deliverables.</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Design and Operating System Concepts</w:t>
      </w:r>
    </w:p>
    <w:p>
      <w:pPr>
        <w:pStyle w:val="Heading2"/>
        <w:keepNext/>
        <w:widowControl/>
        <w:spacing w:before="0" w:after="0" w:line="480" w:lineRule="auto"/>
        <w:ind w:firstLine="0" w:left="0"/>
        <w:jc w:val="left"/>
      </w:pPr>
      <w:r>
        <w:rPr>
          <w:rFonts w:ascii="Times New Roman" w:hAnsi="Times New Roman" w:eastAsia="Times New Roman" w:cs="Times New Roman"/>
          <w:b/>
          <w:i w:val="0"/>
          <w:color w:val="000000"/>
          <w:sz w:val="24"/>
        </w:rPr>
        <w:t>Commands and Shell State</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command parser recognizes whitespace, single and double quotes, escaped characters, and a final unquoted ampersand. Ordinary backslashes inside double quotes remain literal. It rejects unmatched quotes, unfinished escapes, embedded NUL bytes, and unsupported operators before dispatch. CommandParser handles syntax, Shell coordinates execution, and Job stores an ID, PID, process-group ID, original command, status, and any saved terminal settings. Appendix B maps all 15 commands to their behavior and verification evidence.</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cd command gave me a useful way to test process boundaries. A foreground cd must run in the parent so its directory change persists for the next prompt. A background cd runs in a child and leaves the parent's directory unchanged. Other built-ins can also run with an ampersand in a child; fg and bg reject that syntax because they must control the parent shell's jobs. In batch mode, background jobs read from /dev/null so they cannot consume the remaining shell commands.</w:t>
      </w:r>
    </w:p>
    <w:p>
      <w:pPr>
        <w:pStyle w:val="Heading2"/>
        <w:keepNext/>
        <w:widowControl/>
        <w:spacing w:before="0" w:after="0" w:line="480" w:lineRule="auto"/>
        <w:ind w:firstLine="0" w:left="0"/>
        <w:jc w:val="left"/>
      </w:pPr>
      <w:r>
        <w:rPr>
          <w:rFonts w:ascii="Times New Roman" w:hAnsi="Times New Roman" w:eastAsia="Times New Roman" w:cs="Times New Roman"/>
          <w:b/>
          <w:i w:val="0"/>
          <w:color w:val="000000"/>
          <w:sz w:val="24"/>
        </w:rPr>
        <w:t>Process Creation and Terminal Ownership</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POSIX specifies that fork creates a child with a separate PID, whereas exec replaces the current process image (Institute of Electrical and Electronics Engineers [IEEE] &amp; The Open Group, 2024a, 2024b). That difference clarified the launch sequence for me: fork creates the child, and execvp turns that child into the requested program. An external command is therefore executed directly through an argument vector and PATH lookup. The shell does not pass every line to system() or hide its process-management logic inside another shell.</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parent and child establish a process group before program execution. A launch pipe holds the child until the parent has registered a background job or assigned the terminal to a foreground job. A second pipe, whose child endpoint closes on exec, acknowledges the launch transition before the shell accepts another command. These ordering steps address concrete races: a foreground reader could otherwise receive SIGTTIN before owning the terminal, or an immediate exit could overlap a child's program replacement.</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foreground group is assigned with tcsetpgrp, an interface explicitly defined for controlling-terminal ownership (IEEE &amp; The Open Group, 2018a). The shell then waits for status changes. After a stop or exit, it restores its own foreground group and terminal settings. The tests verify this with an actual terminal reader, so success requires both the right process group and usable input, rather than only a job-table label.</w:t>
      </w:r>
    </w:p>
    <w:p>
      <w:pPr>
        <w:pStyle w:val="Heading2"/>
        <w:keepNext/>
        <w:widowControl/>
        <w:spacing w:before="0" w:after="0" w:line="480" w:lineRule="auto"/>
        <w:ind w:firstLine="0" w:left="0"/>
        <w:jc w:val="left"/>
      </w:pPr>
      <w:r>
        <w:rPr>
          <w:rFonts w:ascii="Times New Roman" w:hAnsi="Times New Roman" w:eastAsia="Times New Roman" w:cs="Times New Roman"/>
          <w:b/>
          <w:i w:val="0"/>
          <w:color w:val="000000"/>
          <w:sz w:val="24"/>
        </w:rPr>
        <w:t>Job States and Signal Safety</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A job is recorded as Running, Stopped, or Done. These are shell-level summaries: Running means the job has not stopped or completed, and may include a process that the kernel currently puts to sleep. A Ctrl-Z stop retains the job and its terminal settings. bg sends SIGCONT to its group; fg restores terminal ownership and saved settings before continuing it. This ordering follows POSIX job-control requirements (IEEE &amp; The Open Group, 2024c). Figure A3 shows stopping, background continuation, and return to the foreground. Ctrl-C termination is checked separately by the integration tests.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SIGCHLD handler writes one byte to a nonblocking self-pipe and preserves errno. The normal input loop polls that pipe alongside standard input, then calls waitpid to update the job table. This avoids C++ stream output and container mutation inside a signal handler, consistent with POSIX signal-safety guidance (IEEE &amp; The Open Group, 2024d). A full pipe already provides a wakeup; the code therefore drains available child statuses rather than assuming one notification equals one child.</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waitpid reports completion, stops, and continuations, with WNOHANG allowing status checks without blocking (IEEE &amp; The Open Group, 2018b). The foreground wait path also collects other children's statuses so a background completion is not postponed until a long foreground command ends. At the prompt, the self-pipe wakes status collection even when the user types nothing. On shell exit, active groups receive SIGHUP and stopped groups also receive SIGCONT so they can respond to the hangup.</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Verification and Performance</w:t>
      </w:r>
    </w:p>
    <w:p>
      <w:pPr>
        <w:pStyle w:val="Heading2"/>
        <w:keepNext/>
        <w:widowControl/>
        <w:spacing w:before="0" w:after="0" w:line="480" w:lineRule="auto"/>
        <w:ind w:firstLine="0" w:left="0"/>
        <w:jc w:val="left"/>
      </w:pPr>
      <w:r>
        <w:rPr>
          <w:rFonts w:ascii="Times New Roman" w:hAnsi="Times New Roman" w:eastAsia="Times New Roman" w:cs="Times New Roman"/>
          <w:b/>
          <w:i w:val="0"/>
          <w:color w:val="000000"/>
          <w:sz w:val="24"/>
        </w:rPr>
        <w:t>Functional Evidence</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strict build enables C++17 and treats compiler warnings as errors. Parser assertions check argument grouping and invalid syntax. Twenty integration tests check filesystem operations, exit codes, signals, child cleanup, and job control. A pseudo-terminal supplies a real controlling terminal for the interactive tests. The same 20-test suite passes with AddressSanitizer and UndefinedBehaviorSanitizer enabled, and Clang static analysis reports no findings. These checks cover the exercised paths; they are not proof that every possible input is correct.</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expanded tests include an idle background completion, 12 successive foreground terminal readers, a reader stopped by SIGTTIN and resumed by fg, and a nested shell initially launched in the background. A dedicated test changes a job's echo setting before stopping it, then verifies that fg restores that setting. These cases distinguish execution correctness from superficial output correctness. Both PID tracking and terminal behavior must agree for a test to pass.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Appendix A provides six actual macOS Terminal screenshots. Figure A1 shows file operations, input mistakes, and recovery. Figure A2 checks a background PID and PGID with ps and terminates that process through kill. Figure A3 demonstrates fg and bg. Figure A4 shows invalid commands and inputs. Figures A5 and A6 show the screen before and after clear, a background built-in, and exit status 0. Separate automated PTY transcripts are supplemental records from earlier sessions; they are not transcriptions of these screenshots.</w:t>
      </w:r>
    </w:p>
    <w:p>
      <w:pPr>
        <w:pStyle w:val="Heading2"/>
        <w:keepNext/>
        <w:widowControl/>
        <w:spacing w:before="0" w:after="0" w:line="480" w:lineRule="auto"/>
        <w:ind w:firstLine="0" w:left="0"/>
        <w:jc w:val="left"/>
      </w:pPr>
      <w:r>
        <w:rPr>
          <w:rFonts w:ascii="Times New Roman" w:hAnsi="Times New Roman" w:eastAsia="Times New Roman" w:cs="Times New Roman"/>
          <w:b/>
          <w:i w:val="0"/>
          <w:color w:val="000000"/>
          <w:sz w:val="24"/>
        </w:rPr>
        <w:t>Performance Findings and Limits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I measured complete batch runs with the optimized executable on macOS 15.7.8, Apple Silicon, and Apple clang 17.0.0. Each workload ran nine times with output discarded. Table 1 reports the median and observed range, including shell startup. The benchmark script and all raw timings are included, allowing the comparison to be repeated instead of relying on an unrecorded timing claim.</w:t>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Table 1</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Elapsed Times for Repeated Shell Workloads</w:t>
      </w:r>
    </w:p>
    <w:tbl>
      <w:tblPr>
        <w:tblW w:type="auto" w:w="0"/>
        <w:jc w:val="center"/>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4032"/>
        <w:gridCol w:w="1152"/>
        <w:gridCol w:w="1728"/>
        <w:gridCol w:w="2448"/>
      </w:tblGrid>
      <w:tr>
        <w:trPr>
          <w:tblHeader/>
          <w:cantSplit/>
        </w:trPr>
        <w:tc>
          <w:tcPr>
            <w:tcW w:type="dxa" w:w="4032"/>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Workload</w:t>
            </w:r>
          </w:p>
        </w:tc>
        <w:tc>
          <w:tcPr>
            <w:tcW w:type="dxa" w:w="1152"/>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Count</w:t>
            </w:r>
          </w:p>
        </w:tc>
        <w:tc>
          <w:tcPr>
            <w:tcW w:type="dxa" w:w="1728"/>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Median ms</w:t>
            </w:r>
          </w:p>
        </w:tc>
        <w:tc>
          <w:tcPr>
            <w:tcW w:type="dxa" w:w="2448"/>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Range ms</w:t>
            </w:r>
          </w:p>
        </w:tc>
      </w:tr>
      <w:tr>
        <w:trPr>
          <w:cantSplit/>
        </w:trPr>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Startup and exit</w:t>
            </w:r>
          </w:p>
        </w:tc>
        <w:tc>
          <w:tcPr>
            <w:tcW w:type="dxa" w:w="115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0</w:t>
            </w:r>
          </w:p>
        </w:tc>
        <w:tc>
          <w:tcPr>
            <w:tcW w:type="dxa" w:w="1728"/>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2.58</w:t>
            </w:r>
          </w:p>
        </w:tc>
        <w:tc>
          <w:tcPr>
            <w:tcW w:type="dxa" w:w="2448"/>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2.25–5.09</w:t>
            </w:r>
          </w:p>
        </w:tc>
      </w:tr>
      <w:tr>
        <w:trPr>
          <w:cantSplit/>
        </w:trPr>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Built-in cd .</w:t>
            </w:r>
          </w:p>
        </w:tc>
        <w:tc>
          <w:tcPr>
            <w:tcW w:type="dxa" w:w="115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1,000</w:t>
            </w:r>
          </w:p>
        </w:tc>
        <w:tc>
          <w:tcPr>
            <w:tcW w:type="dxa" w:w="1728"/>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9.70</w:t>
            </w:r>
          </w:p>
        </w:tc>
        <w:tc>
          <w:tcPr>
            <w:tcW w:type="dxa" w:w="2448"/>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9.10–10.85</w:t>
            </w:r>
          </w:p>
        </w:tc>
      </w:tr>
      <w:tr>
        <w:trPr>
          <w:cantSplit/>
        </w:trPr>
        <w:tc>
          <w:tcPr>
            <w:tcW w:type="dxa" w:w="403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External /usr/bin/true</w:t>
            </w:r>
          </w:p>
        </w:tc>
        <w:tc>
          <w:tcPr>
            <w:tcW w:type="dxa" w:w="115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200</w:t>
            </w:r>
          </w:p>
        </w:tc>
        <w:tc>
          <w:tcPr>
            <w:tcW w:type="dxa" w:w="1728"/>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310.03</w:t>
            </w:r>
          </w:p>
        </w:tc>
        <w:tc>
          <w:tcPr>
            <w:tcW w:type="dxa" w:w="2448"/>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304.87–317.23</w:t>
            </w:r>
          </w:p>
        </w:tc>
      </w:tr>
    </w:tbl>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Each value summarizes nine runs. ms = milliseconds. Ranges show the minimum and maximum; they are not confidence intervals.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Subtracting the baseline median gives rough per-command estimates of 7.1 microseconds for cd and 1.54 milliseconds for the external program. I interpret the difference as the cost of taking the process-launch path, including pipes, fork, exec, waiting, and kernel scheduling. The experiment does not isolate any one system call. Subtracting medians is also an approximation, and the short built-in workload is especially sensitive to startup variation. These measurements support the design tradeoff without establishing a universal speed ratio or a Linux performance result.</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Error Handling and Design Revisions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Errors are reported with the command, target, and reason where available. Missing arguments and invalid PIDs fail before filesystem or signal operations. A failed exec exits the child with 127 for a missing executable or 126 for another launch error. Parsing errors return status 2; ordinary built-in failures return 1. An explicit exit status is honored, while exit without a status and end-of-input preserve the last command result. An error therefore remains observable to a caller as well as to someone reading the screen.</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Reviewing boundary cases exposed an output bug that ordinary demonstrations had missed. Streaming an empty file buffer into std::cout could mark the output stream as failed and suppress subsequent prompts or echo output. The revised cat copies bytes explicitly, accepts an empty file without changing output state, and rejects directory input. Its regression test requires successful output after both an empty file and a directory error. That turned a seemingly harmless empty input into a useful lesson about state carried across commands.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Filesystem tests also exposed a distinction between a directory and a link to one. rmdir now uses the OS directory-removal operation, which rejects a symlink, while rm checks the link itself and can unlink it without deleting its target. touch updates existing timestamps and creates missing files without truncating data. The tests preserve sample file contents, reject removal of nonempty directories, and verify that directory targets survive symlink removal.</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job-control review found two more timing problems. Ignoring SIGTTIN before checking foreground access could prevent a nested shell from stopping correctly during startup. Collecting child status only between input lines could leave an exited background process waiting indefinitely for another keystroke. The revised initialization order and self-pipe address those causes directly. Further regression tests caught a batch background reader consuming later commands and a quoted path losing a backslash. Isolating batch input and preserving literal quoted characters corrected those separate failures.</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Reflection and Future Improvements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moment that made the project click for me was watching one sleep process move from foreground execution to Stopped, resume under bg, and return through fg before Ctrl-C terminated it. The PID persisted across those transitions. That made a textbook process-state discussion tangible: stopping changes a live process's state, while terminating ends its execution. The shell's job table became a record of a lifecycle I could actually observe and control.</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Reading the POSIX job-control section helped explain why fg needs more than waitpid. Its behavior depends on the terminal's foreground group and on restoring a stopped program's terminal settings (IEEE &amp; The Open Group, 2024c). The terminal-mode test was especially satisfying because it verified something a normal sleep demonstration cannot show. A prompt and a PID looked sufficient at first, but input ownership and saved state explained why a shell can safely support interactive applications.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error cases changed what I consider a convincing demonstration. A successful cat of a nonempty file did not establish that cat was safe, and a jobs listing did not establish that exited children were collected while the prompt was idle. I found the project more interesting when the tests began challenging those assumptions. Each failure connected a visible symptom to a specific mechanism, which made the OS concepts feel less abstract and made the final design easier to defend.</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next engineering priority is to run this same suite on Linux; the source uses portable POSIX APIs, but the completed execution evidence is macOS-only. Pipelines would require a job to own multiple PIDs and aggregate their states, while preserving the existing process-group boundary. Redirection, full shell expansion, and editable history are further extensions. The later project deliverables can introduce simulated scheduling, memory management, synchronization, and security policies, with this shell serving as their command interface. Current commands operate on the real filesystem under the user's existing permissions; this deliverable is not a security sandbox.</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Conclusion</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The completed shell meets Deliverable 1 through implemented built-ins, direct external execution, foreground and background jobs, status tracking, and error feedback. The review strengthened the result by fixing failures involving empty files, symbolic links, idle status collection, and terminal ownership. My main learning outcome is a more precise understanding of how a shell coordinates kernel mechanisms: the process API creates opportunities for concurrency, and the shell must impose the ordering and state transitions that make those opportunities usable.</w:t>
      </w:r>
    </w:p>
    <w:p>
      <w:pPr>
        <w:spacing w:after="0" w:line="240" w:lineRule="auto"/>
      </w:pPr>
      <w:r>
        <w:br w:type="page"/>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References</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Institute of Electrical and Electronics Engineers &amp; The Open Group. (2018a). tcsetpgrp. In </w:t>
      </w:r>
      <w:r>
        <w:rPr>
          <w:rFonts w:ascii="Times New Roman" w:hAnsi="Times New Roman" w:eastAsia="Times New Roman" w:cs="Times New Roman"/>
          <w:b w:val="0"/>
          <w:i/>
          <w:color w:val="000000"/>
          <w:sz w:val="24"/>
        </w:rPr>
        <w:t>The Open Group base specifications issue 7, 2018 edition</w:t>
      </w:r>
      <w:r>
        <w:rPr>
          <w:rFonts w:ascii="Times New Roman" w:hAnsi="Times New Roman" w:eastAsia="Times New Roman" w:cs="Times New Roman"/>
          <w:b w:val="0"/>
          <w:i w:val="0"/>
          <w:color w:val="000000"/>
          <w:sz w:val="24"/>
        </w:rPr>
        <w:t>. https://pubs.opengroup.org/onlinepubs/9699919799/functions/tcsetpgrp.html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Institute of Electrical and Electronics Engineers &amp; The Open Group. (2018b). wait. In </w:t>
      </w:r>
      <w:r>
        <w:rPr>
          <w:rFonts w:ascii="Times New Roman" w:hAnsi="Times New Roman" w:eastAsia="Times New Roman" w:cs="Times New Roman"/>
          <w:b w:val="0"/>
          <w:i/>
          <w:color w:val="000000"/>
          <w:sz w:val="24"/>
        </w:rPr>
        <w:t>The Open Group base specifications issue 7, 2018 edition</w:t>
      </w:r>
      <w:r>
        <w:rPr>
          <w:rFonts w:ascii="Times New Roman" w:hAnsi="Times New Roman" w:eastAsia="Times New Roman" w:cs="Times New Roman"/>
          <w:b w:val="0"/>
          <w:i w:val="0"/>
          <w:color w:val="000000"/>
          <w:sz w:val="24"/>
        </w:rPr>
        <w:t>. https://pubs.opengroup.org/onlinepubs/9699919799/functions/wait.html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Institute of Electrical and Electronics Engineers &amp; The Open Group. (2024a). exec. In </w:t>
      </w:r>
      <w:r>
        <w:rPr>
          <w:rFonts w:ascii="Times New Roman" w:hAnsi="Times New Roman" w:eastAsia="Times New Roman" w:cs="Times New Roman"/>
          <w:b w:val="0"/>
          <w:i/>
          <w:color w:val="000000"/>
          <w:sz w:val="24"/>
        </w:rPr>
        <w:t>The Open Group base specifications issue 8</w:t>
      </w:r>
      <w:r>
        <w:rPr>
          <w:rFonts w:ascii="Times New Roman" w:hAnsi="Times New Roman" w:eastAsia="Times New Roman" w:cs="Times New Roman"/>
          <w:b w:val="0"/>
          <w:i w:val="0"/>
          <w:color w:val="000000"/>
          <w:sz w:val="24"/>
        </w:rPr>
        <w:t>. https://pubs.opengroup.org/onlinepubs/9799919799/functions/exec.html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Institute of Electrical and Electronics Engineers &amp; The Open Group. (2024b). fork. In </w:t>
      </w:r>
      <w:r>
        <w:rPr>
          <w:rFonts w:ascii="Times New Roman" w:hAnsi="Times New Roman" w:eastAsia="Times New Roman" w:cs="Times New Roman"/>
          <w:b w:val="0"/>
          <w:i/>
          <w:color w:val="000000"/>
          <w:sz w:val="24"/>
        </w:rPr>
        <w:t>The Open Group base specifications issue 8</w:t>
      </w:r>
      <w:r>
        <w:rPr>
          <w:rFonts w:ascii="Times New Roman" w:hAnsi="Times New Roman" w:eastAsia="Times New Roman" w:cs="Times New Roman"/>
          <w:b w:val="0"/>
          <w:i w:val="0"/>
          <w:color w:val="000000"/>
          <w:sz w:val="24"/>
        </w:rPr>
        <w:t>. https://pubs.opengroup.org/onlinepubs/9799919799/functions/fork.html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Institute of Electrical and Electronics Engineers &amp; The Open Group. (2024c). Shell command language. In </w:t>
      </w:r>
      <w:r>
        <w:rPr>
          <w:rFonts w:ascii="Times New Roman" w:hAnsi="Times New Roman" w:eastAsia="Times New Roman" w:cs="Times New Roman"/>
          <w:b w:val="0"/>
          <w:i/>
          <w:color w:val="000000"/>
          <w:sz w:val="24"/>
        </w:rPr>
        <w:t>The Open Group base specifications issue 8</w:t>
      </w:r>
      <w:r>
        <w:rPr>
          <w:rFonts w:ascii="Times New Roman" w:hAnsi="Times New Roman" w:eastAsia="Times New Roman" w:cs="Times New Roman"/>
          <w:b w:val="0"/>
          <w:i w:val="0"/>
          <w:color w:val="000000"/>
          <w:sz w:val="24"/>
        </w:rPr>
        <w:t>. https://pubs.opengroup.org/onlinepubs/9799919799/utilities/V3_chap02.html</w:t>
      </w:r>
    </w:p>
    <w:p>
      <w:pPr>
        <w:keepNext w:val="0"/>
        <w:widowControl/>
        <w:spacing w:before="0" w:after="0" w:line="480" w:lineRule="auto"/>
        <w:ind w:left="720" w:hanging="72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t xml:space="preserve">Institute of Electrical and Electronics Engineers &amp; The Open Group. (2024d). sigaction. In </w:t>
      </w:r>
      <w:r>
        <w:rPr>
          <w:rFonts w:ascii="Times New Roman" w:hAnsi="Times New Roman" w:eastAsia="Times New Roman" w:cs="Times New Roman"/>
          <w:b w:val="0"/>
          <w:i/>
          <w:color w:val="000000"/>
          <w:sz w:val="24"/>
        </w:rPr>
        <w:t>The Open Group base specifications issue 8</w:t>
      </w:r>
      <w:r>
        <w:rPr>
          <w:rFonts w:ascii="Times New Roman" w:hAnsi="Times New Roman" w:eastAsia="Times New Roman" w:cs="Times New Roman"/>
          <w:b w:val="0"/>
          <w:i w:val="0"/>
          <w:color w:val="000000"/>
          <w:sz w:val="24"/>
        </w:rPr>
        <w:t>. https://pubs.opengroup.org/onlinepubs/9799919799/functions/sigaction.html</w:t>
      </w:r>
    </w:p>
    <w:p>
      <w:pPr>
        <w:spacing w:after="0" w:line="240" w:lineRule="auto"/>
      </w:pPr>
      <w:r>
        <w:br w:type="page"/>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Appendix A</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Demonstration Evidence</w:t>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Figure A1</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File and Directory Built-ins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4188017"/>
            <wp:docPr id="1" name="Picture 1" descr="Actual Terminal screenshot showing directory changes, sample-file output, and cleanup. The filename notes.txtls explains the failed cat attempts; the user then removes that file and directory. Empty-file cat behavior is verified by regression tests."/>
            <wp:cNvGraphicFramePr>
              <a:graphicFrameLocks noChangeAspect="1"/>
            </wp:cNvGraphicFramePr>
            <a:graphic>
              <a:graphicData uri="http://schemas.openxmlformats.org/drawingml/2006/picture">
                <pic:pic>
                  <pic:nvPicPr>
                    <pic:cNvPr id="0" name="01_builtins.png"/>
                    <pic:cNvPicPr/>
                  </pic:nvPicPr>
                  <pic:blipFill>
                    <a:blip r:embed="rId10"/>
                    <a:stretch>
                      <a:fillRect/>
                    </a:stretch>
                  </pic:blipFill>
                  <pic:spPr>
                    <a:xfrm>
                      <a:off x="0" y="0"/>
                      <a:ext cx="5943600" cy="4188017"/>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Actual Terminal screenshot showing directory changes, sample-file output, and cleanup. The filename notes.txtls explains the failed cat attempts; the user then removes that file and directory. Empty-file cat behavior is verified by regression tests.</w:t>
      </w:r>
    </w:p>
    <w:p>
      <w:pPr>
        <w:spacing w:after="0" w:line="240" w:lineRule="auto"/>
      </w:pPr>
      <w:r>
        <w:br w:type="page"/>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Figure A2</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Background Process Creation and Termination</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850190"/>
            <wp:docPr id="2" name="Picture 2" descr="sleep runs asynchronously. jobs displays its shell state and group ID; ps independently confirms the PID and PGID. The built-in kill sends SIGTERM, and the completed child is reported as Done. PID = process ID; PGID = process-group ID."/>
            <wp:cNvGraphicFramePr>
              <a:graphicFrameLocks noChangeAspect="1"/>
            </wp:cNvGraphicFramePr>
            <a:graphic>
              <a:graphicData uri="http://schemas.openxmlformats.org/drawingml/2006/picture">
                <pic:pic>
                  <pic:nvPicPr>
                    <pic:cNvPr id="0" name="02_background_and_kill.png"/>
                    <pic:cNvPicPr/>
                  </pic:nvPicPr>
                  <pic:blipFill>
                    <a:blip r:embed="rId11"/>
                    <a:stretch>
                      <a:fillRect/>
                    </a:stretch>
                  </pic:blipFill>
                  <pic:spPr>
                    <a:xfrm>
                      <a:off x="0" y="0"/>
                      <a:ext cx="5943600" cy="3850190"/>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sleep runs asynchronously. jobs displays its shell state and group ID; ps independently confirms the PID and PGID. The built-in kill sends SIGTERM, and the completed child is reported as Done. PID = process ID; PGID = process-group ID.</w:t>
      </w:r>
    </w:p>
    <w:p>
      <w:pPr>
        <w:spacing w:after="0" w:line="240" w:lineRule="auto"/>
      </w:pPr>
      <w:r>
        <w:br w:type="page"/>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Figure A3</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Stop Resume and Foreground Terminal Control</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817181"/>
            <wp:docPr id="3" name="Picture 3" descr="Ctrl-Z stops the process, bg resumes its group, and fg returns it to the foreground. A second stop and fg are visible before the prompt returns. This screenshot does not establish Ctrl-C termination; that behavior is verified by the integration tests."/>
            <wp:cNvGraphicFramePr>
              <a:graphicFrameLocks noChangeAspect="1"/>
            </wp:cNvGraphicFramePr>
            <a:graphic>
              <a:graphicData uri="http://schemas.openxmlformats.org/drawingml/2006/picture">
                <pic:pic>
                  <pic:nvPicPr>
                    <pic:cNvPr id="0" name="03_fg_bg_signals.png"/>
                    <pic:cNvPicPr/>
                  </pic:nvPicPr>
                  <pic:blipFill>
                    <a:blip r:embed="rId12"/>
                    <a:stretch>
                      <a:fillRect/>
                    </a:stretch>
                  </pic:blipFill>
                  <pic:spPr>
                    <a:xfrm>
                      <a:off x="0" y="0"/>
                      <a:ext cx="5943600" cy="3817181"/>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Ctrl-Z stops the process, bg resumes its group, and fg returns it to the foreground. A second stop and fg are visible before the prompt returns. This screenshot does not establish Ctrl-C termination; that behavior is verified by the integration tests.</w:t>
      </w:r>
    </w:p>
    <w:p>
      <w:pPr>
        <w:spacing w:after="0" w:line="240" w:lineRule="auto"/>
      </w:pPr>
      <w:r>
        <w:br w:type="page"/>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Figure A4</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Invalid Commands and Input Errors</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850190"/>
            <wp:docPr id="4" name="Picture 4" descr="The session shows a missing command and file, an invalid directory and PID, unmatched quotes, an unsupported pipe, a missing argument, and an unknown job ID. Each error returns control to the prompt."/>
            <wp:cNvGraphicFramePr>
              <a:graphicFrameLocks noChangeAspect="1"/>
            </wp:cNvGraphicFramePr>
            <a:graphic>
              <a:graphicData uri="http://schemas.openxmlformats.org/drawingml/2006/picture">
                <pic:pic>
                  <pic:nvPicPr>
                    <pic:cNvPr id="0" name="04_error_handling.png"/>
                    <pic:cNvPicPr/>
                  </pic:nvPicPr>
                  <pic:blipFill>
                    <a:blip r:embed="rId13"/>
                    <a:stretch>
                      <a:fillRect/>
                    </a:stretch>
                  </pic:blipFill>
                  <pic:spPr>
                    <a:xfrm>
                      <a:off x="0" y="0"/>
                      <a:ext cx="5943600" cy="3850190"/>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The session shows a missing command and file, an invalid directory and PID, unmatched quotes, an unsupported pipe, a missing argument, and an unknown job ID. Each error returns control to the prompt.</w:t>
      </w:r>
    </w:p>
    <w:p>
      <w:pPr>
        <w:spacing w:after="0" w:line="240" w:lineRule="auto"/>
      </w:pPr>
      <w:r>
        <w:br w:type="page"/>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Figure A5</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Terminal Before Clear</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895893"/>
            <wp:docPr id="5" name="Picture 5" descr="The Terminal window retains earlier output, an echo result, and clear typed at the prompt before execution. Figure A6 shows the subsequent screen. The exact ANSI clear sequence is also checked by an integration test."/>
            <wp:cNvGraphicFramePr>
              <a:graphicFrameLocks noChangeAspect="1"/>
            </wp:cNvGraphicFramePr>
            <a:graphic>
              <a:graphicData uri="http://schemas.openxmlformats.org/drawingml/2006/picture">
                <pic:pic>
                  <pic:nvPicPr>
                    <pic:cNvPr id="0" name="05_clear_before.png"/>
                    <pic:cNvPicPr/>
                  </pic:nvPicPr>
                  <pic:blipFill>
                    <a:blip r:embed="rId14"/>
                    <a:stretch>
                      <a:fillRect/>
                    </a:stretch>
                  </pic:blipFill>
                  <pic:spPr>
                    <a:xfrm>
                      <a:off x="0" y="0"/>
                      <a:ext cx="5943600" cy="3895893"/>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The Terminal window retains earlier output, an echo result, and clear typed at the prompt before execution. Figure A6 shows the subsequent screen. The exact ANSI clear sequence is also checked by an integration test.</w:t>
      </w:r>
    </w:p>
    <w:p>
      <w:pPr>
        <w:spacing w:after="0" w:line="240" w:lineRule="auto"/>
      </w:pPr>
      <w:r>
        <w:br w:type="page"/>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Figure A6</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Terminal After Clear and Successful Shell Exit</w:t>
      </w:r>
    </w:p>
    <w:p>
      <w:pPr>
        <w:keepNext/>
        <w:widowControl/>
        <w:spacing w:before="0" w:after="0" w:line="240" w:lineRule="auto"/>
        <w:ind w:firstLine="0" w:left="0"/>
        <w:jc w:val="left"/>
      </w:pPr>
      <w:r>
        <w:rPr>
          <w:rFonts w:ascii="Times New Roman" w:hAnsi="Times New Roman" w:eastAsia="Times New Roman" w:cs="Times New Roman"/>
          <w:b w:val="0"/>
          <w:i w:val="0"/>
          <w:color w:val="000000"/>
          <w:sz w:val="24"/>
        </w:rPr>
      </w:r>
      <w:r>
        <w:drawing>
          <wp:inline xmlns:a="http://schemas.openxmlformats.org/drawingml/2006/main" xmlns:pic="http://schemas.openxmlformats.org/drawingml/2006/picture">
            <wp:extent cx="5943600" cy="3861247"/>
            <wp:docPr id="6" name="Picture 6" descr="Earlier output is absent after clear. The session shows echo output, background built-in completion, and exit 0. The parent zsh reports Shell exit status: 0, confirming the custom shell returned successfully."/>
            <wp:cNvGraphicFramePr>
              <a:graphicFrameLocks noChangeAspect="1"/>
            </wp:cNvGraphicFramePr>
            <a:graphic>
              <a:graphicData uri="http://schemas.openxmlformats.org/drawingml/2006/picture">
                <pic:pic>
                  <pic:nvPicPr>
                    <pic:cNvPr id="0" name="06_clear_and_exit.png"/>
                    <pic:cNvPicPr/>
                  </pic:nvPicPr>
                  <pic:blipFill>
                    <a:blip r:embed="rId15"/>
                    <a:stretch>
                      <a:fillRect/>
                    </a:stretch>
                  </pic:blipFill>
                  <pic:spPr>
                    <a:xfrm>
                      <a:off x="0" y="0"/>
                      <a:ext cx="5943600" cy="3861247"/>
                    </a:xfrm>
                    <a:prstGeom prst="rect"/>
                  </pic:spPr>
                </pic:pic>
              </a:graphicData>
            </a:graphic>
          </wp:inline>
        </w:drawing>
      </w:r>
    </w:p>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Earlier output is absent after clear. The session shows echo output, background built-in completion, and exit 0. The parent zsh reports Shell exit status: 0, confirming the custom shell returned successfully.</w:t>
      </w:r>
    </w:p>
    <w:p>
      <w:pPr>
        <w:spacing w:after="0" w:line="240" w:lineRule="auto"/>
      </w:pPr>
      <w:r>
        <w:br w:type="page"/>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Appendix B</w:t>
      </w:r>
    </w:p>
    <w:p>
      <w:pPr>
        <w:pStyle w:val="Heading1"/>
        <w:keepNext/>
        <w:widowControl/>
        <w:spacing w:before="0" w:after="0" w:line="480" w:lineRule="auto"/>
        <w:ind w:firstLine="0" w:left="0"/>
        <w:jc w:val="center"/>
      </w:pPr>
      <w:r>
        <w:rPr>
          <w:rFonts w:ascii="Times New Roman" w:hAnsi="Times New Roman" w:eastAsia="Times New Roman" w:cs="Times New Roman"/>
          <w:b/>
          <w:i w:val="0"/>
          <w:color w:val="000000"/>
          <w:sz w:val="24"/>
        </w:rPr>
        <w:t>Command Coverage and Submission Contents</w:t>
      </w:r>
    </w:p>
    <w:p>
      <w:pPr>
        <w:keepNext w:val="0"/>
        <w:widowControl/>
        <w:spacing w:before="0" w:after="0" w:line="480" w:lineRule="auto"/>
        <w:ind w:firstLine="720" w:left="0"/>
        <w:jc w:val="left"/>
      </w:pPr>
      <w:r>
        <w:rPr>
          <w:rFonts w:ascii="Times New Roman" w:hAnsi="Times New Roman" w:eastAsia="Times New Roman" w:cs="Times New Roman"/>
          <w:b w:val="0"/>
          <w:i w:val="0"/>
          <w:color w:val="000000"/>
          <w:sz w:val="24"/>
        </w:rPr>
        <w:t>Table B1 maps every required command to implementation behavior and direct verification. The source, Makefile, tests, README, benchmark data, native screenshots, and supplemental PTY transcripts accompany this report. Build with make, run ./build/os-shell, and verify with make test. The project repository is https://github.com/sdhamania/Advanced_OS_Residency_Deliverable1.</w:t>
      </w:r>
    </w:p>
    <w:p>
      <w:pPr>
        <w:keepNext/>
        <w:widowControl/>
        <w:spacing w:before="0" w:after="0" w:line="480" w:lineRule="auto"/>
        <w:ind w:firstLine="0" w:left="0"/>
        <w:jc w:val="left"/>
      </w:pPr>
      <w:r>
        <w:rPr>
          <w:rFonts w:ascii="Times New Roman" w:hAnsi="Times New Roman" w:eastAsia="Times New Roman" w:cs="Times New Roman"/>
          <w:b/>
          <w:i w:val="0"/>
          <w:color w:val="000000"/>
          <w:sz w:val="24"/>
        </w:rPr>
        <w:t>Table B1</w:t>
      </w:r>
    </w:p>
    <w:p>
      <w:pPr>
        <w:keepNext/>
        <w:widowControl/>
        <w:spacing w:before="0" w:after="0" w:line="480" w:lineRule="auto"/>
        <w:ind w:firstLine="0" w:left="0"/>
        <w:jc w:val="left"/>
      </w:pPr>
      <w:r>
        <w:rPr>
          <w:rFonts w:ascii="Times New Roman" w:hAnsi="Times New Roman" w:eastAsia="Times New Roman" w:cs="Times New Roman"/>
          <w:b w:val="0"/>
          <w:i/>
          <w:color w:val="000000"/>
          <w:sz w:val="24"/>
        </w:rPr>
        <w:t>Required Command Coverage</w:t>
      </w:r>
    </w:p>
    <w:tbl>
      <w:tblPr>
        <w:tblW w:type="auto" w:w="0"/>
        <w:jc w:val="center"/>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1872"/>
        <w:gridCol w:w="5256"/>
        <w:gridCol w:w="2232"/>
      </w:tblGrid>
      <w:tr>
        <w:trPr>
          <w:tblHeader/>
          <w:cantSplit/>
        </w:trPr>
        <w:tc>
          <w:tcPr>
            <w:tcW w:type="dxa" w:w="1872"/>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Command</w:t>
            </w:r>
          </w:p>
        </w:tc>
        <w:tc>
          <w:tcPr>
            <w:tcW w:type="dxa" w:w="5256"/>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Implemented behavior</w:t>
            </w:r>
          </w:p>
        </w:tc>
        <w:tc>
          <w:tcPr>
            <w:tcW w:type="dxa" w:w="2232"/>
            <w:vAlign w:val="center"/>
            <w:tcMar>
              <w:top w:w="65" w:type="dxa"/>
              <w:bottom w:w="65" w:type="dxa"/>
              <w:left w:w="95" w:type="dxa"/>
              <w:right w:w="95" w:type="dxa"/>
            </w:tcMar>
            <w:tcBorders>
              <w:bottom w:val="single" w:sz="6" w:color="000000"/>
            </w:tcBorders>
          </w:tcPr>
          <w:p>
            <w:pPr>
              <w:spacing w:after="0" w:line="240" w:lineRule="auto"/>
              <w:ind w:firstLine="0"/>
              <w:jc w:val="center"/>
            </w:pPr>
            <w:r>
              <w:rPr>
                <w:rFonts w:ascii="Times New Roman" w:hAnsi="Times New Roman" w:eastAsia="Times New Roman" w:cs="Times New Roman"/>
                <w:b/>
                <w:i w:val="0"/>
                <w:color w:val="000000"/>
                <w:sz w:val="24"/>
              </w:rPr>
              <w:t>Evidence</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cd [directory]</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Changes parent cwd; no argument uses HOME.</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integration tests</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pwd</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Prints current directory.</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exit [status]</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Exits shell; validates optional status.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A6; exit tests</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echo [text]</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Prints parsed arguments.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A6</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clear</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Emits ANSI clear and cursor-home codes.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A5–A6; byte test</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ls [path]</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Lists sorted nonhidden entries.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cat file...</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Copies bytes; handles empty files and read errors.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regression tests</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mkdir directory...</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Creates directories; reports failures.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A4</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rmdir directory...</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Removes empty directories; rejects symlinks.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link tests</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rm file...</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Removes files or links; refuses directories.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link tests</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touch file...</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Creates missing files; updates timestamps.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A1; timestamp test</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kill pid</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Sends SIGTERM to a validated positive PID.</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A2; A4</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jobs</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Lists tracked running, stopped, and done jobs.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A2; A3</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fg [job_id]</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Restores terminal ownership and resumes/waits.</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A3; terminal tests</w:t>
            </w:r>
          </w:p>
        </w:tc>
      </w:tr>
      <w:tr>
        <w:trPr>
          <w:cantSplit/>
        </w:trPr>
        <w:tc>
          <w:tcPr>
            <w:tcW w:type="dxa" w:w="1872"/>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bg [job_id]</w:t>
            </w:r>
          </w:p>
        </w:tc>
        <w:tc>
          <w:tcPr>
            <w:tcW w:type="dxa" w:w="5256"/>
            <w:vAlign w:val="center"/>
            <w:tcMar>
              <w:top w:w="65" w:type="dxa"/>
              <w:bottom w:w="65" w:type="dxa"/>
              <w:left w:w="95" w:type="dxa"/>
              <w:right w:w="95" w:type="dxa"/>
            </w:tcMar>
          </w:tcPr>
          <w:p>
            <w:pPr>
              <w:spacing w:after="0" w:line="240" w:lineRule="auto"/>
              <w:ind w:firstLine="0"/>
              <w:jc w:val="left"/>
            </w:pPr>
            <w:r>
              <w:rPr>
                <w:rFonts w:ascii="Times New Roman" w:hAnsi="Times New Roman" w:eastAsia="Times New Roman" w:cs="Times New Roman"/>
                <w:b w:val="0"/>
                <w:i w:val="0"/>
                <w:color w:val="000000"/>
                <w:sz w:val="24"/>
              </w:rPr>
              <w:t>Resumes the stopped group asynchronously.</w:t>
            </w:r>
          </w:p>
        </w:tc>
        <w:tc>
          <w:tcPr>
            <w:tcW w:type="dxa" w:w="2232"/>
            <w:vAlign w:val="center"/>
            <w:tcMar>
              <w:top w:w="65" w:type="dxa"/>
              <w:bottom w:w="65" w:type="dxa"/>
              <w:left w:w="95" w:type="dxa"/>
              <w:right w:w="95" w:type="dxa"/>
            </w:tcMar>
          </w:tcPr>
          <w:p>
            <w:pPr>
              <w:spacing w:after="0" w:line="240" w:lineRule="auto"/>
              <w:ind w:firstLine="0"/>
              <w:jc w:val="center"/>
            </w:pPr>
            <w:r>
              <w:rPr>
                <w:rFonts w:ascii="Times New Roman" w:hAnsi="Times New Roman" w:eastAsia="Times New Roman" w:cs="Times New Roman"/>
                <w:b w:val="0"/>
                <w:i w:val="0"/>
                <w:color w:val="000000"/>
                <w:sz w:val="24"/>
              </w:rPr>
              <w:t>A3</w:t>
            </w:r>
          </w:p>
        </w:tc>
      </w:tr>
    </w:tbl>
    <w:p>
      <w:pPr>
        <w:keepNext w:val="0"/>
        <w:widowControl/>
        <w:spacing w:before="0" w:after="0" w:line="480" w:lineRule="auto"/>
        <w:ind w:firstLine="0" w:left="0"/>
        <w:jc w:val="left"/>
      </w:pPr>
      <w:r>
        <w:rPr>
          <w:rFonts w:ascii="Times New Roman" w:hAnsi="Times New Roman" w:eastAsia="Times New Roman" w:cs="Times New Roman"/>
          <w:b w:val="0"/>
          <w:i w:val="0"/>
          <w:color w:val="000000"/>
          <w:sz w:val="24"/>
        </w:rPr>
      </w:r>
      <w:r>
        <w:rPr>
          <w:rFonts w:ascii="Times New Roman" w:hAnsi="Times New Roman" w:eastAsia="Times New Roman" w:cs="Times New Roman"/>
          <w:b w:val="0"/>
          <w:i/>
          <w:color w:val="000000"/>
          <w:sz w:val="24"/>
        </w:rPr>
        <w:t xml:space="preserve">Note. </w:t>
      </w:r>
      <w:r>
        <w:rPr>
          <w:rFonts w:ascii="Times New Roman" w:hAnsi="Times New Roman" w:eastAsia="Times New Roman" w:cs="Times New Roman"/>
          <w:b w:val="0"/>
          <w:i w:val="0"/>
          <w:color w:val="000000"/>
          <w:sz w:val="24"/>
        </w:rPr>
        <w:t>A1–A6 refer to Figures A1–A6. cwd = current working directory. Both numeric job IDs and percent-prefixed IDs are accepted. With no ID, fg and bg use the most recent active job.</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val="0"/>
        <w:i w:val="0"/>
        <w:color w:val="000000"/>
        <w:sz w:val="24"/>
      </w:rPr>
    </w:r>
    <w:fldSimple w:instr="PAGE">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480" w:lineRule="auto" w:before="0"/>
      <w:contextualSpacing/>
    </w:pPr>
    <w:rPr>
      <w:rFonts w:asciiTheme="majorHAnsi" w:eastAsiaTheme="majorEastAsia" w:hAnsiTheme="majorHAnsi" w:cstheme="majorBidi" w:ascii="Times New Roman" w:hAnsi="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before="0" w:after="0"/>
    </w:pPr>
    <w:rPr>
      <w:rFonts w:ascii="Times New Roman" w:hAnsi="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Shell Simulation with Integrated OS Concepts</dc:title>
  <dc:subject>Deliverable 1 Basic Shell Implementation and Process Management</dc:subject>
  <dc:creator>Shobhit Dhamania</dc:creator>
  <cp:keywords/>
  <dc:description>generated by python-docx</dc:description>
  <cp:lastModifiedBy/>
  <cp:revision>1</cp:revision>
  <dcterms:created xsi:type="dcterms:W3CDTF">2013-12-23T23:15:00Z</dcterms:created>
  <dcterms:modified xsi:type="dcterms:W3CDTF">2013-12-23T23:15:00Z</dcterms:modified>
  <cp:category/>
</cp:coreProperties>
</file>