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before="1440" w:after="0" w:line="480" w:lineRule="auto"/>
        <w:ind w:firstLine="0" w:left="0"/>
        <w:jc w:val="center"/>
      </w:pPr>
      <w:r>
        <w:rPr>
          <w:rFonts w:ascii="Times New Roman" w:hAnsi="Times New Roman" w:eastAsia="Times New Roman" w:cs="Times New Roman"/>
          <w:b/>
          <w:i w:val="0"/>
          <w:color w:val="000000"/>
          <w:sz w:val="24"/>
        </w:rPr>
        <w:t>Advanced Shell Simulation with Integrated OS Concepts</w:t>
        <w:br/>
        <w:t>Deliverable 4 Integration and Security Implementation</w:t>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Shobhit Dhamania</w:t>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University of the Cumberlands</w:t>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MSCS-630-M20: Advanced Operating Systems</w:t>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Sean Perryman</w:t>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October 25, 2026</w:t>
      </w:r>
    </w:p>
    <w:p>
      <w:pPr>
        <w:spacing w:after="0" w:line="240" w:lineRule="auto"/>
      </w:pPr>
      <w:r>
        <w:br w:type="page"/>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Advanced Shell Simulation with Integrated OS Concepts</w:t>
        <w:br/>
        <w:t>Deliverable 4 Integration and Security Implementation</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Deliverable 4 combines the earlier shell components with command pipelines, authenticated sessions, and simulated file authorization. My main design decision was to keep the existing module interfaces and add checks where commands enter the execution path. This allows a pipeline such as cat shared/events.txt | grep error | sort to coexist with Round Robin scheduling, priority scheduling, paging, and the producer-consumer demonstration in one shell. The completed implementation passes 70 integration tests and the parser and scheduler unit suites on macOS.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most useful insight came from considering what a pipe changes about security. A file-reading command at the beginning of a pipeline still needs authorization, even though the final command only sees a stream. Checking every stage before creating any child prevents an unauthorized stage from being launched after an earlier stage has already started. That observation helped connect process creation, descriptor ownership, and access control into one design.</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Integration Through Existing Interfaces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D1 shell remains responsible for parsing, built-ins, process groups, terminal ownership, and jobs. D2 retains Scheduler::command, including its configurable Round Robin quantum and priority heap with preemption at simulated arrival events. D3 retains PagingMemory::command and synchronizationCommand, including FIFO/LRU demand paging and real producer-consumer worker processes. Seven files containing those modules, their public interfaces, and the Job model are byte-identical to D3; evidence/preserved_modules.json records their SHA-256 hashes.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parser now attaches a vector of argument vectors to ParsedCommand for a pipeline. Security::authorize checks the entire command or every pipeline stage. A standalone foreground built-in then runs in the parent, preserving its state. Other commands use the existing launcher. For a pipeline, its child becomes a coordinator that calls executePipeline with a stage callback; the callback dispatches a built-in or executes an external binary. The new executor therefore does not need to know how scheduling or paging works.</w:t>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Table 1</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Responsibilities and State Boundaries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728"/>
        <w:gridCol w:w="2592"/>
        <w:gridCol w:w="5040"/>
      </w:tblGrid>
      <w:tr>
        <w:trPr>
          <w:tblHeader/>
          <w:cantSplit/>
        </w:trPr>
        <w:tc>
          <w:tcPr>
            <w:tcW w:type="dxa" w:w="1728"/>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Component</w:t>
            </w:r>
          </w:p>
        </w:tc>
        <w:tc>
          <w:tcPr>
            <w:tcW w:type="dxa" w:w="2592"/>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Interface</w:t>
            </w:r>
          </w:p>
        </w:tc>
        <w:tc>
          <w:tcPr>
            <w:tcW w:type="dxa" w:w="5040"/>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Responsibility</w:t>
            </w:r>
          </w:p>
        </w:tc>
      </w:tr>
      <w:tr>
        <w:trPr>
          <w:cantSplit/>
        </w:trPr>
        <w:tc>
          <w:tcPr>
            <w:tcW w:type="dxa" w:w="1728"/>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D1 shell</w:t>
            </w:r>
          </w:p>
        </w:tc>
        <w:tc>
          <w:tcPr>
            <w:tcW w:type="dxa" w:w="259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run / launchExternal</w:t>
            </w:r>
          </w:p>
        </w:tc>
        <w:tc>
          <w:tcPr>
            <w:tcW w:type="dxa" w:w="5040"/>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Authentication entry, dispatch, process group and terminal control</w:t>
            </w:r>
          </w:p>
        </w:tc>
      </w:tr>
      <w:tr>
        <w:trPr>
          <w:cantSplit/>
        </w:trPr>
        <w:tc>
          <w:tcPr>
            <w:tcW w:type="dxa" w:w="1728"/>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D2 scheduler</w:t>
            </w:r>
          </w:p>
        </w:tc>
        <w:tc>
          <w:tcPr>
            <w:tcW w:type="dxa" w:w="259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Scheduler::command</w:t>
            </w:r>
          </w:p>
        </w:tc>
        <w:tc>
          <w:tcPr>
            <w:tcW w:type="dxa" w:w="5040"/>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Logical CPU schedule and per-job timing metrics</w:t>
            </w:r>
          </w:p>
        </w:tc>
      </w:tr>
      <w:tr>
        <w:trPr>
          <w:cantSplit/>
        </w:trPr>
        <w:tc>
          <w:tcPr>
            <w:tcW w:type="dxa" w:w="1728"/>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D3 paging</w:t>
            </w:r>
          </w:p>
        </w:tc>
        <w:tc>
          <w:tcPr>
            <w:tcW w:type="dxa" w:w="259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command(args)</w:t>
            </w:r>
          </w:p>
        </w:tc>
        <w:tc>
          <w:tcPr>
            <w:tcW w:type="dxa" w:w="5040"/>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Logical pages, frames, replacement and fault counters</w:t>
            </w:r>
          </w:p>
        </w:tc>
      </w:tr>
      <w:tr>
        <w:trPr>
          <w:cantSplit/>
        </w:trPr>
        <w:tc>
          <w:tcPr>
            <w:tcW w:type="dxa" w:w="1728"/>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D3 sync</w:t>
            </w:r>
          </w:p>
        </w:tc>
        <w:tc>
          <w:tcPr>
            <w:tcW w:type="dxa" w:w="259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sync(args)</w:t>
            </w:r>
          </w:p>
        </w:tc>
        <w:tc>
          <w:tcPr>
            <w:tcW w:type="dxa" w:w="5040"/>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Forked workers, shared ring and named semaphores</w:t>
            </w:r>
          </w:p>
        </w:tc>
      </w:tr>
      <w:tr>
        <w:trPr>
          <w:cantSplit/>
        </w:trPr>
        <w:tc>
          <w:tcPr>
            <w:tcW w:type="dxa" w:w="1728"/>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D4 security</w:t>
            </w:r>
          </w:p>
        </w:tc>
        <w:tc>
          <w:tcPr>
            <w:tcW w:type="dxa" w:w="259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authorize / command</w:t>
            </w:r>
          </w:p>
        </w:tc>
        <w:tc>
          <w:tcPr>
            <w:tcW w:type="dxa" w:w="5040"/>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Identity, ownership, persistent modes and access decisions</w:t>
            </w:r>
          </w:p>
        </w:tc>
      </w:tr>
      <w:tr>
        <w:trPr>
          <w:cantSplit/>
        </w:trPr>
        <w:tc>
          <w:tcPr>
            <w:tcW w:type="dxa" w:w="1728"/>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D4 pipelines</w:t>
            </w:r>
          </w:p>
        </w:tc>
        <w:tc>
          <w:tcPr>
            <w:tcW w:type="dxa" w:w="259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executePipeline</w:t>
            </w:r>
          </w:p>
        </w:tc>
        <w:tc>
          <w:tcPr>
            <w:tcW w:type="dxa" w:w="5040"/>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Concurrent stages, descriptor wiring and reaping</w:t>
            </w:r>
          </w:p>
        </w:tc>
      </w:tr>
    </w:tbl>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Logical scheduling jobs and paging process IDs remain simulation objects. Pipeline stages and synchronization workers are actual host processes.</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Piping and Job Control</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For a pipeline with N stages, the executor creates N minus one anonymous pipes. Each stage is forked before the coordinator waits for any of them. The first stage inherits standard input, intermediate stages connect to both adjacent pipes, and the final stage inherits standard output. dup2 maps the appropriate pipe endpoints onto descriptors 0 and 1. POSIX specifies that dup2 replaces the destination descriptor when necessary (IEEE &amp; The Open Group, 2024a). Error output remains on the terminal, so diagnostic messages do not become input data for the next command.</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Every stage closes all original pipe endpoints after duplication, and the coordinator closes its copies after launching the stages. This ownership rule is essential: a consumer cannot observe end-of-file while an unused writer remains open. Starting stages concurrently also prevents a producer from filling a bounded pipe while the shell waits for it to finish before launching the consumer. The large-transfer test sends 700,000 bytes through cat | cat | wc -c and verifies the exact byte count.</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coordinator and stages inherit a single D1 job process group. Foreground terminal assignment, Ctrl+Z, bg, fg, and Ctrl+C therefore work on the complete pipeline. The coordinator ignores interrupt, quit, and hangup while its stages use default dispositions, allowing it to reap terminated stages. It retains the normal stop disposition so group suspension is visible to the parent shell. Pipeline completion returns the last stage status, matching the chosen traditional shell behavior; a failed earlier stage does not imply pipefail.</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grammar permits two through sixteen stages and a final background marker. Quoted or escaped pipes remain literal arguments. Empty stages and unsupported redirection or command lists produce errors. cd and exit inside a pipeline affect only their child process. Scheduling, paging, synchronization, file mutations, permission changes, and fg/bg require standalone foreground execution, because a child would otherwise change a disposable copy of parent state or compete to persist metadata.</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Authentication and Session Identity</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Before the command loop begins, the shell asks for a username and password. Provisioning creates separate admin, student, and guest accounts; the latter two have standard roles. There are no shipped default passwords or command-line password options. Password input uses terminal echo suppression and restores the previous mode afterward. Three failed attempts end the process. Unknown usernames receive the same failure response and perform the same password-derivation work as known accounts.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Python provisioning utility creates a distinct random 16-byte salt for each account and a 32-byte PBKDF2-HMAC-SHA256 verifier using 600,000 iterations. C++ verifies those records through CommonCrypto on macOS or OpenSSL on Linux and compares every derived byte. OWASP documents this PBKDF2 work factor while preferring memory-hard algorithms for new production systems (OWASP Foundation, n.d.). I selected the platform implementations to avoid writing cryptographic primitives in the project. This choice does not establish FIPS certification or make the educational shell a production authentication service.</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Credentials and the simulated permission database are stored in a host-private state directory outside the exposed workspace. The shell checks ownership and rejects group or other access to these files. It also obtains an exclusive session lock before loading them, preventing two shells from reading and later overwriting conflicting permission snapshots. Account changes use a fresh authenticated launch. Simulation state ends with that session, while file ownership and modes persist.</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File Permissions and Role Restrictions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permission model stores an owner and three octal digits for each resource. Read, write, and execute/search use values 4, 2, and 1. Owner bits apply to the owner, and other bits apply to everyone else. Group bits are retained in the displayed mode but have no effect because this model has no simulated groups. POSIX defines distinct owner, group, and other permission classes, so this is a deliberate simplification of that model (IEEE &amp; The Open Group, 2024b).</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File reads require read permission, appending or touching an existing file requires write permission, and directory traversal requires search permission along every ancestor. Creating or removing an entry requires write and search on its parent directory. A newly created file belongs to the current user with mode 600; a directory begins at 700. Owners can change their modes, and only admin can transfer ownership. The access command makes read, write, and execute decisions visible. An execute check evaluates permission for an existing resource; it does not launch arbitrary standard-user programs.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Standard users begin in their own homes and are confined to a canonical workspace path. Canonicalization resolves symbolic links before authorization, preventing a link inside the workspace from pointing a file read outside it. Unknown resources have no default permission. The simulated system directory also has an explicit role rule: a standard user cannot modify or remove its contents even if an administrator grants permissive mode bits. A default mode of 644 allows the system configuration to be read while preserving administrator control of updates.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Allowing unrestricted external commands would undermine these checks because a standard user could launch another shell and read files directly under the same host UID. Standard users therefore receive a small external interface: grep with a pattern and optional files, sort and wc with optional files, and numeric sleep. File arguments are authorized, option arguments are rejected, and fixed binary paths avoid substitution through PATH. Host-PID kill and arbitrary external execution remain administrator capabilities. Pipelines use this same policy at every stage before any process is created.</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Verification and Performance Analysis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70 integration tests include 20 inherited D1 process and terminal tests, four D2 scheduler integration tests, 20 D3 memory and synchronization tests, and 26 D4 tests. The D2 randomized oracle still checks 40 workloads under both policies. The D4 suite verifies login failure and retry, separate identities, hidden terminal passwords, permission persistence, private homes, path and symlink escape attempts, external-command bypass attempts, concurrent-session rejection, and pipeline terminal controls. The 26 D4 tests also pass with AddressSanitizer and UndefinedBehaviorSanitizer enabled.</w:t>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Table 2</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Observed Integration Results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2160"/>
        <w:gridCol w:w="3168"/>
        <w:gridCol w:w="4032"/>
      </w:tblGrid>
      <w:tr>
        <w:trPr>
          <w:tblHeader/>
          <w:cantSplit/>
        </w:trPr>
        <w:tc>
          <w:tcPr>
            <w:tcW w:type="dxa" w:w="2160"/>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Experiment</w:t>
            </w:r>
          </w:p>
        </w:tc>
        <w:tc>
          <w:tcPr>
            <w:tcW w:type="dxa" w:w="3168"/>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Observed result</w:t>
            </w:r>
          </w:p>
        </w:tc>
        <w:tc>
          <w:tcPr>
            <w:tcW w:type="dxa" w:w="4032"/>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Interpretation</w:t>
            </w:r>
          </w:p>
        </w:tc>
      </w:tr>
      <w:tr>
        <w:trPr>
          <w:cantSplit/>
        </w:trPr>
        <w:tc>
          <w:tcPr>
            <w:tcW w:type="dxa" w:w="2160"/>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Three-stage filter</w:t>
            </w:r>
          </w:p>
        </w:tc>
        <w:tc>
          <w:tcPr>
            <w:tcW w:type="dxa" w:w="3168"/>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error alpha before error zebra</w:t>
            </w:r>
          </w:p>
        </w:tc>
        <w:tc>
          <w:tcPr>
            <w:tcW w:type="dxa" w:w="403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Output crosses both pipes and is sorted</w:t>
            </w:r>
          </w:p>
        </w:tc>
      </w:tr>
      <w:tr>
        <w:trPr>
          <w:cantSplit/>
        </w:trPr>
        <w:tc>
          <w:tcPr>
            <w:tcW w:type="dxa" w:w="2160"/>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Large transfer</w:t>
            </w:r>
          </w:p>
        </w:tc>
        <w:tc>
          <w:tcPr>
            <w:tcW w:type="dxa" w:w="3168"/>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700,000 bytes received</w:t>
            </w:r>
          </w:p>
        </w:tc>
        <w:tc>
          <w:tcPr>
            <w:tcW w:type="dxa" w:w="403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Concurrent stages complete beyond pipe capacity</w:t>
            </w:r>
          </w:p>
        </w:tc>
      </w:tr>
      <w:tr>
        <w:trPr>
          <w:cantSplit/>
        </w:trPr>
        <w:tc>
          <w:tcPr>
            <w:tcW w:type="dxa" w:w="2160"/>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Standard system update</w:t>
            </w:r>
          </w:p>
        </w:tc>
        <w:tc>
          <w:tcPr>
            <w:tcW w:type="dxa" w:w="3168"/>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Append and remove denied</w:t>
            </w:r>
          </w:p>
        </w:tc>
        <w:tc>
          <w:tcPr>
            <w:tcW w:type="dxa" w:w="403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Read access does not imply write authority</w:t>
            </w:r>
          </w:p>
        </w:tc>
      </w:tr>
      <w:tr>
        <w:trPr>
          <w:cantSplit/>
        </w:trPr>
        <w:tc>
          <w:tcPr>
            <w:tcW w:type="dxa" w:w="2160"/>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Round Robin q=2</w:t>
            </w:r>
          </w:p>
        </w:tc>
        <w:tc>
          <w:tcPr>
            <w:tcW w:type="dxa" w:w="3168"/>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W=2.500 T=5.000 R=1.500</w:t>
            </w:r>
          </w:p>
        </w:tc>
        <w:tc>
          <w:tcPr>
            <w:tcW w:type="dxa" w:w="403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D2 reference workload remains consistent</w:t>
            </w:r>
          </w:p>
        </w:tc>
      </w:tr>
      <w:tr>
        <w:trPr>
          <w:cantSplit/>
        </w:trPr>
        <w:tc>
          <w:tcPr>
            <w:tcW w:type="dxa" w:w="2160"/>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Priority scheduling</w:t>
            </w:r>
          </w:p>
        </w:tc>
        <w:tc>
          <w:tcPr>
            <w:tcW w:type="dxa" w:w="3168"/>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W=2.750 T=5.250 R=2.000</w:t>
            </w:r>
          </w:p>
        </w:tc>
        <w:tc>
          <w:tcPr>
            <w:tcW w:type="dxa" w:w="403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Higher-priority arrival preempts A at time 2</w:t>
            </w:r>
          </w:p>
        </w:tc>
      </w:tr>
      <w:tr>
        <w:trPr>
          <w:cantSplit/>
        </w:trPr>
        <w:tc>
          <w:tcPr>
            <w:tcW w:type="dxa" w:w="2160"/>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FIFO / LRU</w:t>
            </w:r>
          </w:p>
        </w:tc>
        <w:tc>
          <w:tcPr>
            <w:tcW w:type="dxa" w:w="3168"/>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7 / 5 faults for 11 references</w:t>
            </w:r>
          </w:p>
        </w:tc>
        <w:tc>
          <w:tcPr>
            <w:tcW w:type="dxa" w:w="403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D3 replacement behavior remains consistent</w:t>
            </w:r>
          </w:p>
        </w:tc>
      </w:tr>
      <w:tr>
        <w:trPr>
          <w:cantSplit/>
        </w:trPr>
        <w:tc>
          <w:tcPr>
            <w:tcW w:type="dxa" w:w="2160"/>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Producer-consumer stress</w:t>
            </w:r>
          </w:p>
        </w:tc>
        <w:tc>
          <w:tcPr>
            <w:tcW w:type="dxa" w:w="3168"/>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8,000 unique items; 0 errors</w:t>
            </w:r>
          </w:p>
        </w:tc>
        <w:tc>
          <w:tcPr>
            <w:tcW w:type="dxa" w:w="403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Exact-once transfer through a seven-slot ring</w:t>
            </w:r>
          </w:p>
        </w:tc>
      </w:tr>
    </w:tbl>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W is average waiting time, T is average turnaround time, and R is average response time in simulated units. Scheduling uses A=(6,3,0), B=(2,1,2), C=(1,1,2), D=(1,3,3), expressed as burst, priority, arrival. Lower priority numbers rank higher.</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evidence collector starts seven isolated authenticated sessions and saves actual output without passwords or verifier records. In this run, the pipeline session took 253.779 ms and the large-transfer session took 81.088 ms. These measurements include password derivation, shell startup, and captured output; they are not estimates of CPU scheduling overhead or isolated pipeline throughput. The failed-login session took 235.572 ms across three derivations. A meaningful throughput comparison would time only command execution after login and repeat trials under controlled load.</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Challenges and Improvements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Integration exposed two different kinds of state. Scheduling and paging should remain in the shell process, while a pipeline should run independent stages concurrently. I addressed that conflict by rejecting stateful module commands in pipelines and background execution rather than letting them silently update a child copy. The same rule protects permission metadata and the file operations that maintain it. This keeps the public interfaces understandable and makes the limitation visible to the user.</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descriptor design was another important connection. A command can produce correct output and still leave its consumer waiting forever if a writer descriptor remains open elsewhere. Treating pipe closure as part of process ownership made the larger transfer and early-consumer tests useful checks rather than relying only on a short echo demonstration. The terminal tests then connected that resource ownership to D1 process groups: a pipeline should stop and resume as one job.</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security boundary is intentionally narrower than a real OS boundary. All roles share the launching host UID, admin is trusted, and the host account owner can edit the program or state directly. Canonical-path checks do not defend against a hostile host process changing files between a check and an operation. The application does not provide MFA, persistent brute-force lockout, password recovery, group membership, or privilege separation. Production improvements would include OS-enforced identities or a sandbox, descriptor-relative file operations, a memory-hard password scheme, and transactional permission storage. Linux support is implemented but this submission was executed on macOS.</w:t>
      </w:r>
    </w:p>
    <w:p>
      <w:pPr>
        <w:pStyle w:val="Heading1"/>
        <w:keepNext/>
        <w:pageBreakBefore/>
        <w:widowControl/>
        <w:spacing w:before="0" w:after="0" w:line="480" w:lineRule="auto"/>
        <w:ind w:firstLine="0" w:left="0"/>
        <w:jc w:val="center"/>
      </w:pPr>
      <w:r>
        <w:rPr>
          <w:rFonts w:ascii="Times New Roman" w:hAnsi="Times New Roman" w:eastAsia="Times New Roman" w:cs="Times New Roman"/>
          <w:b/>
          <w:i w:val="0"/>
          <w:color w:val="000000"/>
          <w:sz w:val="24"/>
        </w:rPr>
        <w:t>References</w:t>
      </w:r>
    </w:p>
    <w:p>
      <w:pPr>
        <w:keepNext w:val="0"/>
        <w:widowControl/>
        <w:spacing w:before="0" w:after="0" w:line="480" w:lineRule="auto"/>
        <w:ind w:left="720" w:hanging="72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val="0"/>
          <w:color w:val="000000"/>
          <w:sz w:val="24"/>
        </w:rPr>
        <w:t xml:space="preserve">IEEE &amp; The Open Group. (2024a). </w:t>
      </w:r>
      <w:r>
        <w:rPr>
          <w:rFonts w:ascii="Times New Roman" w:hAnsi="Times New Roman" w:eastAsia="Times New Roman" w:cs="Times New Roman"/>
          <w:b w:val="0"/>
          <w:i/>
          <w:color w:val="000000"/>
          <w:sz w:val="24"/>
        </w:rPr>
        <w:t>dup, dup2, dup3</w:t>
      </w:r>
      <w:r>
        <w:rPr>
          <w:rFonts w:ascii="Times New Roman" w:hAnsi="Times New Roman" w:eastAsia="Times New Roman" w:cs="Times New Roman"/>
          <w:b w:val="0"/>
          <w:i w:val="0"/>
          <w:color w:val="000000"/>
          <w:sz w:val="24"/>
        </w:rPr>
        <w:t>. The Open Group Base Specifications Issue 8. https://pubs.opengroup.org/onlinepubs/9799919799/functions/dup.html</w:t>
      </w:r>
    </w:p>
    <w:p>
      <w:pPr>
        <w:keepNext w:val="0"/>
        <w:widowControl/>
        <w:spacing w:before="0" w:after="0" w:line="480" w:lineRule="auto"/>
        <w:ind w:left="720" w:hanging="72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val="0"/>
          <w:color w:val="000000"/>
          <w:sz w:val="24"/>
        </w:rPr>
        <w:t xml:space="preserve">IEEE &amp; The Open Group. (2024b). </w:t>
      </w:r>
      <w:r>
        <w:rPr>
          <w:rFonts w:ascii="Times New Roman" w:hAnsi="Times New Roman" w:eastAsia="Times New Roman" w:cs="Times New Roman"/>
          <w:b w:val="0"/>
          <w:i/>
          <w:color w:val="000000"/>
          <w:sz w:val="24"/>
        </w:rPr>
        <w:t>General concepts</w:t>
      </w:r>
      <w:r>
        <w:rPr>
          <w:rFonts w:ascii="Times New Roman" w:hAnsi="Times New Roman" w:eastAsia="Times New Roman" w:cs="Times New Roman"/>
          <w:b w:val="0"/>
          <w:i w:val="0"/>
          <w:color w:val="000000"/>
          <w:sz w:val="24"/>
        </w:rPr>
        <w:t>. The Open Group Base Specifications Issue 8. https://pubs.opengroup.org/onlinepubs/9799919799/basedefs/V1_chap04.html</w:t>
      </w:r>
    </w:p>
    <w:p>
      <w:pPr>
        <w:keepNext w:val="0"/>
        <w:widowControl/>
        <w:spacing w:before="0" w:after="0" w:line="480" w:lineRule="auto"/>
        <w:ind w:left="720" w:hanging="72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val="0"/>
          <w:color w:val="000000"/>
          <w:sz w:val="24"/>
        </w:rPr>
        <w:t xml:space="preserve">OWASP Foundation. (n.d.). </w:t>
      </w:r>
      <w:r>
        <w:rPr>
          <w:rFonts w:ascii="Times New Roman" w:hAnsi="Times New Roman" w:eastAsia="Times New Roman" w:cs="Times New Roman"/>
          <w:b w:val="0"/>
          <w:i/>
          <w:color w:val="000000"/>
          <w:sz w:val="24"/>
        </w:rPr>
        <w:t>Password storage cheat sheet</w:t>
      </w:r>
      <w:r>
        <w:rPr>
          <w:rFonts w:ascii="Times New Roman" w:hAnsi="Times New Roman" w:eastAsia="Times New Roman" w:cs="Times New Roman"/>
          <w:b w:val="0"/>
          <w:i w:val="0"/>
          <w:color w:val="000000"/>
          <w:sz w:val="24"/>
        </w:rPr>
        <w:t>. OWASP Cheat Sheet Series. Retrieved October 25, 2026, from https://cheatsheetseries.owasp.org/cheatsheets/Password_Storage_Cheat_Sheet.html</w:t>
      </w:r>
    </w:p>
    <w:p>
      <w:pPr>
        <w:pStyle w:val="Heading1"/>
        <w:keepNext/>
        <w:pageBreakBefore/>
        <w:widowControl/>
        <w:spacing w:before="0" w:after="0" w:line="480" w:lineRule="auto"/>
        <w:ind w:firstLine="0" w:left="0"/>
        <w:jc w:val="center"/>
      </w:pPr>
      <w:r>
        <w:rPr>
          <w:rFonts w:ascii="Times New Roman" w:hAnsi="Times New Roman" w:eastAsia="Times New Roman" w:cs="Times New Roman"/>
          <w:b/>
          <w:i w:val="0"/>
          <w:color w:val="000000"/>
          <w:sz w:val="24"/>
        </w:rPr>
        <w:t>Appendix A</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Reproducing the Integrated Demonstration</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From the repository, run make, then python3 scripts/setup_security.py and choose distinct disposable passwords. Launch ./build/os-shell and log in as admin. From the repository launch directory, enter the following commands one at a time. The collector reproduces the same workloads automatically in a temporary state.</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rPr>
          <w:rFonts w:ascii="Courier New" w:hAnsi="Courier New"/>
          <w:sz w:val="20"/>
        </w:rPr>
        <w:t>cd .osh-security/workspace</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rPr>
          <w:rFonts w:ascii="Courier New" w:hAnsi="Courier New"/>
          <w:sz w:val="20"/>
        </w:rPr>
        <w:t>ls shared | grep txt</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rPr>
          <w:rFonts w:ascii="Courier New" w:hAnsi="Courier New"/>
          <w:sz w:val="20"/>
        </w:rPr>
        <w:t>cat shared/events.txt | grep error | sort</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rPr>
          <w:rFonts w:ascii="Courier New" w:hAnsi="Courier New"/>
          <w:sz w:val="20"/>
        </w:rPr>
        <w:t>write system/config.txt admin-update</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rPr>
          <w:rFonts w:ascii="Courier New" w:hAnsi="Courier New"/>
          <w:sz w:val="20"/>
        </w:rPr>
        <w:t>chmod 604 shared/task.txt</w:t>
      </w:r>
    </w:p>
    <w:p>
      <w:pPr>
        <w:keepNext w:val="0"/>
        <w:widowControl/>
        <w:spacing w:before="0" w:after="0" w:line="240" w:lineRule="auto"/>
        <w:ind w:firstLine="0" w:left="0"/>
        <w:jc w:val="left"/>
      </w:pPr>
      <w:r>
        <w:rPr>
          <w:rFonts w:ascii="Times New Roman" w:hAnsi="Times New Roman" w:eastAsia="Times New Roman" w:cs="Times New Roman"/>
          <w:b w:val="0"/>
          <w:i w:val="0"/>
          <w:color w:val="000000"/>
          <w:sz w:val="24"/>
        </w:rPr>
      </w:r>
      <w:r>
        <w:rPr>
          <w:rFonts w:ascii="Courier New" w:hAnsi="Courier New"/>
          <w:sz w:val="20"/>
        </w:rPr>
        <w:t>exit 0</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Launch the shell again and authenticate as student. Its initial directory is home/student. The following operations should show a readable system file, a denied write, and explicit read/write/execute decisions. Use screenshots/CAPTURE_GUIDE.md for the complete native capture sequence, including guest access and a later execute grant. Figures B1 through B8 present the original native Terminal captures of these demonstrations.</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rPr>
          <w:rFonts w:ascii="Courier New" w:hAnsi="Courier New"/>
          <w:sz w:val="20"/>
        </w:rPr>
        <w:t>cat ../../system/config.txt</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rPr>
          <w:rFonts w:ascii="Courier New" w:hAnsi="Courier New"/>
          <w:sz w:val="20"/>
        </w:rPr>
        <w:t>write ../../system/config.txt forbidden</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rPr>
          <w:rFonts w:ascii="Courier New" w:hAnsi="Courier New"/>
          <w:sz w:val="20"/>
        </w:rPr>
        <w:t>access r ../../shared/task.txt</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rPr>
          <w:rFonts w:ascii="Courier New" w:hAnsi="Courier New"/>
          <w:sz w:val="20"/>
        </w:rPr>
        <w:t>access w ../../shared/task.txt</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rPr>
          <w:rFonts w:ascii="Courier New" w:hAnsi="Courier New"/>
          <w:sz w:val="20"/>
        </w:rPr>
        <w:t>access x ../../shared/task.txt</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rPr>
          <w:rFonts w:ascii="Courier New" w:hAnsi="Courier New"/>
          <w:sz w:val="20"/>
        </w:rPr>
        <w:t>cat ../../shared/events.txt | grep error | sort</w:t>
      </w:r>
    </w:p>
    <w:p>
      <w:pPr>
        <w:keepNext w:val="0"/>
        <w:widowControl/>
        <w:spacing w:before="0" w:after="0" w:line="240" w:lineRule="auto"/>
        <w:ind w:firstLine="0" w:left="0"/>
        <w:jc w:val="left"/>
      </w:pPr>
      <w:r>
        <w:rPr>
          <w:rFonts w:ascii="Times New Roman" w:hAnsi="Times New Roman" w:eastAsia="Times New Roman" w:cs="Times New Roman"/>
          <w:b w:val="0"/>
          <w:i w:val="0"/>
          <w:color w:val="000000"/>
          <w:sz w:val="24"/>
        </w:rPr>
      </w:r>
      <w:r>
        <w:rPr>
          <w:rFonts w:ascii="Courier New" w:hAnsi="Courier New"/>
          <w:sz w:val="20"/>
        </w:rPr>
        <w:t>exit 0</w:t>
      </w:r>
    </w:p>
    <w:p>
      <w:pPr>
        <w:pStyle w:val="Heading1"/>
        <w:keepNext/>
        <w:pageBreakBefore/>
        <w:widowControl/>
        <w:spacing w:before="0" w:after="0" w:line="480" w:lineRule="auto"/>
        <w:ind w:firstLine="0" w:left="0"/>
        <w:jc w:val="center"/>
      </w:pPr>
      <w:r>
        <w:rPr>
          <w:rFonts w:ascii="Times New Roman" w:hAnsi="Times New Roman" w:eastAsia="Times New Roman" w:cs="Times New Roman"/>
          <w:b/>
          <w:i w:val="0"/>
          <w:color w:val="000000"/>
          <w:sz w:val="24"/>
        </w:rPr>
        <w:t>Appendix B</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Native Terminal Evidence</w:t>
      </w:r>
    </w:p>
    <w:p>
      <w:pPr>
        <w:keepNext/>
        <w:pageBreakBefore w:val="0"/>
        <w:widowControl/>
        <w:spacing w:before="0" w:after="0" w:line="480" w:lineRule="auto"/>
        <w:ind w:firstLine="0" w:left="0"/>
        <w:jc w:val="left"/>
      </w:pPr>
      <w:r>
        <w:rPr>
          <w:rFonts w:ascii="Times New Roman" w:hAnsi="Times New Roman" w:eastAsia="Times New Roman" w:cs="Times New Roman"/>
          <w:b/>
          <w:i w:val="0"/>
          <w:color w:val="000000"/>
          <w:sz w:val="24"/>
        </w:rPr>
        <w:t>Figure B1</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Administrator Authentication and a Permitted System Update</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3744077"/>
            <wp:docPr id="1" name="Picture 1" descr="The administrator logs in and appends a line to the simulated system configuration."/>
            <wp:cNvGraphicFramePr>
              <a:graphicFrameLocks noChangeAspect="1"/>
            </wp:cNvGraphicFramePr>
            <a:graphic>
              <a:graphicData uri="http://schemas.openxmlformats.org/drawingml/2006/picture">
                <pic:pic>
                  <pic:nvPicPr>
                    <pic:cNvPr id="0" name="01_admin_login.png"/>
                    <pic:cNvPicPr/>
                  </pic:nvPicPr>
                  <pic:blipFill>
                    <a:blip r:embed="rId10"/>
                    <a:stretch>
                      <a:fillRect/>
                    </a:stretch>
                  </pic:blipFill>
                  <pic:spPr>
                    <a:xfrm>
                      <a:off x="0" y="0"/>
                      <a:ext cx="5943600" cy="3744077"/>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The administrator logs in and appends a line to the simulated system configuration.</w:t>
      </w:r>
    </w:p>
    <w:p>
      <w:pPr>
        <w:keepNext/>
        <w:pageBreakBefore/>
        <w:widowControl/>
        <w:spacing w:before="0" w:after="0" w:line="480" w:lineRule="auto"/>
        <w:ind w:firstLine="0" w:left="0"/>
        <w:jc w:val="left"/>
      </w:pPr>
      <w:r>
        <w:rPr>
          <w:rFonts w:ascii="Times New Roman" w:hAnsi="Times New Roman" w:eastAsia="Times New Roman" w:cs="Times New Roman"/>
          <w:b/>
          <w:i w:val="0"/>
          <w:color w:val="000000"/>
          <w:sz w:val="24"/>
        </w:rPr>
        <w:t>Figure B2</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Piping Built In Output and Chaining Three Commands</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3799204"/>
            <wp:docPr id="2" name="Picture 2" descr="The shell filters a directory listing and sorts the error lines from a file through three concurrent stages."/>
            <wp:cNvGraphicFramePr>
              <a:graphicFrameLocks noChangeAspect="1"/>
            </wp:cNvGraphicFramePr>
            <a:graphic>
              <a:graphicData uri="http://schemas.openxmlformats.org/drawingml/2006/picture">
                <pic:pic>
                  <pic:nvPicPr>
                    <pic:cNvPr id="0" name="02_pipelines.png"/>
                    <pic:cNvPicPr/>
                  </pic:nvPicPr>
                  <pic:blipFill>
                    <a:blip r:embed="rId11"/>
                    <a:stretch>
                      <a:fillRect/>
                    </a:stretch>
                  </pic:blipFill>
                  <pic:spPr>
                    <a:xfrm>
                      <a:off x="0" y="0"/>
                      <a:ext cx="5943600" cy="3799204"/>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The shell filters a directory listing and sorts the error lines from a file through three concurrent stages.</w:t>
      </w:r>
    </w:p>
    <w:p>
      <w:pPr>
        <w:keepNext/>
        <w:pageBreakBefore/>
        <w:widowControl/>
        <w:spacing w:before="0" w:after="0" w:line="480" w:lineRule="auto"/>
        <w:ind w:firstLine="0" w:left="0"/>
        <w:jc w:val="left"/>
      </w:pPr>
      <w:r>
        <w:rPr>
          <w:rFonts w:ascii="Times New Roman" w:hAnsi="Times New Roman" w:eastAsia="Times New Roman" w:cs="Times New Roman"/>
          <w:b/>
          <w:i w:val="0"/>
          <w:color w:val="000000"/>
          <w:sz w:val="24"/>
        </w:rPr>
        <w:t>Figure B3</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Administrator Control of Resource Permissions</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3704974"/>
            <wp:docPr id="3" name="Picture 3" descr="Mode 604 gives other users read permission. The administrator has an explicit override."/>
            <wp:cNvGraphicFramePr>
              <a:graphicFrameLocks noChangeAspect="1"/>
            </wp:cNvGraphicFramePr>
            <a:graphic>
              <a:graphicData uri="http://schemas.openxmlformats.org/drawingml/2006/picture">
                <pic:pic>
                  <pic:nvPicPr>
                    <pic:cNvPr id="0" name="03_permissions_admin.png"/>
                    <pic:cNvPicPr/>
                  </pic:nvPicPr>
                  <pic:blipFill>
                    <a:blip r:embed="rId12"/>
                    <a:stretch>
                      <a:fillRect/>
                    </a:stretch>
                  </pic:blipFill>
                  <pic:spPr>
                    <a:xfrm>
                      <a:off x="0" y="0"/>
                      <a:ext cx="5943600" cy="3704974"/>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Mode 604 gives other users read permission. The administrator has an explicit override.</w:t>
      </w:r>
    </w:p>
    <w:p>
      <w:pPr>
        <w:keepNext/>
        <w:pageBreakBefore/>
        <w:widowControl/>
        <w:spacing w:before="0" w:after="0" w:line="480" w:lineRule="auto"/>
        <w:ind w:firstLine="0" w:left="0"/>
        <w:jc w:val="left"/>
      </w:pPr>
      <w:r>
        <w:rPr>
          <w:rFonts w:ascii="Times New Roman" w:hAnsi="Times New Roman" w:eastAsia="Times New Roman" w:cs="Times New Roman"/>
          <w:b/>
          <w:i w:val="0"/>
          <w:color w:val="000000"/>
          <w:sz w:val="24"/>
        </w:rPr>
        <w:t>Figure B4</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Standard User Access to Protected System Files</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3722058"/>
            <wp:docPr id="4" name="Picture 4" descr="The student can read the system configuration but cannot append to or remove it. Read is allowed for task.txt; write and execute are denied."/>
            <wp:cNvGraphicFramePr>
              <a:graphicFrameLocks noChangeAspect="1"/>
            </wp:cNvGraphicFramePr>
            <a:graphic>
              <a:graphicData uri="http://schemas.openxmlformats.org/drawingml/2006/picture">
                <pic:pic>
                  <pic:nvPicPr>
                    <pic:cNvPr id="0" name="04_student_permissions.png"/>
                    <pic:cNvPicPr/>
                  </pic:nvPicPr>
                  <pic:blipFill>
                    <a:blip r:embed="rId13"/>
                    <a:stretch>
                      <a:fillRect/>
                    </a:stretch>
                  </pic:blipFill>
                  <pic:spPr>
                    <a:xfrm>
                      <a:off x="0" y="0"/>
                      <a:ext cx="5943600" cy="3722058"/>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The student can read the system configuration but cannot append to or remove it. Read is allowed for task.txt; write and execute are denied.</w:t>
      </w:r>
    </w:p>
    <w:p>
      <w:pPr>
        <w:keepNext/>
        <w:pageBreakBefore/>
        <w:widowControl/>
        <w:spacing w:before="0" w:after="0" w:line="480" w:lineRule="auto"/>
        <w:ind w:firstLine="0" w:left="0"/>
        <w:jc w:val="left"/>
      </w:pPr>
      <w:r>
        <w:rPr>
          <w:rFonts w:ascii="Times New Roman" w:hAnsi="Times New Roman" w:eastAsia="Times New Roman" w:cs="Times New Roman"/>
          <w:b/>
          <w:i w:val="0"/>
          <w:color w:val="000000"/>
          <w:sz w:val="24"/>
        </w:rPr>
        <w:t>Figure B5</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Private File Ownership and an Approved Pipeline</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3714750"/>
            <wp:docPr id="5" name="Picture 5" descr="A newly created student file has owner student and mode 600. A host path is denied while the approved streaming pipeline succeeds."/>
            <wp:cNvGraphicFramePr>
              <a:graphicFrameLocks noChangeAspect="1"/>
            </wp:cNvGraphicFramePr>
            <a:graphic>
              <a:graphicData uri="http://schemas.openxmlformats.org/drawingml/2006/picture">
                <pic:pic>
                  <pic:nvPicPr>
                    <pic:cNvPr id="0" name="05_user_ownership.png"/>
                    <pic:cNvPicPr/>
                  </pic:nvPicPr>
                  <pic:blipFill>
                    <a:blip r:embed="rId14"/>
                    <a:stretch>
                      <a:fillRect/>
                    </a:stretch>
                  </pic:blipFill>
                  <pic:spPr>
                    <a:xfrm>
                      <a:off x="0" y="0"/>
                      <a:ext cx="5943600" cy="3714750"/>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A newly created student file has owner student and mode 600. A host path is denied while the approved streaming pipeline succeeds.</w:t>
      </w:r>
    </w:p>
    <w:p>
      <w:pPr>
        <w:keepNext/>
        <w:pageBreakBefore/>
        <w:widowControl/>
        <w:spacing w:before="0" w:after="0" w:line="480" w:lineRule="auto"/>
        <w:ind w:firstLine="0" w:left="0"/>
        <w:jc w:val="left"/>
      </w:pPr>
      <w:r>
        <w:rPr>
          <w:rFonts w:ascii="Times New Roman" w:hAnsi="Times New Roman" w:eastAsia="Times New Roman" w:cs="Times New Roman"/>
          <w:b/>
          <w:i w:val="0"/>
          <w:color w:val="000000"/>
          <w:sz w:val="24"/>
        </w:rPr>
        <w:t>Figure B6</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A Different Standard User Cannot Read the Student Home</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3769829"/>
            <wp:docPr id="6" name="Picture 6" descr="The guest authenticates with its own credentials and is denied access through the student home directory."/>
            <wp:cNvGraphicFramePr>
              <a:graphicFrameLocks noChangeAspect="1"/>
            </wp:cNvGraphicFramePr>
            <a:graphic>
              <a:graphicData uri="http://schemas.openxmlformats.org/drawingml/2006/picture">
                <pic:pic>
                  <pic:nvPicPr>
                    <pic:cNvPr id="0" name="06_guest_denial.png"/>
                    <pic:cNvPicPr/>
                  </pic:nvPicPr>
                  <pic:blipFill>
                    <a:blip r:embed="rId15"/>
                    <a:stretch>
                      <a:fillRect/>
                    </a:stretch>
                  </pic:blipFill>
                  <pic:spPr>
                    <a:xfrm>
                      <a:off x="0" y="0"/>
                      <a:ext cx="5943600" cy="3769829"/>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The guest authenticates with its own credentials and is denied access through the student home directory.</w:t>
      </w:r>
    </w:p>
    <w:p>
      <w:pPr>
        <w:keepNext/>
        <w:pageBreakBefore/>
        <w:widowControl/>
        <w:spacing w:before="0" w:after="0" w:line="480" w:lineRule="auto"/>
        <w:ind w:firstLine="0" w:left="0"/>
        <w:jc w:val="left"/>
      </w:pPr>
      <w:r>
        <w:rPr>
          <w:rFonts w:ascii="Times New Roman" w:hAnsi="Times New Roman" w:eastAsia="Times New Roman" w:cs="Times New Roman"/>
          <w:b/>
          <w:i w:val="0"/>
          <w:color w:val="000000"/>
          <w:sz w:val="24"/>
        </w:rPr>
        <w:t>Figure B7</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Execute Permission Granted Without Write Permission</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4710373"/>
            <wp:docPr id="7" name="Picture 7" descr="After the administrator changes task.txt to mode 605, the student execute check is allowed and the write check remains denied. This is a simulated access decision."/>
            <wp:cNvGraphicFramePr>
              <a:graphicFrameLocks noChangeAspect="1"/>
            </wp:cNvGraphicFramePr>
            <a:graphic>
              <a:graphicData uri="http://schemas.openxmlformats.org/drawingml/2006/picture">
                <pic:pic>
                  <pic:nvPicPr>
                    <pic:cNvPr id="0" name="07_execute_allowed.png"/>
                    <pic:cNvPicPr/>
                  </pic:nvPicPr>
                  <pic:blipFill>
                    <a:blip r:embed="rId16"/>
                    <a:stretch>
                      <a:fillRect/>
                    </a:stretch>
                  </pic:blipFill>
                  <pic:spPr>
                    <a:xfrm>
                      <a:off x="0" y="0"/>
                      <a:ext cx="5943600" cy="4710373"/>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After the administrator changes task.txt to mode 605, the student execute check is allowed and the write check remains denied. This is a simulated access decision.</w:t>
      </w:r>
    </w:p>
    <w:p>
      <w:pPr>
        <w:keepNext/>
        <w:pageBreakBefore/>
        <w:widowControl/>
        <w:spacing w:before="0" w:after="0" w:line="480" w:lineRule="auto"/>
        <w:ind w:firstLine="0" w:left="0"/>
        <w:jc w:val="left"/>
      </w:pPr>
      <w:r>
        <w:rPr>
          <w:rFonts w:ascii="Times New Roman" w:hAnsi="Times New Roman" w:eastAsia="Times New Roman" w:cs="Times New Roman"/>
          <w:b/>
          <w:i w:val="0"/>
          <w:color w:val="000000"/>
          <w:sz w:val="24"/>
        </w:rPr>
        <w:t>Figure B8</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Invalid Credentials Prevent Shell Access</w:t>
      </w:r>
    </w:p>
    <w:p>
      <w:pPr>
        <w:keepNext/>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3677602"/>
            <wp:docPr id="8" name="Picture 8" descr="Three incorrect passwords end the session without exposing a shell command prompt."/>
            <wp:cNvGraphicFramePr>
              <a:graphicFrameLocks noChangeAspect="1"/>
            </wp:cNvGraphicFramePr>
            <a:graphic>
              <a:graphicData uri="http://schemas.openxmlformats.org/drawingml/2006/picture">
                <pic:pic>
                  <pic:nvPicPr>
                    <pic:cNvPr id="0" name="08_failed_login.png"/>
                    <pic:cNvPicPr/>
                  </pic:nvPicPr>
                  <pic:blipFill>
                    <a:blip r:embed="rId17"/>
                    <a:stretch>
                      <a:fillRect/>
                    </a:stretch>
                  </pic:blipFill>
                  <pic:spPr>
                    <a:xfrm>
                      <a:off x="0" y="0"/>
                      <a:ext cx="5943600" cy="3677602"/>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Three incorrect passwords end the session without exposing a shell command prompt.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eastAsia="Times New Roman" w:cs="Times New Roman"/>
        <w:b w:val="0"/>
        <w:i w:val="0"/>
        <w:color w:val="000000"/>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before="0" w:after="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Shell Simulation with Integrated OS Concepts Deliverable 4 Integration and Security Implementation</dc:title>
  <dc:subject>Integration, piping, authentication, and simulated file permissions</dc:subject>
  <dc:creator>Shobhit Dhamania</dc:creator>
  <cp:keywords/>
  <dc:description>generated by python-docx</dc:description>
  <cp:lastModifiedBy/>
  <cp:revision>1</cp:revision>
  <dcterms:created xsi:type="dcterms:W3CDTF">2013-12-23T23:15:00Z</dcterms:created>
  <dcterms:modified xsi:type="dcterms:W3CDTF">2013-12-23T23:15:00Z</dcterms:modified>
  <cp:category/>
</cp:coreProperties>
</file>