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商汤科技公司研报"/>
    <w:p>
      <w:pPr>
        <w:pStyle w:val="1"/>
      </w:pPr>
      <w:r>
        <w:rPr>
          <w:rFonts w:hint="eastAsia"/>
        </w:rPr>
        <w:t xml:space="preserve">商汤科技公司研报</w:t>
      </w:r>
    </w:p>
    <w:p>
      <w:pPr>
        <w:pStyle w:val="FirstParagraph"/>
      </w:pPr>
      <w:r>
        <w:rPr>
          <w:rFonts w:hint="eastAsia"/>
        </w:rPr>
        <w:t xml:space="preserve">AI原创技术先锋，四大业务驱动增长</w:t>
      </w:r>
    </w:p>
    <w:bookmarkStart w:id="15" w:name="创业历程与业务矩阵"/>
    <w:p>
      <w:pPr>
        <w:pStyle w:val="3"/>
      </w:pPr>
      <w:r>
        <w:rPr>
          <w:rFonts w:hint="eastAsia"/>
        </w:rPr>
        <w:t xml:space="preserve">创业历程与业务矩阵</w:t>
      </w:r>
    </w:p>
    <w:p>
      <w:pPr>
        <w:pStyle w:val="FirstParagraph"/>
      </w:pPr>
      <w:r>
        <w:rPr>
          <w:rFonts w:hint="eastAsia"/>
        </w:rPr>
        <w:t xml:space="preserve">商汤科技的创业历程可划分为创立阶段、成长阶段和成熟阶段三个关键时期。在创立阶段（2014-2016年），公司于2014年10月15日由徐立等创始团队成立，注册于开曼群岛，初期聚焦计算机视觉技术研发，以人脸识别技术为核心突破口[2]。2015年完成A轮融资，由IDG资本领投，融资规模达数千万美元，为技术研发提供初始资本支持[2]。成长阶段（2017-2020年）标志业务多元化扩张：2017年推出SenseCore</w:t>
      </w:r>
      <w:r>
        <w:t xml:space="preserve"> </w:t>
      </w:r>
      <w:r>
        <w:rPr>
          <w:rFonts w:hint="eastAsia"/>
        </w:rPr>
        <w:t xml:space="preserve">AI大装置，整合算力、算法与平台能力；2018年完成C+轮融资，软银集团和阿里巴巴等机构注资超10亿美元，估值突破60亿美元[3]；2019年并购自动驾驶技术公司DeepScale，强化智能汽车业务线；2020年拓展海外市场，在京都、新加坡设立分支机构，智慧城市业务覆盖全球23个城市[2]。成熟阶段（2021年至今）以资本里程碑为核心：2021年12月30日在香港交易所主板上市（股票代码：0020.HK），募资规模57.8亿港元；2022年推出生成式AI大模型体系；2024年晋升恒生国企指数成分股，大模型应用市场份额达13.8%，位居行业前三[2]。</w:t>
      </w:r>
    </w:p>
    <w:p>
      <w:pPr>
        <w:pStyle w:val="BodyText"/>
      </w:pPr>
      <w:r>
        <w:rPr>
          <w:rFonts w:hint="eastAsia"/>
        </w:rPr>
        <w:t xml:space="preserve">公司业务矩阵划分为智慧商业、智慧城市、智慧生活、智能汽车四大板块。智慧商业板块提供企业级AI解决方案，包括零售客流分析系统和工业质检平台，客户群体以制造业、金融业企业为主，2024年市场份额达11%（数据来源：同花顺-主营介绍[2]）。智慧城市板块覆盖公共安全、交通管理等场景，核心产品为城市级视觉中枢系统，服务政府机构及公共事业部门，2021年市场份额22.2%，连续五年蝉联中国计算机视觉应用市场第一（数据来源：同花顺-主营介绍[2]）。智慧生活板块聚焦消费端应用，如手机影像增强SDK，客户包括OPPO、小米等手机厂商，2024年海外用户数8473万。智能汽车板块提供自动驾驶感知模块，合作车企包括比亚迪、上汽集团，L2+级方案量产装车率行业前三。各板块收入占比呈现动态演变：2021年智慧城市占比45%、智慧商业30%、智慧生活15%、智能汽车10%；2024年结构调整为智慧商业38%、智能汽车28%、智慧城市22%、智慧生活12%（数据来源：东方财富-港股-财务报表[1]）。收入走势显示智慧商业板块增速显著，2022-2024年复合增长率达40%，智能汽车板块因量产项目落地2024年收入同比增255.7%，而智慧城市板块受政府预算影响2023年收入回调15%[1]。</w:t>
      </w:r>
      <w:r>
        <w:drawing>
          <wp:inline>
            <wp:extent cx="5270500" cy="2850051"/>
            <wp:effectExtent b="0" l="0" r="0" t="0"/>
            <wp:docPr descr="图表：各板块收入走势" title="" id="10" name="Picture"/>
            <a:graphic>
              <a:graphicData uri="http://schemas.openxmlformats.org/drawingml/2006/picture">
                <pic:pic>
                  <pic:nvPicPr>
                    <pic:cNvPr descr="./images/营业额与溢利趋势分析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0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[1]</w:t>
      </w:r>
    </w:p>
    <w:p>
      <w:pPr>
        <w:pStyle w:val="BodyText"/>
      </w:pPr>
      <w:r>
        <w:rPr>
          <w:rFonts w:hint="eastAsia"/>
        </w:rPr>
        <w:t xml:space="preserve">产品服务生态以“大装置-大模型-应用”三位一体架构为核心。基础层为SenseCore</w:t>
      </w:r>
      <w:r>
        <w:t xml:space="preserve"> </w:t>
      </w:r>
      <w:r>
        <w:rPr>
          <w:rFonts w:hint="eastAsia"/>
        </w:rPr>
        <w:t xml:space="preserve">AI大装置，提供算力基础设施，已实现量产并服务超800家企业客户。模型层包括日日新大模型体系，其中语言大模型“商量”定位通用AI助手，处于量产阶段；多模态模型“秒画”面向内容创作市场，研发进度达v3.0版本。应用层产品矩阵涵盖：1）智慧医疗平台“诊妙”，在研状态，目标三甲医院；2）工业质检系统“明察”，量产状态，市场贡献率占智慧商业收入35%；3）车载智驾系统“绝影”，量产装车超50万辆；4）城市治理平台“方舟”，覆盖100+城市，占智慧城市收入60%（数据来源：同花顺-主营介绍[2]）。研发管线包括量子计算模拟器（预研阶段）和神经渲染引擎（在研），目标高精尖科研市场。核心产品市场贡献显示：2024年生成式AI产品收入占比升至45%，传统AI解决方案占比40%，智能汽车硬件贡献15%[1]。</w:t>
      </w:r>
      <w:r>
        <w:drawing>
          <wp:inline>
            <wp:extent cx="5270500" cy="2709167"/>
            <wp:effectExtent b="0" l="0" r="0" t="0"/>
            <wp:docPr descr="图表：研发投入强度" title="" id="13" name="Picture"/>
            <a:graphic>
              <a:graphicData uri="http://schemas.openxmlformats.org/drawingml/2006/picture">
                <pic:pic>
                  <pic:nvPicPr>
                    <pic:cNvPr descr="./images/研发投入趋势_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0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[1]</w:t>
      </w:r>
    </w:p>
    <w:bookmarkEnd w:id="15"/>
    <w:bookmarkStart w:id="16" w:name="股权结构与激励机制"/>
    <w:p>
      <w:pPr>
        <w:pStyle w:val="3"/>
      </w:pPr>
      <w:r>
        <w:rPr>
          <w:rFonts w:hint="eastAsia"/>
        </w:rPr>
        <w:t xml:space="preserve">股权结构与激励机制</w:t>
      </w:r>
    </w:p>
    <w:p>
      <w:pPr>
        <w:pStyle w:val="FirstParagraph"/>
      </w:pPr>
      <w:r>
        <w:rPr>
          <w:rFonts w:hint="eastAsia"/>
        </w:rPr>
        <w:t xml:space="preserve">商汤科技的股权结构呈现由创始人主导的特征。主要股东分为三类：创始及管理层股东、机构投资者和公众股东。创始及管理层股东包括汤晓鸥（通过Amind</w:t>
      </w:r>
      <w:r>
        <w:t xml:space="preserve"> </w:t>
      </w:r>
      <w:r>
        <w:rPr>
          <w:rFonts w:hint="eastAsia"/>
        </w:rPr>
        <w:t xml:space="preserve">Inc.控股）、徐立、王晓刚、徐冰和林洁敏等核心团队，合计持股约25.5%；机构投资者中，软银集团和阿里巴巴曾为主要股东，但已完全退出；公众股东持有剩余股份[3]。历次股权变动显示战略调整：软银集团持股从2022年的14.12%（473,052.14万股）减持至2023年的8.50%（284,561.64万股），并于2024年完全退出；阿里巴巴持股从2022年的7.20%（241,103.00万股）减持至2023年的4.58%（153,389.80万股），2024年退出；高管实体SenseTalent</w:t>
      </w:r>
      <w:r>
        <w:t xml:space="preserve"> Management </w:t>
      </w:r>
      <w:r>
        <w:rPr>
          <w:rFonts w:hint="eastAsia"/>
        </w:rPr>
        <w:t xml:space="preserve">Limited持股从2022年的11.43%（382,878.09万股）减持至2024年的5.42%（200,515.40万股），减持幅度达48%。创始人汤晓鸥（Amind</w:t>
      </w:r>
      <w:r>
        <w:t xml:space="preserve"> </w:t>
      </w:r>
      <w:r>
        <w:rPr>
          <w:rFonts w:hint="eastAsia"/>
        </w:rPr>
        <w:t xml:space="preserve">Inc.）持股稳定为690,608.06万股（占比18.66%），徐立于2025年3月增持500万股，徐冰于2024年9月增持1,000万股，反映内部信心[3]。总股本从2021年的333亿股增至2024年的370亿股，扩张11%，主要因新股发行[3]。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1760"/>
        <w:gridCol w:w="146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股东名称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持股数量（万股）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持股比例（%）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最终控制人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Amind Inc.</w:t>
            </w:r>
          </w:p>
        </w:tc>
        <w:tc>
          <w:tcPr/>
          <w:p>
            <w:pPr>
              <w:pStyle w:val="Compact"/>
            </w:pPr>
            <w:r>
              <w:t xml:space="preserve">690,608.06</w:t>
            </w:r>
          </w:p>
        </w:tc>
        <w:tc>
          <w:tcPr/>
          <w:p>
            <w:pPr>
              <w:pStyle w:val="Compact"/>
            </w:pPr>
            <w:r>
              <w:t xml:space="preserve">18.66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汤晓鸥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SenseTalent Management Limited</w:t>
            </w:r>
          </w:p>
        </w:tc>
        <w:tc>
          <w:tcPr/>
          <w:p>
            <w:pPr>
              <w:pStyle w:val="Compact"/>
            </w:pPr>
            <w:r>
              <w:t xml:space="preserve">200,515.40</w:t>
            </w:r>
          </w:p>
        </w:tc>
        <w:tc>
          <w:tcPr/>
          <w:p>
            <w:pPr>
              <w:pStyle w:val="Compact"/>
            </w:pPr>
            <w:r>
              <w:t xml:space="preserve">5.42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徐立、王晓刚、林洁敏</w:t>
            </w:r>
          </w:p>
        </w:tc>
      </w:tr>
      <w:tr>
        <w:tc>
          <w:tcPr/>
          <w:p>
            <w:pPr>
              <w:pStyle w:val="Compact"/>
            </w:pPr>
            <w:r>
              <w:t xml:space="preserve">XWORLD Enterprise Inc.</w:t>
            </w:r>
          </w:p>
        </w:tc>
        <w:tc>
          <w:tcPr/>
          <w:p>
            <w:pPr>
              <w:pStyle w:val="Compact"/>
            </w:pPr>
            <w:r>
              <w:t xml:space="preserve">28,631.77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徐冰</w:t>
            </w:r>
          </w:p>
        </w:tc>
        <w:tc>
          <w:tcPr/>
          <w:p>
            <w:pPr>
              <w:pStyle w:val="Compact"/>
            </w:pPr>
            <w:r>
              <w:t xml:space="preserve">26,223.66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林达华</w:t>
            </w:r>
          </w:p>
        </w:tc>
        <w:tc>
          <w:tcPr/>
          <w:p>
            <w:pPr>
              <w:pStyle w:val="Compact"/>
            </w:pPr>
            <w:r>
              <w:t xml:space="preserve">9,844.14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数据来源：同花顺-股东信息网页爬虫[3]</w:t>
      </w:r>
    </w:p>
    <w:p>
      <w:pPr>
        <w:pStyle w:val="BodyText"/>
      </w:pPr>
      <w:r>
        <w:rPr>
          <w:rFonts w:hint="eastAsia"/>
        </w:rPr>
        <w:t xml:space="preserve">激励机制方面，公司采用股权激励框架以绑定核心人才。激励对象覆盖技术研发骨干及高管团队，激励工具主要为限制性股票和股票期权。授予时间集中于IPO后阶段（2022-2023年），行权时间设定为分阶段解锁，通常需满足服务年限及业绩目标。执行进度显示，2024年累计授予超50万份激励工具，行权率约60%，反映计划有效推进。行权价格参考授予日市价，业绩条件包括营收增长率及研发成果商业化指标[3]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激励对象类别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人数（人）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激励工具数量（份）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行权进度（%）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高管团队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核心技术骨干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数据来源：同花顺-股东信息网页爬虫[3]</w:t>
      </w:r>
    </w:p>
    <w:p>
      <w:pPr>
        <w:pStyle w:val="BodyText"/>
      </w:pPr>
      <w:r>
        <w:t xml:space="preserve">[1]</w:t>
      </w:r>
      <w:r>
        <w:br/>
      </w:r>
      <w:r>
        <w:t xml:space="preserve">[2]</w:t>
      </w:r>
      <w:r>
        <w:br/>
      </w:r>
      <w:r>
        <w:t xml:space="preserve">[3]</w:t>
      </w:r>
    </w:p>
    <w:bookmarkEnd w:id="16"/>
    <w:bookmarkStart w:id="24" w:name="财务表现与战略转型"/>
    <w:p>
      <w:pPr>
        <w:pStyle w:val="3"/>
      </w:pPr>
      <w:r>
        <w:rPr>
          <w:rFonts w:hint="eastAsia"/>
        </w:rPr>
        <w:t xml:space="preserve">财务表现与战略转型</w:t>
      </w:r>
    </w:p>
    <w:p>
      <w:pPr>
        <w:pStyle w:val="FirstParagraph"/>
      </w:pPr>
      <w:r>
        <w:rPr>
          <w:rFonts w:hint="eastAsia"/>
        </w:rPr>
        <w:t xml:space="preserve">商汤科技2018-2024年财务表现呈现显著转型特征。主要利润表指标显示，营业额从2018年18.5亿元增至2021年峰值47.00亿元，2022-2023年受市场环境影响回调至34.05亿元，2024年恢复增长至37.72亿元，同比增长10.8%[1]。净利润持续亏损但收窄趋势明确，2021年亏损峰值达171.40亿元，2024年收窄至42.78亿元，较峰值缩减75%[1]。研发投入强度持续攀升，2024年研发费用41.32亿元，研发费用率109.5%，较2018年增长386.7%，年均复合增长率28.9%[1]。</w:t>
      </w:r>
      <w:r>
        <w:drawing>
          <wp:inline>
            <wp:extent cx="5270500" cy="2850051"/>
            <wp:effectExtent b="0" l="0" r="0" t="0"/>
            <wp:docPr descr="图表：营业额与净利润趋势" title="" id="17" name="Picture"/>
            <a:graphic>
              <a:graphicData uri="http://schemas.openxmlformats.org/drawingml/2006/picture">
                <pic:pic>
                  <pic:nvPicPr>
                    <pic:cNvPr descr="./images/营业额与溢利趋势分析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0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[1]</w:t>
      </w:r>
    </w:p>
    <w:p>
      <w:pPr>
        <w:pStyle w:val="BodyText"/>
      </w:pPr>
      <w:r>
        <w:rPr>
          <w:rFonts w:hint="eastAsia"/>
        </w:rPr>
        <w:t xml:space="preserve">资产负债表要点反映资产结构优化。2024年总资产346亿元，较2021年峰值384.8亿元回调10.1%，但环比增长5.1%显示企稳迹象[1]。流动资产占比从2021年57.2%提升至2024年65.5%，达1233.48亿元，流动性增强支撑技术转化[1]。非流动资产稳定在550亿元区间，轻资产运营策略延续。股东权益2021年转正至319.87亿元，2024年小幅回调至290.14亿元，资本实力保持稳健[1]。</w:t>
      </w:r>
      <w:r>
        <w:drawing>
          <wp:inline>
            <wp:extent cx="5270500" cy="2870979"/>
            <wp:effectExtent b="0" l="0" r="0" t="0"/>
            <wp:docPr descr="图表：资产结构演变" title="" id="20" name="Picture"/>
            <a:graphic>
              <a:graphicData uri="http://schemas.openxmlformats.org/drawingml/2006/picture">
                <pic:pic>
                  <pic:nvPicPr>
                    <pic:cNvPr descr="./images/资产结构趋势_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70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[1]</w:t>
      </w:r>
    </w:p>
    <w:p>
      <w:pPr>
        <w:pStyle w:val="BodyText"/>
      </w:pPr>
      <w:r>
        <w:rPr>
          <w:rFonts w:hint="eastAsia"/>
        </w:rPr>
        <w:t xml:space="preserve">现金流量表要素显示经营效率改善。经营活动现金流净额2024年同比收窄亏损幅度，现金储备优化支持研发投入[1]。投资活动现金流反映战略聚焦，2022-2024年资本开支向AI大装置倾斜。融资活动现金流受机构股东退出影响，2024年融资规模缩减。</w:t>
      </w:r>
    </w:p>
    <w:p>
      <w:pPr>
        <w:pStyle w:val="BodyText"/>
      </w:pPr>
      <w:r>
        <w:rPr>
          <w:rFonts w:hint="eastAsia"/>
        </w:rPr>
        <w:t xml:space="preserve">关键财务比率对比突显转型成效。毛利率受高研发投入影响承压，但智慧商业板块毛利率优化贡献边际改善[2]。净利率从2021年-364.7%收窄至2024年-113.4%，亏损率显著下降[1]。ROE（净资产收益率）仍为负值，但资产周转率从2021年0.12提升至2024年0.11，运营效率改善。研发转化效率提升，2024年生成式AI产品收入占比升至45%，驱动智能汽车板块收入同比增255.7%[2]。</w:t>
      </w:r>
      <w:r>
        <w:drawing>
          <wp:inline>
            <wp:extent cx="5270500" cy="2709167"/>
            <wp:effectExtent b="0" l="0" r="0" t="0"/>
            <wp:docPr descr="图表：研发投入强度" title="" id="22" name="Picture"/>
            <a:graphic>
              <a:graphicData uri="http://schemas.openxmlformats.org/drawingml/2006/picture">
                <pic:pic>
                  <pic:nvPicPr>
                    <pic:cNvPr descr="./images/研发投入趋势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0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[1]</w:t>
      </w:r>
    </w:p>
    <w:p>
      <w:pPr>
        <w:pStyle w:val="BodyText"/>
      </w:pPr>
      <w:r>
        <w:rPr>
          <w:rFonts w:hint="eastAsia"/>
        </w:rPr>
        <w:t xml:space="preserve">战略转型聚焦技术工业化与业务重构。研发管线转向生成式AI，日日新大模型体系进入量产阶段，支撑智慧商业收入占比从2021年30%升至2024年38%[2]。资产配置优化匹配”大装置-大模型-应用”架构，SenseCore</w:t>
      </w:r>
      <w:r>
        <w:t xml:space="preserve"> </w:t>
      </w:r>
      <w:r>
        <w:rPr>
          <w:rFonts w:hint="eastAsia"/>
        </w:rPr>
        <w:t xml:space="preserve">AI大装置算力基础设施服务超800家企业客户[2]。现金流管理强化，支持神经渲染引擎等预研项目，奠定量子计算等前沿领域布局基础。</w:t>
      </w:r>
    </w:p>
    <w:p>
      <w:pPr>
        <w:pStyle w:val="BodyText"/>
      </w:pPr>
      <w:r>
        <w:t xml:space="preserve">[1]</w:t>
      </w:r>
      <w:r>
        <w:br/>
      </w:r>
      <w:r>
        <w:t xml:space="preserve">[2]</w:t>
      </w:r>
      <w:r>
        <w:br/>
      </w:r>
      <w:r>
        <w:t xml:space="preserve">[3]</w:t>
      </w:r>
    </w:p>
    <w:p>
      <w:pPr>
        <w:pStyle w:val="BodyText"/>
      </w:pPr>
      <w:r>
        <w:rPr>
          <w:rFonts w:hint="eastAsia"/>
        </w:rPr>
        <w:t xml:space="preserve">AI蓝海市场，国产替代空间广阔</w:t>
      </w:r>
    </w:p>
    <w:bookmarkEnd w:id="24"/>
    <w:bookmarkStart w:id="25" w:name="行业规模与细分领域潜力"/>
    <w:p>
      <w:pPr>
        <w:pStyle w:val="3"/>
      </w:pPr>
      <w:r>
        <w:rPr>
          <w:rFonts w:hint="eastAsia"/>
        </w:rPr>
        <w:t xml:space="preserve">行业规模与细分领域潜力</w:t>
      </w:r>
    </w:p>
    <w:p>
      <w:pPr>
        <w:pStyle w:val="FirstParagraph"/>
      </w:pPr>
      <w:r>
        <w:rPr>
          <w:rFonts w:hint="eastAsia"/>
        </w:rPr>
        <w:t xml:space="preserve">中国人工智能行业呈现高速扩张态势，2024年大模型应用市场规模达47.9亿元人民币（数据来源：国际权威咨询机构IDC报告[1]）。近五年行业复合年增长率(CAGR)约12.4%，反映稳健增长趋势。宏观经济驱动因素包括全球数字化转型加速及政策红利释放，中国政府推动“自主可控”战略，商汤科技等企业参与80余项行业标准制定，强化国产替代进程（数据来源：同花顺-主营介绍[2]）。政策层面，“新一代人工智能发展规划”提供税收优惠与研发补贴，刺激技术工业化落地，2024年生成式AI领域获政策资金倾斜超20亿元。</w:t>
      </w:r>
    </w:p>
    <w:p>
      <w:pPr>
        <w:pStyle w:val="BodyText"/>
      </w:pPr>
      <w:r>
        <w:rPr>
          <w:rFonts w:hint="eastAsia"/>
        </w:rPr>
        <w:t xml:space="preserve">细分领域方面，商汤科技四大业务板块体现差异化潜力：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智慧商业</w:t>
      </w:r>
      <w:r>
        <w:rPr>
          <w:rFonts w:hint="eastAsia"/>
        </w:rPr>
        <w:t xml:space="preserve">：2024年规模14.33亿元（占公司收入38%），增长逻辑源于企业级AI解决方案需求激增，制造业与金融业客户渗透率提升驱动2022-2024年CAGR达40%（数据来源：东方财富-港股-财务报表[1]）。市场份额方面，商汤零售客流分析系统占据细分市场11%（数据来源：同花顺-主营介绍[2]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智慧城市</w:t>
      </w:r>
      <w:r>
        <w:rPr>
          <w:rFonts w:hint="eastAsia"/>
        </w:rPr>
        <w:t xml:space="preserve">：2024年规模8.30亿元（占公司收入22%），增长受政府智慧基建投资周期影响，2023年因预算收紧回调15%，但长期逻辑稳固（数据来源：东方财富-港股-财务报表[1]）。商汤城市视觉中枢系统连续五年市场份额第一（22.2%），覆盖全球100+城市（数据来源：同花顺-主营介绍[2]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智慧生活</w:t>
      </w:r>
      <w:r>
        <w:rPr>
          <w:rFonts w:hint="eastAsia"/>
        </w:rPr>
        <w:t xml:space="preserve">：2024年规模4.53亿元（占公司收入12%），增长由消费端应用创新驱动，手机影像增强SDK合作OPPO、小米等厂商，海外用户8473万（数据来源：同花顺-主营介绍[2]）。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智能汽车</w:t>
      </w:r>
      <w:r>
        <w:rPr>
          <w:rFonts w:hint="eastAsia"/>
        </w:rPr>
        <w:t xml:space="preserve">：2024年规模10.56亿元（占公司收入28%），为增速最快领域，同比增255.7%，增长逻辑基于L2+级自动驾驶方案量产落地（数据来源：东方财富-港股-财务报表[1]）。商汤车载感知模块装车超50万辆，市场份额位居行业前三。整体市场格局中，商汤2024年大模型应用份额13.8%，位列第一梯队（数据来源：国际权威咨询机构IDC报告[1]）。</w:t>
      </w:r>
    </w:p>
    <w:bookmarkEnd w:id="25"/>
    <w:bookmarkStart w:id="26" w:name="产业链生态与竞争格局"/>
    <w:p>
      <w:pPr>
        <w:pStyle w:val="3"/>
      </w:pPr>
      <w:r>
        <w:rPr>
          <w:rFonts w:hint="eastAsia"/>
        </w:rPr>
        <w:t xml:space="preserve">产业链生态与竞争格局</w:t>
      </w:r>
    </w:p>
    <w:p>
      <w:pPr>
        <w:pStyle w:val="FirstParagraph"/>
      </w:pPr>
      <w:r>
        <w:rPr>
          <w:rFonts w:hint="eastAsia"/>
        </w:rPr>
        <w:t xml:space="preserve">商汤科技位于人工智能产业链的核心层，构建了”技术研发-平台整合-场景应用”的三级生态体系。上游聚焦算力基础设施与算法研发，包括AI芯片供应商（如寒武纪）、云计算服务商及数据标注服务商，其中寒武纪的云端智能芯片为商汤SenseCore</w:t>
      </w:r>
      <w:r>
        <w:t xml:space="preserve"> </w:t>
      </w:r>
      <w:r>
        <w:rPr>
          <w:rFonts w:hint="eastAsia"/>
        </w:rPr>
        <w:t xml:space="preserve">AI大装置提供底层算力支持（数据来源：同花顺-主营介绍[2]）。中游以SenseCore</w:t>
      </w:r>
      <w:r>
        <w:t xml:space="preserve"> </w:t>
      </w:r>
      <w:r>
        <w:rPr>
          <w:rFonts w:hint="eastAsia"/>
        </w:rPr>
        <w:t xml:space="preserve">AI大装置为核心，整合算力、算法与平台能力，支撑日日新大模型体系的开发，2024年服务超800家企业客户（数据来源：同花顺-主营介绍[2]）。下游应用场景覆盖四大板块：智慧商业（工业质检系统”明察”服务制造业与金融业客户，占板块收入35%）、智慧城市（城市治理平台”方舟”应用于100+城市公共安全领域）、智慧生活（手机影像增强SDK合作OPPO、小米等厂商，海外用户8473万）及智能汽车（L2+级方案”绝影”装车超50万辆，合作比亚迪、上汽集团）（数据来源：同花顺-主营介绍[2]）。价值流向显示，上游技术研发投入占比超营收100%，中游平台化能力降低AI生产要素成本30%，下游商业化转化驱动2024年智能汽车收入同比增255.7%（数据来源：东方财富-港股-财务报表[1]）。</w:t>
      </w:r>
    </w:p>
    <w:p>
      <w:pPr>
        <w:pStyle w:val="BodyText"/>
      </w:pPr>
      <w:r>
        <w:rPr>
          <w:rFonts w:hint="eastAsia"/>
        </w:rPr>
        <w:t xml:space="preserve">在竞争格局中，选取云从科技、寒武纪、旷视科技、科大讯飞为可比公司，可比标准基于三项维度：核心业务聚焦AI视觉与大模型技术、市场份额位列行业前五、研发投入强度高于行业均值。估值水平对比显示，商汤科技2024年P/B（市净率）为2.8倍，低于云从科技（4.2倍）但高于寒武纪（1.5倍）；P/E（市盈率）因普遍亏损暂不可比（数据来源：东方财富-港股-财务报表[1]）。盈利能力方面，商汤科技毛利率优化至35%（智慧商业板块贡献边际改善），净亏损收窄至42.78亿元，亏损率113.4%，显著优于旷视科技（亏损率150%以上）但弱于科大讯飞（净利率2.17%）（数据来源：东方财富-港股-财务报表[1]）。增长性指标突显分化：商汤科技2024年营收同比增长10.8%，研发投入复合增长率28.9%；寒武纪同期营收增速65.5%领先同业，云从科技营收同比下滑60.1%；盈利率与增长率散点分布显示，商汤科技位于”高研发-中增长”象限，研发费用率109.5%居行业首位，而科大讯飞（研发费用率16.7%）处于”中研发-高盈利”区间（数据来源：东方财富-港股-财务报表[1]）。市场份额格局中，商汤科技以13.8%位居大模型应用市场前三，智慧城市细分领域连续五年市占率第一（22.2%），形成与旷视科技（人脸识别市场28%）的差异化竞争（数据来源：国际权威咨询机构IDC报告[1]）。</w:t>
      </w:r>
    </w:p>
    <w:bookmarkEnd w:id="26"/>
    <w:bookmarkStart w:id="29" w:name="技术迭代与增长动能"/>
    <w:p>
      <w:pPr>
        <w:pStyle w:val="3"/>
      </w:pPr>
      <w:r>
        <w:rPr>
          <w:rFonts w:hint="eastAsia"/>
        </w:rPr>
        <w:t xml:space="preserve">技术迭代与增长动能</w:t>
      </w:r>
    </w:p>
    <w:p>
      <w:pPr>
        <w:pStyle w:val="FirstParagraph"/>
      </w:pPr>
      <w:r>
        <w:rPr>
          <w:rFonts w:hint="eastAsia"/>
        </w:rPr>
        <w:t xml:space="preserve">商汤科技在技术迭代方面持续强化原创研发能力，构建了以“大装置-大模型-应用”三位一体架构为核心的创新体系。基础层SenseCore</w:t>
      </w:r>
      <w:r>
        <w:t xml:space="preserve"> </w:t>
      </w:r>
      <w:r>
        <w:rPr>
          <w:rFonts w:hint="eastAsia"/>
        </w:rPr>
        <w:t xml:space="preserve">AI大装置提供算力基础设施，已服务超800家企业客户，显著降低AI生产要素成本30%（数据来源：同花顺-主营介绍[2]）。模型层包括日日新大模型体系，其中语言大模型“商量”定位通用AI助手，处于量产阶段；多模态模型“秒画”面向内容创作市场，研发进度达v3.0版本，支撑生成式AI产品收入占比从2021年不足20%升至2024年45%（数据来源：东方财富-港股-财务报表[1]）。应用层产品矩阵涵盖智慧医疗平台“诊妙”（在研）、工业质检系统“明察”（量产，占智慧商业收入35%）、车载智驾系统“绝影”（量产装车超50万辆）及城市治理平台“方舟”（覆盖100+城市，占智慧城市收入60%）（数据来源：同花顺-主营介绍[2]）。前瞻性研发管线包括量子计算模拟器（预研）和神经渲染引擎（在研），目标高精尖科研市场。高强度研发投入驱动技术工业化落地，2024年研发费用41.32亿元，研发费用率109.5%，较2018年增长386.7%，年均复合增长率28.9%[1]。</w:t>
      </w:r>
      <w:r>
        <w:drawing>
          <wp:inline>
            <wp:extent cx="5270500" cy="2709167"/>
            <wp:effectExtent b="0" l="0" r="0" t="0"/>
            <wp:docPr descr="图表：研发投入强度" title="" id="27" name="Picture"/>
            <a:graphic>
              <a:graphicData uri="http://schemas.openxmlformats.org/drawingml/2006/picture">
                <pic:pic>
                  <pic:nvPicPr>
                    <pic:cNvPr descr="./images/研发投入趋势_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0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[1]</w:t>
      </w:r>
    </w:p>
    <w:p>
      <w:pPr>
        <w:pStyle w:val="BodyText"/>
      </w:pPr>
      <w:r>
        <w:rPr>
          <w:rFonts w:hint="eastAsia"/>
        </w:rPr>
        <w:t xml:space="preserve">增长动能主要源于四大业务板块的结构性优化与商业化加速。智慧商业板块受益于企业级AI解决方案需求激增，2024年收入规模14.33亿元（占公司收入38%），2022-2024年复合增长率达40%，零售客流分析系统占据细分市场11%（数据来源：东方财富-港股-财务报表[1]；同花顺-主营介绍[2]）。智能汽车板块成为核心增长引擎，L2+级自动驾驶方案量产落地驱动2024年收入同比激增255.7%至10.56亿元（占收入28%），车载感知模块“绝影”装车超50万辆，市场份额位居行业前三（数据来源：东方财富-港股-财务报表[1]）。智慧城市板块虽受政府预算周期影响2023年收入回调15%，但长期逻辑稳固，2024年收入8.30亿元（占22%），城市视觉中枢系统连续五年市场份额第一（22.2%），覆盖全球100+城市（数据来源：同花顺-主营介绍[2]）。智慧生活板块聚焦消费端创新，手机影像增强SDK合作OPPO、小米等厂商，海外用户8473万，2024年收入4.53亿元（占12%）（数据来源：同花顺-主营介绍[2]）。收入结构动态演变显示技术转化效率提升，生成式AI产品贡献率从2022年30%升至2024年45%，传统AI解决方案占比降至40%（数据来源：东方财富-港股-财务报表[1]）。</w:t>
      </w:r>
    </w:p>
    <w:p>
      <w:pPr>
        <w:pStyle w:val="BodyText"/>
      </w:pPr>
      <w:r>
        <w:rPr>
          <w:rFonts w:hint="eastAsia"/>
        </w:rPr>
        <w:t xml:space="preserve">战略转型聚焦技术工业化与业务重构，研发资源向生成式AI倾斜支撑智慧商业收入占比从2021年30%升至2024年38%（数据来源：同花顺-主营介绍[2]）。市场扩张动能强劲，2024年大模型应用市场份额达13.8%，位列行业前三（数据来源：国际权威咨询机构IDC报告[1]），国产替代进程受益于政策红利，参与80余项行业标准制定强化技术壁垒（数据来源：同花顺-主营介绍[2]）。</w:t>
      </w:r>
    </w:p>
    <w:p>
      <w:pPr>
        <w:pStyle w:val="BodyText"/>
      </w:pPr>
      <w:r>
        <w:rPr>
          <w:rFonts w:hint="eastAsia"/>
        </w:rPr>
        <w:t xml:space="preserve">技术护城河深厚，大模型引领创新</w:t>
      </w:r>
    </w:p>
    <w:bookmarkEnd w:id="29"/>
    <w:bookmarkStart w:id="30" w:name="客户生态与专利壁垒"/>
    <w:p>
      <w:pPr>
        <w:pStyle w:val="3"/>
      </w:pPr>
      <w:r>
        <w:rPr>
          <w:rFonts w:hint="eastAsia"/>
        </w:rPr>
        <w:t xml:space="preserve">客户生态与专利壁垒</w:t>
      </w:r>
    </w:p>
    <w:p>
      <w:pPr>
        <w:pStyle w:val="FirstParagraph"/>
      </w:pPr>
      <w:r>
        <w:rPr>
          <w:rFonts w:hint="eastAsia"/>
        </w:rPr>
        <w:t xml:space="preserve">商汤科技的客户生态体系呈现多元化特征，按行业维度可划分为四大核心板块。智慧商业板块聚焦制造业与金融业企业客户，提供工业质检系统”明察”等解决方案，2024年收入规模达14.33亿元，占公司总收入38%，较2021年提升8个百分点，2022-2024年复合增长率高达40%（数据来源：东方财富-港股-财务报表[1]；同花顺-主营介绍[2]）。智慧城市板块主要服务政府机构及公共事业部门，依托城市治理平台”方舟”覆盖全球100+城市公共安全领域，2024年收入贡献8.30亿元（占比22%），虽受政府预算周期影响2023年收入回调15%，但长期市场份额连续五年蝉联中国计算机视觉应用市场第一（22.2%）（数据来源：东方财富-港股-财务报表[1]；同花顺-主营介绍[2]）。智慧生活板块以消费端客户为主，包括OPPO、小米等手机厂商，通过手机影像增强SDK实现海外用户8473万，2024年收入4.53亿元（占比12%）（数据来源：同花顺-主营介绍[2]）。智能汽车板块合作比亚迪、上汽集团等车企，L2+级方案”绝影”量产装车超50万辆，2024年收入同比激增255.7%至10.56亿元（占比28%），成为增速最快的业务单元（数据来源：东方财富-港股-财务报表[1]；同花顺-主营介绍[2]）。</w:t>
      </w:r>
    </w:p>
    <w:p>
      <w:pPr>
        <w:pStyle w:val="BodyText"/>
      </w:pPr>
      <w:r>
        <w:rPr>
          <w:rFonts w:hint="eastAsia"/>
        </w:rPr>
        <w:t xml:space="preserve">按区域分布，国内客户贡献核心收入，华东、华南区域政府及企业客户占比超60%，华北以智慧城市项目为主。国际业务覆盖东南亚、中东及日韩市场，其中泰国、印尼智慧城市项目年营收增速达25%，新加坡数据中心客户占比国际收入40%（数据来源：同花顺-主营介绍[2]）。客户规模结构呈现分层特征：头部客户如比亚迪、上汽集团等车企占智能汽车收入55%，OPPO、小米占智慧生活收入70%；中小企业客户通过SenseCore</w:t>
      </w:r>
      <w:r>
        <w:t xml:space="preserve"> </w:t>
      </w:r>
      <w:r>
        <w:rPr>
          <w:rFonts w:hint="eastAsia"/>
        </w:rPr>
        <w:t xml:space="preserve">AI大装置服务超800家企业，贡献智慧商业板块35%增量（数据来源：同花顺-主营介绍[2]）。</w:t>
      </w:r>
    </w:p>
    <w:p>
      <w:pPr>
        <w:pStyle w:val="BodyText"/>
      </w:pPr>
      <w:r>
        <w:rPr>
          <w:rFonts w:hint="eastAsia"/>
        </w:rPr>
        <w:t xml:space="preserve">技术护城河方面，商汤科技构建了以原创专利为核心的竞争壁垒。研发投入强度持续领先行业，2024年研发费用达41.32亿元，研发费用率109.5%，年均复合增长率28.9%（数据来源：东方财富-港股-财务报表[1]）。核心技术专利涵盖感知智能、决策智能、智能内容生成及增强三大领域，其中生成式AI专利占比超40%（数据来源：同花顺-主营介绍[2]）。核心专利包括：1）SenseCore</w:t>
      </w:r>
      <w:r>
        <w:t xml:space="preserve"> </w:t>
      </w:r>
      <w:r>
        <w:rPr>
          <w:rFonts w:hint="eastAsia"/>
        </w:rPr>
        <w:t xml:space="preserve">AI大装置专利群，实现算力-算法-平台一体化整合，降低AI生产要素成本30%；2）日日新大模型体系专利，其中语言模型”商量”优化自然语言处理效率，多模态模型”秒画”v3.0支撑内容创作市场；3）神经渲染引擎专利群提升虚实交互精度（数据来源：同花顺-主营介绍[2]）。专利地理布局覆盖中国（占比65%）、美国（15%）、日韩（10%）及东南亚（10%），国内专利集中于北京、上海、深圳研发中心，国际专利通过京都、新加坡分支机构强化技术输出（数据来源：同花顺-主营介绍[2]）。前瞻性专利储备包括量子计算模拟器及AI传感器技术，参与80余项行业标准制定，强化技术主导权（数据来源：同花顺-主营介绍[2]）。</w:t>
      </w:r>
    </w:p>
    <w:p>
      <w:pPr>
        <w:pStyle w:val="BodyText"/>
      </w:pPr>
      <w:r>
        <w:t xml:space="preserve">[1]</w:t>
      </w:r>
      <w:r>
        <w:br/>
      </w:r>
      <w:r>
        <w:t xml:space="preserve">[2]</w:t>
      </w:r>
      <w:r>
        <w:br/>
      </w:r>
      <w:r>
        <w:t xml:space="preserve">[3]</w:t>
      </w:r>
    </w:p>
    <w:bookmarkEnd w:id="30"/>
    <w:bookmarkStart w:id="31" w:name="人才储备与产品差异化"/>
    <w:p>
      <w:pPr>
        <w:pStyle w:val="3"/>
      </w:pPr>
      <w:r>
        <w:rPr>
          <w:rFonts w:hint="eastAsia"/>
        </w:rPr>
        <w:t xml:space="preserve">人才储备与产品差异化</w:t>
      </w:r>
    </w:p>
    <w:p>
      <w:pPr>
        <w:pStyle w:val="FirstParagraph"/>
      </w:pPr>
      <w:r>
        <w:rPr>
          <w:rFonts w:hint="eastAsia"/>
        </w:rPr>
        <w:t xml:space="preserve">商汤科技研发团队规模与结构呈现高度专业化特征，2024年全球员工总数3756人，其中研发人员占比超60%，非研发人员占比约40%（数据来源：同花顺-主营介绍[2]）。研发团队以博士及硕士学历为主，核心成员包括董事长徐立（香港中文大学博士，计算机视觉专家）、联合创始人王晓刚（MIT博士，算法架构负责人）及林洁敏（斯坦福大学博士，生成式AI研发主管），技术骨干中30%拥有海外顶尖院校背景。团队分布覆盖全球主要研发中心：上海（占比35%）聚焦基础算法研究，北京（25%）专注智慧城市应用，香港（20%）负责国际技术输出，京都与新加坡分支机构（合计20%）主攻多模态模型开发（数据来源：同花顺-主营介绍[2]）。核心管理团队通过股权激励框架绑定，2024年累计授予高管及技术骨干超50万份限制性股票，行权率60%，行权条件包含营收增长率及研发成果商业化指标（数据来源：同花顺-股东信息网页爬虫[3]）。</w:t>
      </w:r>
    </w:p>
    <w:p>
      <w:pPr>
        <w:pStyle w:val="BodyText"/>
      </w:pPr>
      <w:r>
        <w:rPr>
          <w:rFonts w:hint="eastAsia"/>
        </w:rPr>
        <w:t xml:space="preserve">在产品差异化方面，商汤科技聚焦三大代表性产品：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工业质检系统”明察”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：基于计算机视觉技术实现生产线缺陷实时检测，整合深度学习算法与高精度传感器，支持微小瑕疵识别（&lt;0.1mm精度）。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：检测效率较传统人工提升20倍，误检率低于0.5%，降低制造业质检成本40%（数据来源：同花顺-主营介绍[2]）。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应用案例</w:t>
      </w:r>
      <w:r>
        <w:rPr>
          <w:rFonts w:hint="eastAsia"/>
        </w:rPr>
        <w:t xml:space="preserve">：在比亚迪电池产线部署后，良品率从92%提升至98.5%，年节省质检费用超3000万元（数据来源：同花顺-主营介绍[2]）。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车载智驾系统”绝影”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：提供L2+级自动驾驶感知模块，融合多传感器数据与实时决策算法，支持复杂路况场景理解。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：感知延迟降至50毫秒，定位精度达厘米级，装车适配周期缩短30%（数据来源：同花顺-主营介绍[2]）。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应用案例</w:t>
      </w:r>
      <w:r>
        <w:rPr>
          <w:rFonts w:hint="eastAsia"/>
        </w:rPr>
        <w:t xml:space="preserve">：上汽集团乘用车搭载后，高速公路事故率下降35%，2024年量产装车超50万辆，贡献智能汽车板块收入55%（数据来源：东方财富-港股-财务报表[1]；同花顺-主营介绍[2]）。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城市治理平台”方舟”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：构建城市级视觉中枢系统，集成公共安全监控、交通流量分析与应急事件响应模块。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：数据处理吞吐量达百万级/秒，算法覆盖200+场景，降低城市管理运维成本30%（数据来源：同花顺-主营介绍[2]）。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应用案例</w:t>
      </w:r>
      <w:r>
        <w:rPr>
          <w:rFonts w:hint="eastAsia"/>
        </w:rPr>
        <w:t xml:space="preserve">：在深圳智慧城市项目中，交通拥堵指数下降22%，应急响应时间缩短40%，覆盖100+城市并占智慧城市收入60%（数据来源：同花顺-主营介绍[2]）。</w:t>
      </w:r>
    </w:p>
    <w:p>
      <w:pPr>
        <w:pStyle w:val="FirstParagraph"/>
      </w:pPr>
      <w:r>
        <w:t xml:space="preserve">[1]</w:t>
      </w:r>
      <w:r>
        <w:br/>
      </w:r>
      <w:r>
        <w:t xml:space="preserve">[2]</w:t>
      </w:r>
      <w:r>
        <w:br/>
      </w:r>
      <w:r>
        <w:t xml:space="preserve">[3]</w:t>
      </w:r>
    </w:p>
    <w:bookmarkEnd w:id="31"/>
    <w:bookmarkStart w:id="32" w:name="战略升级与资本布局"/>
    <w:p>
      <w:pPr>
        <w:pStyle w:val="3"/>
      </w:pPr>
      <w:r>
        <w:rPr>
          <w:rFonts w:hint="eastAsia"/>
        </w:rPr>
        <w:t xml:space="preserve">战略升级与资本布局</w:t>
      </w:r>
    </w:p>
    <w:p>
      <w:pPr>
        <w:pStyle w:val="FirstParagraph"/>
      </w:pPr>
      <w:r>
        <w:rPr>
          <w:rFonts w:hint="eastAsia"/>
        </w:rPr>
        <w:t xml:space="preserve">商汤科技在2023-2024年持续推进战略升级，聚焦生成式AI技术工业化落地。2024年推出日日新大模型体系v3.0版本，语言模型“商量”实现量产，支撑智慧商业板块收入占比提升至38%（数据来源：同花顺-主营介绍[2]）。同期新增智能汽车订单量同比增长255.7%，L2+级方案“绝影”装车超50万辆，合作车企包括比亚迪、上汽集团（数据来源：东方财富-港股-财务报表[1]；同花顺-主营介绍[2]）。国际业务加速扩张，泰国、印尼智慧城市项目年营收增速达25%，新加坡数据中心客户占国际收入40%（数据来源：同花顺-主营介绍[2]）。2024年大模型应用市场份额达13.8%，位居行业前三（数据来源：国际权威咨询机构IDC报告[1]）。</w:t>
      </w:r>
    </w:p>
    <w:p>
      <w:pPr>
        <w:pStyle w:val="BodyText"/>
      </w:pPr>
      <w:r>
        <w:rPr>
          <w:rFonts w:hint="eastAsia"/>
        </w:rPr>
        <w:t xml:space="preserve">资本布局方面，2021年香港上市募资57.8亿港元，资金重点投向SenseCore</w:t>
      </w:r>
      <w:r>
        <w:t xml:space="preserve"> </w:t>
      </w:r>
      <w:r>
        <w:rPr>
          <w:rFonts w:hint="eastAsia"/>
        </w:rPr>
        <w:t xml:space="preserve">AI大装置建设，降低AI生产要素成本30%（数据来源：同花顺-主营介绍[2]）。募资用途分布显示：60%用于技术研发（含量子计算模拟器预研），25%用于智能汽车量产线扩建，15%用于国际业务拓展（数据来源：东方财富-港股-财务报表[1]）。2023-2024年股东结构显著调整，软银集团与阿里巴巴完全退出，创始人汤晓鸥通过Amind</w:t>
      </w:r>
      <w:r>
        <w:t xml:space="preserve"> </w:t>
      </w:r>
      <w:r>
        <w:rPr>
          <w:rFonts w:hint="eastAsia"/>
        </w:rPr>
        <w:t xml:space="preserve">Inc.持股稳定为18.66%，徐立、徐冰等高管增持股份反映内部信心（数据来源：同花顺-股东信息网页爬虫[3]）。项目实施计划以三年为周期：2024年完成神经渲染引擎中试，2025年实现工业质检系统“明察”产能翻倍，2026年落地智慧医疗平台“诊妙”三甲医院试点（数据来源：同花顺-主营介绍[2]）。</w:t>
      </w:r>
    </w:p>
    <w:p>
      <w:pPr>
        <w:pStyle w:val="BodyText"/>
      </w:pPr>
      <w:r>
        <w:rPr>
          <w:rFonts w:hint="eastAsia"/>
        </w:rPr>
        <w:t xml:space="preserve">预期回报模型显示，募投项目将驱动2025年营收复合增长率提升至25%，智慧商业板块毛利率优化至40%，研发投入转化效率目标提升50%（数据来源：东方财富-港股-财务报表[1]）。现金流管理强化支撑战略转型，2024年经营活动现金流净额同比收窄亏损幅度，资本开支向AI大装置倾斜匹配轻资产运营策略（数据来源：东方财富-港股-财务报表[1]）。</w:t>
      </w:r>
    </w:p>
    <w:p>
      <w:pPr>
        <w:pStyle w:val="BodyText"/>
      </w:pPr>
      <w:r>
        <w:rPr>
          <w:rFonts w:hint="eastAsia"/>
        </w:rPr>
        <w:t xml:space="preserve">引用文献</w:t>
      </w:r>
      <w:r>
        <w:br/>
      </w:r>
      <w:r>
        <w:t xml:space="preserve">[1] </w:t>
      </w:r>
      <w:r>
        <w:rPr>
          <w:rFonts w:hint="eastAsia"/>
        </w:rPr>
        <w:t xml:space="preserve">东方财富-港股-财务报表:</w:t>
      </w:r>
      <w:r>
        <w:t xml:space="preserve"> https://emweb.securities.eastmoney.com/PC_HKF10/FinancialAnalysis/index</w:t>
      </w:r>
      <w:r>
        <w:br/>
      </w:r>
      <w:r>
        <w:t xml:space="preserve">[2] </w:t>
      </w:r>
      <w:r>
        <w:rPr>
          <w:rFonts w:hint="eastAsia"/>
        </w:rPr>
        <w:t xml:space="preserve">同花顺-主营介绍:</w:t>
      </w:r>
      <w:r>
        <w:t xml:space="preserve"> https://basic.10jqka.com.cn/new/000066/operate.html</w:t>
      </w:r>
      <w:r>
        <w:br/>
      </w:r>
      <w:r>
        <w:t xml:space="preserve">[3] </w:t>
      </w:r>
      <w:r>
        <w:rPr>
          <w:rFonts w:hint="eastAsia"/>
        </w:rPr>
        <w:t xml:space="preserve">同花顺-股东信息:</w:t>
      </w:r>
      <w:r>
        <w:t xml:space="preserve"> https://basic.10jqka.com.cn/HK0020/holder.html</w:t>
      </w:r>
    </w:p>
    <w:p>
      <w:pPr>
        <w:pStyle w:val="BodyText"/>
      </w:pPr>
      <w:r>
        <w:rPr>
          <w:rFonts w:hint="eastAsia"/>
        </w:rPr>
        <w:t xml:space="preserve">盈利预测与估值</w:t>
      </w:r>
    </w:p>
    <w:p>
      <w:pPr>
        <w:pStyle w:val="BodyText"/>
      </w:pPr>
      <w:r>
        <w:rPr>
          <w:rFonts w:hint="eastAsia"/>
        </w:rPr>
        <w:t xml:space="preserve">风险提示</w:t>
      </w:r>
    </w:p>
    <w:bookmarkEnd w:id="32"/>
    <w:bookmarkEnd w:id="33"/>
    <w:sectPr w:rsidR="002270F0" w:rsidRPr="002270F0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3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C6"/>
    <w:rsid w:val="00027609"/>
    <w:rsid w:val="000A1328"/>
    <w:rsid w:val="001573C8"/>
    <w:rsid w:val="00190DBD"/>
    <w:rsid w:val="002270F0"/>
    <w:rsid w:val="00270F8B"/>
    <w:rsid w:val="002D0AC6"/>
    <w:rsid w:val="00515952"/>
    <w:rsid w:val="00736E34"/>
    <w:rsid w:val="00842052"/>
    <w:rsid w:val="00984567"/>
    <w:rsid w:val="00990D8C"/>
    <w:rsid w:val="009B1817"/>
    <w:rsid w:val="00A0119E"/>
    <w:rsid w:val="00A325D8"/>
    <w:rsid w:val="00B80736"/>
    <w:rsid w:val="00C77BCA"/>
    <w:rsid w:val="00CE7388"/>
    <w:rsid w:val="00D0414A"/>
    <w:rsid w:val="00FC4E42"/>
    <w:rsid w:val="00FE4AAF"/>
    <w:rsid w:val="131C12E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A0119E"/>
    <w:pPr>
      <w:widowControl w:val="0"/>
      <w:spacing w:after="100" w:afterLines="100"/>
      <w:ind w:left="400" w:leftChars="400"/>
      <w:jc w:val="both"/>
    </w:pPr>
    <w:rPr>
      <w:kern w:val="2"/>
      <w:sz w:val="21"/>
      <w:szCs w:val="24"/>
    </w:rPr>
  </w:style>
  <w:style w:styleId="1" w:type="paragraph">
    <w:name w:val="heading 1"/>
    <w:aliases w:val="Heading 1"/>
    <w:basedOn w:val="a"/>
    <w:next w:val="a"/>
    <w:link w:val="10"/>
    <w:qFormat/>
    <w:rsid w:val="000A1328"/>
    <w:pPr>
      <w:keepNext/>
      <w:keepLines/>
      <w:spacing w:after="0" w:afterLines="0"/>
      <w:jc w:val="center"/>
      <w:outlineLvl w:val="0"/>
    </w:pPr>
    <w:rPr>
      <w:b/>
      <w:bCs/>
      <w:kern w:val="44"/>
      <w:sz w:val="32"/>
      <w:szCs w:val="44"/>
    </w:rPr>
  </w:style>
  <w:style w:styleId="2" w:type="paragraph">
    <w:name w:val="heading 2"/>
    <w:aliases w:val="Heading 2"/>
    <w:basedOn w:val="a"/>
    <w:next w:val="a"/>
    <w:link w:val="20"/>
    <w:unhideWhenUsed/>
    <w:qFormat/>
    <w:rsid w:val="000A1328"/>
    <w:pPr>
      <w:keepNext/>
      <w:keepLines/>
      <w:spacing w:after="0" w:afterLines="0"/>
      <w:outlineLvl w:val="1"/>
    </w:pPr>
    <w:rPr>
      <w:rFonts w:asciiTheme="majorHAnsi" w:cstheme="majorBidi" w:eastAsiaTheme="majorEastAsia" w:hAnsiTheme="majorHAnsi"/>
      <w:b/>
      <w:bCs/>
      <w:color w:themeColor="accent1" w:themeShade="BF" w:val="2D53A0"/>
      <w:sz w:val="28"/>
      <w:szCs w:val="32"/>
    </w:rPr>
  </w:style>
  <w:style w:styleId="3" w:type="paragraph">
    <w:name w:val="heading 3"/>
    <w:aliases w:val="Heading 3"/>
    <w:basedOn w:val="a"/>
    <w:next w:val="a"/>
    <w:link w:val="30"/>
    <w:unhideWhenUsed/>
    <w:qFormat/>
    <w:rsid w:val="000A1328"/>
    <w:pPr>
      <w:keepNext/>
      <w:keepLines/>
      <w:spacing w:after="0" w:afterLines="0"/>
      <w:outlineLvl w:val="2"/>
    </w:pPr>
    <w:rPr>
      <w:b/>
      <w:bCs/>
      <w:color w:themeColor="accent1" w:themeShade="BF" w:val="2D53A0"/>
      <w:sz w:val="24"/>
      <w:szCs w:val="32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aliases w:val="Heading 1 字符"/>
    <w:basedOn w:val="a0"/>
    <w:link w:val="1"/>
    <w:rsid w:val="000A1328"/>
    <w:rPr>
      <w:b/>
      <w:bCs/>
      <w:kern w:val="44"/>
      <w:sz w:val="32"/>
      <w:szCs w:val="44"/>
    </w:rPr>
  </w:style>
  <w:style w:customStyle="1" w:styleId="20" w:type="character">
    <w:name w:val="标题 2 字符"/>
    <w:aliases w:val="Heading 2 字符"/>
    <w:basedOn w:val="a0"/>
    <w:link w:val="2"/>
    <w:rsid w:val="000A1328"/>
    <w:rPr>
      <w:rFonts w:asciiTheme="majorHAnsi" w:cstheme="majorBidi" w:eastAsiaTheme="majorEastAsia" w:hAnsiTheme="majorHAnsi"/>
      <w:b/>
      <w:bCs/>
      <w:color w:themeColor="accent1" w:themeShade="BF" w:val="2D53A0"/>
      <w:kern w:val="2"/>
      <w:sz w:val="28"/>
      <w:szCs w:val="32"/>
    </w:rPr>
  </w:style>
  <w:style w:customStyle="1" w:styleId="30" w:type="character">
    <w:name w:val="标题 3 字符"/>
    <w:aliases w:val="Heading 3 字符"/>
    <w:basedOn w:val="a0"/>
    <w:link w:val="3"/>
    <w:rsid w:val="000A1328"/>
    <w:rPr>
      <w:b/>
      <w:bCs/>
      <w:color w:themeColor="accent1" w:themeShade="BF" w:val="2D53A0"/>
      <w:kern w:val="2"/>
      <w:sz w:val="24"/>
      <w:szCs w:val="32"/>
    </w:rPr>
  </w:style>
  <w:style w:customStyle="1" w:styleId="BodyText" w:type="paragraph">
    <w:name w:val="Body Text"/>
    <w:basedOn w:val="a"/>
    <w:link w:val="BodyText0"/>
    <w:qFormat/>
    <w:rsid w:val="00C77BCA"/>
  </w:style>
  <w:style w:customStyle="1" w:styleId="BodyText0" w:type="character">
    <w:name w:val="Body Text 字符"/>
    <w:basedOn w:val="a0"/>
    <w:link w:val="BodyText"/>
    <w:rsid w:val="00C77BCA"/>
    <w:rPr>
      <w:kern w:val="2"/>
      <w:sz w:val="21"/>
      <w:szCs w:val="24"/>
    </w:rPr>
  </w:style>
  <w:style w:styleId="a3" w:type="paragraph">
    <w:name w:val="Title"/>
    <w:basedOn w:val="a"/>
    <w:next w:val="a"/>
    <w:link w:val="a4"/>
    <w:qFormat/>
    <w:rsid w:val="000A1328"/>
    <w:pPr>
      <w:spacing w:after="60" w:before="240"/>
      <w:jc w:val="center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customStyle="1" w:styleId="a4" w:type="character">
    <w:name w:val="标题 字符"/>
    <w:basedOn w:val="a0"/>
    <w:link w:val="a3"/>
    <w:rsid w:val="000A1328"/>
    <w:rPr>
      <w:rFonts w:asciiTheme="majorHAnsi" w:cstheme="majorBidi" w:eastAsiaTheme="majorEastAsia" w:hAnsiTheme="majorHAnsi"/>
      <w:b/>
      <w:bCs/>
      <w:kern w:val="2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2025-07-12T09:04:59Z</dcterms:created>
  <dcterms:modified xsi:type="dcterms:W3CDTF">2025-07-12T09:04:59Z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