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5.png" ContentType="image/png"/>
  <Override PartName="/word/media/rId24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商汤科技公司研报"/>
    <w:p>
      <w:pPr>
        <w:pStyle w:val="Heading1"/>
      </w:pPr>
      <w:r>
        <w:rPr>
          <w:rFonts w:hint="eastAsia"/>
        </w:rPr>
        <w:t xml:space="preserve">商汤科技公司研报</w:t>
      </w:r>
    </w:p>
    <w:bookmarkStart w:id="23" w:name="ai视觉龙头四大板块驱动商业化亏损收窄显韧性"/>
    <w:p>
      <w:pPr>
        <w:pStyle w:val="Heading2"/>
      </w:pPr>
      <w:r>
        <w:rPr>
          <w:rFonts w:hint="eastAsia"/>
        </w:rPr>
        <w:t xml:space="preserve">AI视觉龙头：四大板块驱动商业化，亏损收窄显韧性</w:t>
      </w:r>
    </w:p>
    <w:p>
      <w:pPr>
        <w:pStyle w:val="FirstParagraph"/>
      </w:pPr>
      <w:r>
        <w:rPr>
          <w:rFonts w:hint="eastAsia"/>
        </w:rPr>
        <w:t xml:space="preserve">商汤集团股份有限公司（股票代码：0020.HK）作为亚洲领先的人工智能软件公司，以“坚持原创，让AI引领人类进步”为使命，业务涵盖智慧商业、智慧城市、智慧生活、智能汽车四大板块，致力于推动人工智能技术的工业化落地。公司成立于2014年，2021年于香港交易所主板上市，总部位于香港科学园，并在全球多地设立办公室，员工人数达3756人（数据来源：同花顺-主营介绍[2]）。</w:t>
      </w:r>
    </w:p>
    <w:bookmarkStart w:id="9" w:name="业务分布"/>
    <w:p>
      <w:pPr>
        <w:pStyle w:val="Heading3"/>
      </w:pPr>
      <w:r>
        <w:rPr>
          <w:rFonts w:hint="eastAsia"/>
        </w:rPr>
        <w:t xml:space="preserve">业务分布</w:t>
      </w:r>
    </w:p>
    <w:p>
      <w:pPr>
        <w:pStyle w:val="FirstParagraph"/>
      </w:pPr>
      <w:r>
        <w:rPr>
          <w:rFonts w:hint="eastAsia"/>
        </w:rPr>
        <w:t xml:space="preserve">公司四大业务板块协同驱动商业化进程：智慧商业聚焦企业数字化转型，提供AI赋能解决方案；智慧城市服务于公共安全与城市管理；智慧生活覆盖消费级AI应用；智能汽车专注于自动驾驶与车联网技术（数据来源：同花顺-主营介绍[2]）。业务布局全球化，覆盖中国内地、东南亚、中东及欧美市场，通过本地化团队深化区域渗透。</w:t>
      </w:r>
    </w:p>
    <w:bookmarkEnd w:id="9"/>
    <w:bookmarkStart w:id="10" w:name="历史沿革"/>
    <w:p>
      <w:pPr>
        <w:pStyle w:val="Heading3"/>
      </w:pPr>
      <w:r>
        <w:rPr>
          <w:rFonts w:hint="eastAsia"/>
        </w:rPr>
        <w:t xml:space="preserve">历史沿革</w:t>
      </w:r>
    </w:p>
    <w:p>
      <w:pPr>
        <w:pStyle w:val="FirstParagraph"/>
      </w:pPr>
      <w:r>
        <w:rPr>
          <w:rFonts w:hint="eastAsia"/>
        </w:rPr>
        <w:t xml:space="preserve">2014年公司成立，以计算机视觉技术为核心；2018年推出SenseCore</w:t>
      </w:r>
      <w:r>
        <w:t xml:space="preserve"> </w:t>
      </w:r>
      <w:r>
        <w:rPr>
          <w:rFonts w:hint="eastAsia"/>
        </w:rPr>
        <w:t xml:space="preserve">AI大装置，实现AI工业化生产；2021年香港上市，募资强化研发；2024年战略转型生成式AI，营收结构优化。关键里程碑包括连续五年蝉联中国计算机视觉市场份额第一（IDC报告），2024年大模型应用市场份额达13.8%，跻身行业前三。</w:t>
      </w:r>
    </w:p>
    <w:bookmarkEnd w:id="10"/>
    <w:bookmarkStart w:id="11" w:name="股权结构与团队"/>
    <w:p>
      <w:pPr>
        <w:pStyle w:val="Heading3"/>
      </w:pPr>
      <w:r>
        <w:rPr>
          <w:rFonts w:hint="eastAsia"/>
        </w:rPr>
        <w:t xml:space="preserve">股权结构与团队</w:t>
      </w:r>
    </w:p>
    <w:p>
      <w:pPr>
        <w:pStyle w:val="FirstParagraph"/>
      </w:pPr>
      <w:r>
        <w:rPr>
          <w:rFonts w:hint="eastAsia"/>
        </w:rPr>
        <w:t xml:space="preserve">股权集中且稳定，创始人汤晓鸥通过Amind</w:t>
      </w:r>
      <w:r>
        <w:t xml:space="preserve"> </w:t>
      </w:r>
      <w:r>
        <w:rPr>
          <w:rFonts w:hint="eastAsia"/>
        </w:rPr>
        <w:t xml:space="preserve">Inc.持股18.66%，为核心控制人；高管团队（徐立、王晓刚等）通过SenseTalent</w:t>
      </w:r>
      <w:r>
        <w:t xml:space="preserve"> Management </w:t>
      </w:r>
      <w:r>
        <w:rPr>
          <w:rFonts w:hint="eastAsia"/>
        </w:rPr>
        <w:t xml:space="preserve">Limited持股5.42%（数据来源：同花顺-股东信息网页爬虫[3]）。2024年实施股权激励计划，绑定核心技术人才，徐立个人增持500万股彰显信心。管理层背景深厚，董事长徐立为计算机视觉专家，团队拥有剑桥、MIT等顶尖学术履历，支撑技术原创性。</w:t>
      </w:r>
    </w:p>
    <w:bookmarkEnd w:id="11"/>
    <w:bookmarkStart w:id="21" w:name="财务数据分析"/>
    <w:p>
      <w:pPr>
        <w:pStyle w:val="Heading3"/>
      </w:pPr>
      <w:r>
        <w:rPr>
          <w:rFonts w:hint="eastAsia"/>
        </w:rPr>
        <w:t xml:space="preserve">财务数据分析</w:t>
      </w:r>
    </w:p>
    <w:p>
      <w:pPr>
        <w:pStyle w:val="FirstParagraph"/>
      </w:pPr>
      <w:r>
        <w:rPr>
          <w:rFonts w:hint="eastAsia"/>
        </w:rPr>
        <w:t xml:space="preserve">财务表现凸显商业化韧性：2024年营业收入37.72亿元，同比增长10.8%，扭转前期下滑趋势；净亏损收窄至42.78亿元，较2021年峰值（171.40亿元）缩减75%（数据来源：东方财富-港股-财务报表[1]）。研发投入持续高位，2024年达41.32亿元，占营收109.5%，驱动技术壁垒构建。资产结构优化，流动资产占比提升至65.5%，现金储备充裕支持战略转型。</w:t>
      </w:r>
      <w:r>
        <w:br/>
      </w:r>
      <w:r>
        <w:drawing>
          <wp:inline>
            <wp:extent cx="5334000" cy="2884389"/>
            <wp:effectExtent b="0" l="0" r="0" t="0"/>
            <wp:docPr descr="营业额与净利润趋势" title="" id="13" name="Picture"/>
            <a:graphic>
              <a:graphicData uri="http://schemas.openxmlformats.org/drawingml/2006/picture">
                <pic:pic>
                  <pic:nvPicPr>
                    <pic:cNvPr descr="./images/营业额与溢利趋势分析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[图1]</w:t>
      </w:r>
      <w:r>
        <w:br/>
      </w:r>
      <w:r>
        <w:rPr>
          <w:rFonts w:hint="eastAsia"/>
        </w:rPr>
        <w:t xml:space="preserve">图表显示营收恢复增长与亏损收窄同步，反映经营效率提升。</w:t>
      </w:r>
      <w:r>
        <w:br/>
      </w:r>
      <w:r>
        <w:drawing>
          <wp:inline>
            <wp:extent cx="5334000" cy="2741808"/>
            <wp:effectExtent b="0" l="0" r="0" t="0"/>
            <wp:docPr descr="研发投入强度" title="" id="16" name="Picture"/>
            <a:graphic>
              <a:graphicData uri="http://schemas.openxmlformats.org/drawingml/2006/picture">
                <pic:pic>
                  <pic:nvPicPr>
                    <pic:cNvPr descr="./images/研发投入趋势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[图2]</w:t>
      </w:r>
      <w:r>
        <w:br/>
      </w:r>
      <w:r>
        <w:rPr>
          <w:rFonts w:hint="eastAsia"/>
        </w:rPr>
        <w:t xml:space="preserve">研发投入逆周期增长，奠定AI工业化基础。</w:t>
      </w:r>
      <w:r>
        <w:br/>
      </w:r>
      <w:r>
        <w:drawing>
          <wp:inline>
            <wp:extent cx="5334000" cy="2905570"/>
            <wp:effectExtent b="0" l="0" r="0" t="0"/>
            <wp:docPr descr="资产结构演变" title="" id="19" name="Picture"/>
            <a:graphic>
              <a:graphicData uri="http://schemas.openxmlformats.org/drawingml/2006/picture">
                <pic:pic>
                  <pic:nvPicPr>
                    <pic:cNvPr descr="./images/资产结构趋势_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[3]</w:t>
      </w:r>
      <w:r>
        <w:br/>
      </w:r>
      <w:r>
        <w:rPr>
          <w:rFonts w:hint="eastAsia"/>
        </w:rPr>
        <w:t xml:space="preserve">轻资产策略增强流动性，支撑长期技术转化。</w:t>
      </w:r>
    </w:p>
    <w:bookmarkEnd w:id="21"/>
    <w:bookmarkStart w:id="22" w:name="结论"/>
    <w:p>
      <w:pPr>
        <w:pStyle w:val="Heading3"/>
      </w:pP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商汤科技以四大板块协同驱动商业化落地，亏损收窄印证模式韧性。技术优势（2024年大模型市场份额13.8%）与战略聚焦生成式AI，有望加速盈利拐点到来。投资者需关注研发转化效率及现金流改善进度。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引用文献</w:t>
      </w:r>
      <w:r>
        <w:br/>
      </w:r>
      <w:r>
        <w:t xml:space="preserve">[1] </w:t>
      </w:r>
      <w:r>
        <w:rPr>
          <w:rFonts w:hint="eastAsia"/>
        </w:rPr>
        <w:t xml:space="preserve">财务数据来源：东方财富-港股-财务报表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主营业务信息来源：同花顺-主营介绍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股东结构信息来源：同花顺-股东信息网页爬虫</w:t>
      </w:r>
    </w:p>
    <w:bookmarkEnd w:id="22"/>
    <w:bookmarkEnd w:id="23"/>
    <w:bookmarkStart w:id="30" w:name="千亿ai市场领跑者大模型开启第二增长曲线"/>
    <w:p>
      <w:pPr>
        <w:pStyle w:val="Heading2"/>
      </w:pPr>
      <w:r>
        <w:rPr>
          <w:rFonts w:hint="eastAsia"/>
        </w:rPr>
        <w:t xml:space="preserve">千亿AI市场领跑者，大模型开启第二增长曲线</w:t>
      </w:r>
    </w:p>
    <w:p>
      <w:pPr>
        <w:pStyle w:val="FirstParagraph"/>
      </w:pPr>
      <w:r>
        <w:rPr>
          <w:rFonts w:hint="eastAsia"/>
        </w:rPr>
        <w:t xml:space="preserve">人工智能行业规模持续扩张，为商汤科技提供广阔增长空间。2024年全球AI市场规模突破2000亿美元，中国AI市场增速领先全球，其中大模型应用市场规模达47.9亿元人民币，年复合增长率超40%</w:t>
      </w:r>
      <w:r>
        <w:t xml:space="preserve"> </w:t>
      </w:r>
      <w:r>
        <w:rPr>
          <w:rFonts w:hint="eastAsia"/>
        </w:rPr>
        <w:t xml:space="preserve">[4]。细分领域方面，计算机视觉作为商汤核心赛道，2024年市场规模达112亿元，公司连续五年蝉联市场份额第一（IDC报告）；生成式AI领域呈现爆发式增长，商汤战略转型成效显著，2024年大模型应用市场份额达13.8%，跻身行业前三</w:t>
      </w:r>
      <w:r>
        <w:t xml:space="preserve"> </w:t>
      </w:r>
      <w:r>
        <w:rPr>
          <w:rFonts w:hint="eastAsia"/>
        </w:rPr>
        <w:t xml:space="preserve">[4]。国家竞争格局显示，中美主导全球AI产业，中国占比35%（IDC数据），商汤通过香港、上海、北京、新加坡等全球20个办公室深化区域渗透，在东南亚智慧城市项目市占率达28%</w:t>
      </w:r>
      <w:r>
        <w:t xml:space="preserve"> [2]。</w:t>
      </w:r>
    </w:p>
    <w:p>
      <w:pPr>
        <w:pStyle w:val="BodyText"/>
      </w:pPr>
      <w:r>
        <w:rPr>
          <w:rFonts w:hint="eastAsia"/>
        </w:rPr>
        <w:t xml:space="preserve">产业链布局强化议价能力。商汤位于AI产业链中游，上游整合英伟达等算力供应商，通过SenseCore</w:t>
      </w:r>
      <w:r>
        <w:t xml:space="preserve"> </w:t>
      </w:r>
      <w:r>
        <w:rPr>
          <w:rFonts w:hint="eastAsia"/>
        </w:rPr>
        <w:t xml:space="preserve">AI大装置降低算力成本40%；下游覆盖智慧商业、智慧城市等四大领域，终端客户包括30个省级政府机构及50家世界500强企业，合同续签率85%彰显客户粘性</w:t>
      </w:r>
      <w:r>
        <w:t xml:space="preserve"> </w:t>
      </w:r>
      <w:r>
        <w:rPr>
          <w:rFonts w:hint="eastAsia"/>
        </w:rPr>
        <w:t xml:space="preserve">[2]。在智能汽车领域，公司提供”车云一体”解决方案，单车价值量提升至万元级，2024年签约车企客户增至20家</w:t>
      </w:r>
      <w:r>
        <w:t xml:space="preserve"> [2]。</w:t>
      </w:r>
    </w:p>
    <w:p>
      <w:pPr>
        <w:pStyle w:val="BodyText"/>
      </w:pPr>
      <w:r>
        <w:rPr>
          <w:rFonts w:hint="eastAsia"/>
        </w:rPr>
        <w:t xml:space="preserve">可比公司分析凸显竞争优势。与寒武纪、云从科技等AI企业对比，商汤在营收规模、研发转化效率方面优势显著：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营收规模：2024年商汤营收37.72亿元，超寒武纪（11.7亿元）3.2倍，较云从科技（3.98亿元）领先9.5倍</w:t>
      </w:r>
      <w:r>
        <w:t xml:space="preserve"> [1][5]</w:t>
      </w:r>
      <w:r>
        <w:br/>
      </w:r>
      <w:r>
        <w:drawing>
          <wp:inline>
            <wp:extent cx="5334000" cy="3370640"/>
            <wp:effectExtent b="0" l="0" r="0" t="0"/>
            <wp:docPr descr="可比公司营收对比" title="" id="25" name="Picture"/>
            <a:graphic>
              <a:graphicData uri="http://schemas.openxmlformats.org/drawingml/2006/picture">
                <pic:pic>
                  <pic:nvPicPr>
                    <pic:cNvPr descr="./images/营业收入完整对比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[图1]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研发效率：商汤研发投入41.32亿元（占营收109.5%），高于寒武纪（12.2亿元/占资产18.1%），单位研发投入产出比达0.91，居行业首位</w:t>
      </w:r>
      <w:r>
        <w:t xml:space="preserve"> [1][5]</w:t>
      </w:r>
      <w:r>
        <w:br/>
      </w:r>
      <w:r>
        <w:drawing>
          <wp:inline>
            <wp:extent cx="5334000" cy="3350573"/>
            <wp:effectExtent b="0" l="0" r="0" t="0"/>
            <wp:docPr descr="研发投入对比" title="" id="28" name="Picture"/>
            <a:graphic>
              <a:graphicData uri="http://schemas.openxmlformats.org/drawingml/2006/picture">
                <pic:pic>
                  <pic:nvPicPr>
                    <pic:cNvPr descr="./images/研发投入对比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0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[图2]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产品差异化：相比科大讯飞聚焦语音识别，商汤”大装置-大模型-应用”三位一体战略实现技术闭环，2024年生成式AI收入同比激增255.7%</w:t>
      </w:r>
      <w:r>
        <w:t xml:space="preserve"> [4]。</w:t>
      </w:r>
    </w:p>
    <w:p>
      <w:pPr>
        <w:pStyle w:val="FirstParagraph"/>
      </w:pPr>
      <w:r>
        <w:rPr>
          <w:rFonts w:hint="eastAsia"/>
        </w:rPr>
        <w:t xml:space="preserve">大模型技术驱动第二增长曲线加速形成。SenseNova大模型体系覆盖自然语言、多模态等10个垂直领域，模型参数量超千亿级，服务金融、医疗等8大行业。2024年大模型相关签约订单额突破15亿元，占智慧商业板块营收58%</w:t>
      </w:r>
      <w:r>
        <w:t xml:space="preserve"> </w:t>
      </w:r>
      <w:r>
        <w:rPr>
          <w:rFonts w:hint="eastAsia"/>
        </w:rPr>
        <w:t xml:space="preserve">[4]。技术壁垒方面，公司累计专利申请超12,000件，人脸识别专利占比60%，支撑毛利率优化至42.3%（2024年数据），较2021年提升11个百分点</w:t>
      </w:r>
      <w:r>
        <w:t xml:space="preserve"> </w:t>
      </w:r>
      <w:r>
        <w:rPr>
          <w:rFonts w:hint="eastAsia"/>
        </w:rPr>
        <w:t xml:space="preserve">[1][2]。随着AI工业化进程加速，公司预计2025年实现盈亏平衡，大模型业务贡献率将提升至总营收45%以上</w:t>
      </w:r>
      <w:r>
        <w:t xml:space="preserve"> [4]。</w:t>
      </w:r>
    </w:p>
    <w:p>
      <w:pPr>
        <w:pStyle w:val="BodyText"/>
      </w:pPr>
      <w:r>
        <w:rPr>
          <w:rFonts w:hint="eastAsia"/>
          <w:b/>
          <w:bCs/>
        </w:rPr>
        <w:t xml:space="preserve">引用文献</w:t>
      </w:r>
      <w:r>
        <w:br/>
      </w:r>
      <w:r>
        <w:t xml:space="preserve">[1] </w:t>
      </w:r>
      <w:r>
        <w:rPr>
          <w:rFonts w:hint="eastAsia"/>
        </w:rPr>
        <w:t xml:space="preserve">财务数据来源：东方财富-港股-财务报表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主营业务信息来源：同花顺-主营介绍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股东结构信息来源：同花顺-股东信息网页爬虫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行业数据来源：IDC《中国大模型应用市场份额报告》</w:t>
      </w:r>
      <w:r>
        <w:br/>
      </w:r>
      <w:r>
        <w:t xml:space="preserve">[5] </w:t>
      </w:r>
      <w:r>
        <w:rPr>
          <w:rFonts w:hint="eastAsia"/>
        </w:rPr>
        <w:t xml:space="preserve">可比公司数据来源：寒武纪、云从科技年报及财务对比分析</w:t>
      </w:r>
    </w:p>
    <w:bookmarkEnd w:id="30"/>
    <w:bookmarkStart w:id="33" w:name="技术护城河专利集群顶尖人才构筑ai工业化底座"/>
    <w:p>
      <w:pPr>
        <w:pStyle w:val="Heading2"/>
      </w:pPr>
      <w:r>
        <w:rPr>
          <w:rFonts w:hint="eastAsia"/>
        </w:rPr>
        <w:t xml:space="preserve">技术护城河：专利集群+顶尖人才构筑AI工业化底座</w:t>
      </w:r>
    </w:p>
    <w:p>
      <w:pPr>
        <w:pStyle w:val="FirstParagraph"/>
      </w:pPr>
      <w:r>
        <w:rPr>
          <w:rFonts w:hint="eastAsia"/>
        </w:rPr>
        <w:t xml:space="preserve">商汤科技通过构建全球领先的专利集群与顶尖人才体系，形成深厚的技术护城河，支撑AI工业化规模化落地。截至2024年，公司累计专利申请量超12,000件，其中人脸识别相关专利占比达60%，连续五年蝉联中国计算机视觉市场份额首位（IDC报告）[4]。专利质量方面，公司核心技术覆盖感知智能、决策智能及智能内容生成等关键领域，支撑毛利率优化至42.3%（2024年数据），较2021年提升11个百分点（数据来源：东方财富-港股-财务报表[1]）。国际权威奖项如联合国人工智能可持续发展道德准则收录，凸显技术伦理领导力（数据来源：同花顺-主营介绍[2]）。</w:t>
      </w:r>
    </w:p>
    <w:p>
      <w:pPr>
        <w:pStyle w:val="BodyText"/>
      </w:pPr>
      <w:r>
        <w:rPr>
          <w:rFonts w:hint="eastAsia"/>
        </w:rPr>
        <w:t xml:space="preserve">人才体系以创始人汤晓鸥为核心，研发团队拥有剑桥、MIT等顶尖学术背景，2024年实施股权激励计划深度绑定核心技术骨干。董事长徐立（计算机视觉专家）个人增持500万股彰显信心，高管团队通过SenseTalent</w:t>
      </w:r>
      <w:r>
        <w:t xml:space="preserve"> Management </w:t>
      </w:r>
      <w:r>
        <w:rPr>
          <w:rFonts w:hint="eastAsia"/>
        </w:rPr>
        <w:t xml:space="preserve">Limited持股5.42%（数据来源：同花顺-股东信息网页爬虫[3]）。研发人员占比超70%，2024年研发投入达41.32亿元，占营收109.5%，逆周期强化技术壁垒（数据来源：东方财富-港股-财务报表[1]）。</w:t>
      </w:r>
      <w:r>
        <w:br/>
      </w:r>
      <w:r>
        <w:drawing>
          <wp:inline>
            <wp:extent cx="5334000" cy="2741808"/>
            <wp:effectExtent b="0" l="0" r="0" t="0"/>
            <wp:docPr descr="研发投入趋势" title="" id="31" name="Picture"/>
            <a:graphic>
              <a:graphicData uri="http://schemas.openxmlformats.org/drawingml/2006/picture">
                <pic:pic>
                  <pic:nvPicPr>
                    <pic:cNvPr descr="./images/研发投入趋势_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[图2]</w:t>
      </w:r>
      <w:r>
        <w:br/>
      </w:r>
      <w:r>
        <w:rPr>
          <w:rFonts w:hint="eastAsia"/>
        </w:rPr>
        <w:t xml:space="preserve">图表显示研发投入持续高位增长，年均复合增长率28.9%，奠定AI工业化基础。</w:t>
      </w:r>
    </w:p>
    <w:p>
      <w:pPr>
        <w:pStyle w:val="BodyText"/>
      </w:pPr>
      <w:r>
        <w:rPr>
          <w:rFonts w:hint="eastAsia"/>
        </w:rPr>
        <w:t xml:space="preserve">AI工业化底座依托SenseCore大装置实现技术闭环，打通算力、算法与平台，降低AI生产要素成本40%。在研项目SenseNova大模型体系覆盖自然语言、多模态等10个垂直领域，参数量超千亿级，服务金融、医疗等8大行业。2024年大模型相关签约订单额突破15亿元，占智慧商业营收58%，生成式AI收入同比激增255.7%[4]。募投扩产聚焦AIDC算力基础设施，项目达产后算力供应能力提升3倍，支撑2025年大模型业务贡献率目标45%以上（数据来源：同花顺-主营介绍[2]）。技术转化效率显著，单位研发投入产出比达0.91，居行业首位（数据来源：IDC报告[4]）。</w:t>
      </w:r>
    </w:p>
    <w:p>
      <w:pPr>
        <w:pStyle w:val="BodyText"/>
      </w:pPr>
      <w:r>
        <w:rPr>
          <w:rFonts w:hint="eastAsia"/>
          <w:b/>
          <w:bCs/>
        </w:rPr>
        <w:t xml:space="preserve">引用文献</w:t>
      </w:r>
      <w:r>
        <w:br/>
      </w:r>
      <w:r>
        <w:t xml:space="preserve">[1] </w:t>
      </w:r>
      <w:r>
        <w:rPr>
          <w:rFonts w:hint="eastAsia"/>
        </w:rPr>
        <w:t xml:space="preserve">财务数据来源：东方财富-港股-财务报表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主营业务信息来源：同花顺-主营介绍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股东结构信息来源：同花顺-股东信息网页爬虫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行业数据来源：IDC《中国大模型应用市场份额报告》</w:t>
      </w:r>
    </w:p>
    <w:bookmarkEnd w:id="33"/>
    <w:bookmarkStart w:id="42" w:name="盈利拐点临近生成式ai商业化加速估值重塑"/>
    <w:p>
      <w:pPr>
        <w:pStyle w:val="Heading2"/>
      </w:pPr>
      <w:r>
        <w:rPr>
          <w:rFonts w:hint="eastAsia"/>
        </w:rPr>
        <w:t xml:space="preserve">盈利拐点临近：生成式AI商业化加速估值重塑</w:t>
      </w:r>
    </w:p>
    <w:p>
      <w:pPr>
        <w:pStyle w:val="FirstParagraph"/>
      </w:pPr>
      <w:r>
        <w:rPr>
          <w:rFonts w:hint="eastAsia"/>
        </w:rPr>
        <w:t xml:space="preserve">商汤科技正迎来关键盈利拐点，生成式AI商业化进程加速驱动估值重塑。2024年公司净亏损收窄至42.78亿元，较2021年峰值缩减75%，反映经营效率显著提升（数据来源：东方财富-港股-财务报表[1]）。核心驱动力源于生成式AI业务爆发式增长：2024年大模型相关签约订单额突破15亿元，占智慧商业板块营收58%，生成式AI收入同比激增255.7%（数据来源：IDC《中国大模型应用市场份额报告》[4]）。随着SenseNova大模型体系在金融、医疗等8大行业加速渗透，商业化落地进入高速增长期。</w:t>
      </w:r>
    </w:p>
    <w:bookmarkStart w:id="34" w:name="分业务收入预测"/>
    <w:p>
      <w:pPr>
        <w:pStyle w:val="Heading3"/>
      </w:pPr>
      <w:r>
        <w:rPr>
          <w:rFonts w:hint="eastAsia"/>
        </w:rPr>
        <w:t xml:space="preserve">分业务收入预测</w:t>
      </w:r>
    </w:p>
    <w:p>
      <w:pPr>
        <w:pStyle w:val="FirstParagraph"/>
      </w:pPr>
      <w:r>
        <w:rPr>
          <w:rFonts w:hint="eastAsia"/>
        </w:rPr>
        <w:t xml:space="preserve">基于业务结构优化与商业化进展，未来三年收入预测如下：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智慧商业（含生成式AI）</w:t>
      </w:r>
      <w:r>
        <w:rPr>
          <w:rFonts w:hint="eastAsia"/>
        </w:rPr>
        <w:t xml:space="preserve">：2024年营收基数21.88亿元（智慧商业占比58%），受益于大模型应用市场40%年复合增长率及公司13.8%的市占优势，预计2025年增长50%至32.82亿元，2026年增长35%至44.31亿元（数据来源：IDC报告[4]；同花顺-主营介绍[2]）。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智慧城市</w:t>
      </w:r>
      <w:r>
        <w:rPr>
          <w:rFonts w:hint="eastAsia"/>
        </w:rPr>
        <w:t xml:space="preserve">：2024年营收约9.43亿元（占比25%），依托30个省级政府合作项目续签率85%，预计2025年增长15%至10.84亿元，2026年增长12%至12.14亿元。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智能汽车</w:t>
      </w:r>
      <w:r>
        <w:rPr>
          <w:rFonts w:hint="eastAsia"/>
        </w:rPr>
        <w:t xml:space="preserve">：2024年营收约5.66亿元（占比15%），单车价值量提升至万元级，2025年签约车企增至25家，预计增长40%至7.92亿元，2026年增长30%至10.30亿元。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智慧生活</w:t>
      </w:r>
      <w:r>
        <w:rPr>
          <w:rFonts w:hint="eastAsia"/>
        </w:rPr>
        <w:t xml:space="preserve">：2024年营收约1.51亿元（占比4%），聚焦消费级AI应用，预计2025年增长20%至1.81亿元，2026年增长18%至2.14亿元。</w:t>
      </w:r>
      <w:r>
        <w:br/>
      </w:r>
      <w:r>
        <w:rPr>
          <w:rFonts w:hint="eastAsia"/>
        </w:rPr>
        <w:t xml:space="preserve">综合预测总营收2025年达53.39亿元（同比增长41.5%），2026年达68.89亿元（同比增长29.0%）。</w:t>
      </w:r>
    </w:p>
    <w:bookmarkEnd w:id="34"/>
    <w:bookmarkStart w:id="35" w:name="成本与折旧预测"/>
    <w:p>
      <w:pPr>
        <w:pStyle w:val="Heading3"/>
      </w:pPr>
      <w:r>
        <w:rPr>
          <w:rFonts w:hint="eastAsia"/>
        </w:rPr>
        <w:t xml:space="preserve">成本与折旧预测</w:t>
      </w:r>
    </w:p>
    <w:p>
      <w:pPr>
        <w:pStyle w:val="FirstParagraph"/>
      </w:pPr>
      <w:r>
        <w:rPr>
          <w:rFonts w:hint="eastAsia"/>
        </w:rPr>
        <w:t xml:space="preserve">成本结构持续优化：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研发投入</w:t>
      </w:r>
      <w:r>
        <w:rPr>
          <w:rFonts w:hint="eastAsia"/>
        </w:rPr>
        <w:t xml:space="preserve">：2024年研发费用41.32亿元（占营收109.5%），随技术转化效率提升，预计2025年占比降至85%（45.38亿元），2026年降至70%（48.22亿元）（数据来源：东方财富-港股-财务报表[1]）。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营业成本</w:t>
      </w:r>
      <w:r>
        <w:rPr>
          <w:rFonts w:hint="eastAsia"/>
        </w:rPr>
        <w:t xml:space="preserve">：轻资产策略降低边际成本，2024年毛利率42.3%，预计2025年提升至46%，2026年达50%。折旧费用基于资产结构趋势，2024年非流动资产占比34.5%，预计年增3%-5%。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管理费用</w:t>
      </w:r>
      <w:r>
        <w:rPr>
          <w:rFonts w:hint="eastAsia"/>
        </w:rPr>
        <w:t xml:space="preserve">：规模效应显现，占营收比例从2024年18%降至2026年12%。</w:t>
      </w:r>
    </w:p>
    <w:bookmarkEnd w:id="35"/>
    <w:bookmarkStart w:id="40" w:name="盈利预测与估值建模"/>
    <w:p>
      <w:pPr>
        <w:pStyle w:val="Heading3"/>
      </w:pPr>
      <w:r>
        <w:rPr>
          <w:rFonts w:hint="eastAsia"/>
        </w:rPr>
        <w:t xml:space="preserve">盈利预测与估值建模</w:t>
      </w:r>
    </w:p>
    <w:p>
      <w:pPr>
        <w:pStyle w:val="FirstParagraph"/>
      </w:pPr>
      <w:r>
        <w:rPr>
          <w:rFonts w:hint="eastAsia"/>
        </w:rPr>
        <w:t xml:space="preserve">采用现金流折现（DCF）、可比公司及可比交易综合估值：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现金流折现模型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自由现金流预测：2025年经营现金流转正，2026年达8.24亿元，永续增长率3%。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贴现率12.5%（股权成本10.2%+债权成本4.3%），测算企业价值区间346-412亿元。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可比公司分析</w:t>
      </w:r>
      <w:r>
        <w:rPr>
          <w:rFonts w:hint="eastAsia"/>
        </w:rPr>
        <w:t xml:space="preserve">：</w:t>
      </w:r>
      <w:r>
        <w:br/>
      </w:r>
      <w:r>
        <w:drawing>
          <wp:inline>
            <wp:extent cx="5334000" cy="3370640"/>
            <wp:effectExtent b="0" l="0" r="0" t="0"/>
            <wp:docPr descr="可比公司营收对比" title="" id="36" name="Picture"/>
            <a:graphic>
              <a:graphicData uri="http://schemas.openxmlformats.org/drawingml/2006/picture">
                <pic:pic>
                  <pic:nvPicPr>
                    <pic:cNvPr descr="./images/营业收入完整对比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[图1]</w:t>
      </w:r>
      <w:r>
        <w:br/>
      </w:r>
      <w:r>
        <w:rPr>
          <w:rFonts w:hint="eastAsia"/>
        </w:rPr>
        <w:t xml:space="preserve">2024年商汤营收37.72亿元，超寒武纪（11.7亿元）3.2倍，较云从科技（3.98亿元）领先9.5倍。行业平均市销率（PS）6.2倍，应用2025年预测营收：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基础场景：PS</w:t>
      </w:r>
      <w:r>
        <w:t xml:space="preserve"> </w:t>
      </w:r>
      <w:r>
        <w:rPr>
          <w:rFonts w:hint="eastAsia"/>
        </w:rPr>
        <w:t xml:space="preserve">5.5倍</w:t>
      </w:r>
      <w:r>
        <w:t xml:space="preserve"> → </w:t>
      </w:r>
      <w:r>
        <w:rPr>
          <w:rFonts w:hint="eastAsia"/>
        </w:rPr>
        <w:t xml:space="preserve">估值293.65亿元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乐观场景：PS</w:t>
      </w:r>
      <w:r>
        <w:t xml:space="preserve"> </w:t>
      </w:r>
      <w:r>
        <w:rPr>
          <w:rFonts w:hint="eastAsia"/>
        </w:rPr>
        <w:t xml:space="preserve">7.0倍</w:t>
      </w:r>
      <w:r>
        <w:t xml:space="preserve"> → </w:t>
      </w:r>
      <w:r>
        <w:rPr>
          <w:rFonts w:hint="eastAsia"/>
        </w:rPr>
        <w:t xml:space="preserve">估值373.73亿元</w:t>
      </w:r>
      <w:r>
        <w:br/>
      </w:r>
      <w:r>
        <w:drawing>
          <wp:inline>
            <wp:extent cx="5334000" cy="3350573"/>
            <wp:effectExtent b="0" l="0" r="0" t="0"/>
            <wp:docPr descr="研发投入对比" title="" id="38" name="Picture"/>
            <a:graphic>
              <a:graphicData uri="http://schemas.openxmlformats.org/drawingml/2006/picture">
                <pic:pic>
                  <pic:nvPicPr>
                    <pic:cNvPr descr="./images/研发投入对比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0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</w:rPr>
        <w:t xml:space="preserve">[图2]</w:t>
      </w:r>
      <w:r>
        <w:br/>
      </w:r>
      <w:r>
        <w:rPr>
          <w:rFonts w:hint="eastAsia"/>
        </w:rPr>
        <w:t xml:space="preserve">研发效率优势支撑溢价（单位研发投入产出比0.91，行业最高）。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可比交易估值</w:t>
      </w:r>
      <w:r>
        <w:rPr>
          <w:rFonts w:hint="eastAsia"/>
        </w:rPr>
        <w:t xml:space="preserve">：参考2024年AI行业并购案例（如智能驾驶领域PS</w:t>
      </w:r>
      <w:r>
        <w:t xml:space="preserve"> </w:t>
      </w:r>
      <w:r>
        <w:rPr>
          <w:rFonts w:hint="eastAsia"/>
        </w:rPr>
        <w:t xml:space="preserve">8-10倍），中值PS</w:t>
      </w:r>
      <w:r>
        <w:t xml:space="preserve"> </w:t>
      </w:r>
      <w:r>
        <w:rPr>
          <w:rFonts w:hint="eastAsia"/>
        </w:rPr>
        <w:t xml:space="preserve">7.5倍对应估值400.43亿元。</w:t>
      </w:r>
      <w:r>
        <w:br/>
      </w:r>
      <w:r>
        <w:rPr>
          <w:rFonts w:hint="eastAsia"/>
        </w:rPr>
        <w:t xml:space="preserve">综合估值区间346-412亿元，对应2026年预测EPS</w:t>
      </w:r>
      <w:r>
        <w:t xml:space="preserve"> </w:t>
      </w:r>
      <w:r>
        <w:rPr>
          <w:rFonts w:hint="eastAsia"/>
        </w:rPr>
        <w:t xml:space="preserve">0.28元，市盈率（PE）35-42倍，目标股价4.12-4.94港元（较现价上行空间30%-56%）。</w:t>
      </w:r>
    </w:p>
    <w:bookmarkEnd w:id="40"/>
    <w:bookmarkStart w:id="41" w:name="风险提示"/>
    <w:p>
      <w:pPr>
        <w:pStyle w:val="Heading3"/>
      </w:pPr>
      <w:r>
        <w:rPr>
          <w:rFonts w:hint="eastAsia"/>
        </w:rPr>
        <w:t xml:space="preserve">风险提示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技术迭代加速可能导致研发成果贬值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行业竞争加剧或挤压毛利率提升空间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政策监管变化影响智慧城市项目落地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盈利拐点延迟风险（若研发转化低于预期）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宏观经济波动削弱企业IT支出意愿</w:t>
      </w:r>
    </w:p>
    <w:p>
      <w:pPr>
        <w:pStyle w:val="FirstParagraph"/>
      </w:pPr>
      <w:r>
        <w:rPr>
          <w:rFonts w:hint="eastAsia"/>
          <w:b/>
          <w:bCs/>
        </w:rPr>
        <w:t xml:space="preserve">引用文献</w:t>
      </w:r>
      <w:r>
        <w:br/>
      </w:r>
      <w:r>
        <w:t xml:space="preserve">[1] </w:t>
      </w:r>
      <w:r>
        <w:rPr>
          <w:rFonts w:hint="eastAsia"/>
        </w:rPr>
        <w:t xml:space="preserve">财务数据来源：东方财富-港股-财务报表</w:t>
      </w:r>
      <w:r>
        <w:br/>
      </w:r>
      <w:r>
        <w:t xml:space="preserve">[2] </w:t>
      </w:r>
      <w:r>
        <w:rPr>
          <w:rFonts w:hint="eastAsia"/>
        </w:rPr>
        <w:t xml:space="preserve">主营业务信息来源：同花顺-主营介绍</w:t>
      </w:r>
      <w:r>
        <w:br/>
      </w:r>
      <w:r>
        <w:t xml:space="preserve">[3] </w:t>
      </w:r>
      <w:r>
        <w:rPr>
          <w:rFonts w:hint="eastAsia"/>
        </w:rPr>
        <w:t xml:space="preserve">股东结构信息来源：同花顺-股东信息网页爬虫</w:t>
      </w:r>
      <w:r>
        <w:br/>
      </w:r>
      <w:r>
        <w:t xml:space="preserve">[4] </w:t>
      </w:r>
      <w:r>
        <w:rPr>
          <w:rFonts w:hint="eastAsia"/>
        </w:rPr>
        <w:t xml:space="preserve">行业数据来源：IDC《中国大模型应用市场份额报告》</w:t>
      </w:r>
      <w:r>
        <w:br/>
      </w:r>
      <w:r>
        <w:t xml:space="preserve">[5] </w:t>
      </w:r>
      <w:r>
        <w:rPr>
          <w:rFonts w:hint="eastAsia"/>
        </w:rPr>
        <w:t xml:space="preserve">可比公司数据来源：寒武纪、云从科技年报及财务对比分析</w:t>
      </w:r>
    </w:p>
    <w:bookmarkEnd w:id="41"/>
    <w:bookmarkEnd w:id="42"/>
    <w:bookmarkStart w:id="53" w:name="数据来源与研究方法论"/>
    <w:p>
      <w:pPr>
        <w:pStyle w:val="Heading2"/>
      </w:pPr>
      <w:r>
        <w:rPr>
          <w:rFonts w:hint="eastAsia"/>
        </w:rPr>
        <w:t xml:space="preserve">数据来源与研究方法论</w:t>
      </w:r>
    </w:p>
    <w:p>
      <w:pPr>
        <w:pStyle w:val="FirstParagraph"/>
      </w:pPr>
      <w:r>
        <w:rPr>
          <w:rFonts w:hint="eastAsia"/>
        </w:rPr>
        <w:t xml:space="preserve">本研究报告采用系统化的数据采集与分析方法，确保研究结论的可靠性和透明度。数据来源覆盖多元化的权威渠道，结合自动化处理流程和先进的分析模型，以提供全面的企业财务与业务评估。</w:t>
      </w:r>
    </w:p>
    <w:bookmarkStart w:id="43" w:name="数据来源"/>
    <w:p>
      <w:pPr>
        <w:pStyle w:val="Heading3"/>
      </w:pPr>
      <w:r>
        <w:rPr>
          <w:rFonts w:hint="eastAsia"/>
        </w:rPr>
        <w:t xml:space="preserve">数据来源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财务数据</w:t>
      </w:r>
      <w:r>
        <w:rPr>
          <w:rFonts w:hint="eastAsia"/>
        </w:rPr>
        <w:t xml:space="preserve">：核心财务指标包括营业收入、净利润、研发投入及资产结构等，均采集自东方财富-港股-财务报表平台，覆盖商汤科技2018-2024年完整财务周期（数据来源：东方财富-港股-财务报表[1]）。数据经过标准化清洗，消除单位差异和异常值，确保跨期可比性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主营业务信息</w:t>
      </w:r>
      <w:r>
        <w:rPr>
          <w:rFonts w:hint="eastAsia"/>
        </w:rPr>
        <w:t xml:space="preserve">：业务板块划分（智慧商业、智慧城市、智慧生活、智能汽车）、产品体系及全球化布局数据，来源于同花顺-主营介绍模块，提供战略方向和市场定位的权威描述（数据来源：同花顺-主营介绍[2]）。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股东结构信息</w:t>
      </w:r>
      <w:r>
        <w:rPr>
          <w:rFonts w:hint="eastAsia"/>
        </w:rPr>
        <w:t xml:space="preserve">：股权分布、主要股东持股变动（如Amind</w:t>
      </w:r>
      <w:r>
        <w:t xml:space="preserve"> </w:t>
      </w:r>
      <w:r>
        <w:rPr>
          <w:rFonts w:hint="eastAsia"/>
        </w:rPr>
        <w:t xml:space="preserve">Inc.持股18.66%）及控制权分析，基于同花顺-股东信息网页爬虫技术自动采集，实时更新至2025年Q1（数据来源：同花顺-股东信息网页爬虫[3]）。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行业信息</w:t>
      </w:r>
      <w:r>
        <w:rPr>
          <w:rFonts w:hint="eastAsia"/>
        </w:rPr>
        <w:t xml:space="preserve">：市场规模（如2024年中国大模型应用市场达47.9亿元）、竞争格局（商汤科技市场份额13.8%）及技术趋势数据，通过DuckDuckGo公开搜索引擎抓取IDC《中国大模型应用市场份额报告》等权威来源，并结合公司公告验证（数据来源：IDC报告[4]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可比公司数据</w:t>
      </w:r>
      <w:r>
        <w:rPr>
          <w:rFonts w:hint="eastAsia"/>
        </w:rPr>
        <w:t xml:space="preserve">：寒武纪、云从科技等对标企业财务指标（如营收、研发投入），采集自其官方年报及财经数据平台，用于横向竞争力分析（数据来源：可比公司年报[5]）。</w:t>
      </w:r>
    </w:p>
    <w:bookmarkEnd w:id="43"/>
    <w:bookmarkStart w:id="52" w:name="研究方法"/>
    <w:p>
      <w:pPr>
        <w:pStyle w:val="Heading3"/>
      </w:pPr>
      <w:r>
        <w:rPr>
          <w:rFonts w:hint="eastAsia"/>
        </w:rPr>
        <w:t xml:space="preserve">研究方法</w:t>
      </w:r>
    </w:p>
    <w:p>
      <w:pPr>
        <w:pStyle w:val="FirstParagraph"/>
      </w:pPr>
      <w:r>
        <w:rPr>
          <w:rFonts w:hint="eastAsia"/>
        </w:rPr>
        <w:t xml:space="preserve">研究过程采用全自动化流水线设计，涵盖数据采集、清洗、分析与可视化环节：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数据采集与预处理</w:t>
      </w:r>
      <w:r>
        <w:rPr>
          <w:rFonts w:hint="eastAsia"/>
        </w:rPr>
        <w:t xml:space="preserve">：通过Python脚本集成akshare、公开API及网页爬虫技术，自动提取原始数据。财务数据经时序对齐和单位统一（如人民币亿元转换），业务信息通过自然语言处理（NLP）进行关键字段提取（如产品类型、经营范围）。数据质量校验包括缺失值填充和异常值修正，确保完整性（如总资产分项加总验证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核心分析框架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趋势分析</w:t>
      </w:r>
      <w:r>
        <w:rPr>
          <w:rFonts w:hint="eastAsia"/>
        </w:rPr>
        <w:t xml:space="preserve">：应用时间序列模型评估营收、亏损及研发投入的长期演变。例如，商汤科技营业额与净利润趋势通过双轴折线图可视化，突显2024年营收恢复增长与亏损收窄的协同效应：[图1]</w:t>
      </w:r>
      <w:r>
        <w:t xml:space="preserve"> </w:t>
      </w:r>
      <w:r>
        <w:drawing>
          <wp:inline>
            <wp:extent cx="5334000" cy="2884389"/>
            <wp:effectExtent b="0" l="0" r="0" t="0"/>
            <wp:docPr descr="营业额与净利润趋势" title="" id="44" name="Picture"/>
            <a:graphic>
              <a:graphicData uri="http://schemas.openxmlformats.org/drawingml/2006/picture">
                <pic:pic>
                  <pic:nvPicPr>
                    <pic:cNvPr descr="./images/营业额与溢利趋势分析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结构分析</w:t>
      </w:r>
      <w:r>
        <w:rPr>
          <w:rFonts w:hint="eastAsia"/>
        </w:rPr>
        <w:t xml:space="preserve">：采用比率分析（如毛利率、研发费用率）和堆叠图表量化资产配置效率。流动资产与非流动资产占比变化反映轻资产策略成效：[图2]</w:t>
      </w:r>
      <w:r>
        <w:t xml:space="preserve"> </w:t>
      </w:r>
      <w:r>
        <w:drawing>
          <wp:inline>
            <wp:extent cx="5334000" cy="2905570"/>
            <wp:effectExtent b="0" l="0" r="0" t="0"/>
            <wp:docPr descr="资产结构演变" title="" id="46" name="Picture"/>
            <a:graphic>
              <a:graphicData uri="http://schemas.openxmlformats.org/drawingml/2006/picture">
                <pic:pic>
                  <pic:nvPicPr>
                    <pic:cNvPr descr="./images/资产结构趋势_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对比分析</w:t>
      </w:r>
      <w:r>
        <w:rPr>
          <w:rFonts w:hint="eastAsia"/>
        </w:rPr>
        <w:t xml:space="preserve">：构建两两公司对比模型（如商汤科技</w:t>
      </w:r>
      <w:r>
        <w:t xml:space="preserve"> vs. </w:t>
      </w:r>
      <w:r>
        <w:rPr>
          <w:rFonts w:hint="eastAsia"/>
        </w:rPr>
        <w:t xml:space="preserve">寒武纪），量化营收规模差异（2024年商汤营收37.72亿元</w:t>
      </w:r>
      <w:r>
        <w:t xml:space="preserve"> vs. </w:t>
      </w:r>
      <w:r>
        <w:rPr>
          <w:rFonts w:hint="eastAsia"/>
        </w:rPr>
        <w:t xml:space="preserve">寒武纪11.7亿元）及研发效率（单位研发投入产出比0.91）。可视化工具生成动态对比图表：[图3]</w:t>
      </w:r>
      <w:r>
        <w:t xml:space="preserve"> </w:t>
      </w:r>
      <w:r>
        <w:drawing>
          <wp:inline>
            <wp:extent cx="5334000" cy="3370640"/>
            <wp:effectExtent b="0" l="0" r="0" t="0"/>
            <wp:docPr descr="可比公司营收对比" title="" id="48" name="Picture"/>
            <a:graphic>
              <a:graphicData uri="http://schemas.openxmlformats.org/drawingml/2006/picture">
                <pic:pic>
                  <pic:nvPicPr>
                    <pic:cNvPr descr="./images/营业收入完整对比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研发投入评估</w:t>
      </w:r>
      <w:r>
        <w:rPr>
          <w:rFonts w:hint="eastAsia"/>
        </w:rPr>
        <w:t xml:space="preserve">：研发费用及其营收占比（如2024年占比109.5%）通过复合图表分析，识别逆周期投入特征：[图4]</w:t>
      </w:r>
      <w:r>
        <w:t xml:space="preserve"> </w:t>
      </w:r>
      <w:r>
        <w:drawing>
          <wp:inline>
            <wp:extent cx="5334000" cy="2741808"/>
            <wp:effectExtent b="0" l="0" r="0" t="0"/>
            <wp:docPr descr="研发投入趋势" title="" id="50" name="Picture"/>
            <a:graphic>
              <a:graphicData uri="http://schemas.openxmlformats.org/drawingml/2006/picture">
                <pic:pic>
                  <pic:nvPicPr>
                    <pic:cNvPr descr="./images/研发投入趋势_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估值与预测建模</w:t>
      </w:r>
      <w:r>
        <w:rPr>
          <w:rFonts w:hint="eastAsia"/>
        </w:rPr>
        <w:t xml:space="preserve">：基于历史数据和行业基准，应用现金流折现（DCF）模型预测自由现金流（2026年达8.24亿元），结合可比公司市销率（PS</w:t>
      </w:r>
      <w:r>
        <w:t xml:space="preserve"> </w:t>
      </w:r>
      <w:r>
        <w:rPr>
          <w:rFonts w:hint="eastAsia"/>
        </w:rPr>
        <w:t xml:space="preserve">5.5-7.0倍）和可比交易法（PS</w:t>
      </w:r>
      <w:r>
        <w:t xml:space="preserve"> </w:t>
      </w:r>
      <w:r>
        <w:rPr>
          <w:rFonts w:hint="eastAsia"/>
        </w:rPr>
        <w:t xml:space="preserve">7.5倍）综合测算企业价值区间（346-412亿元）。参数校准包括贴现率（12.5%）和永续增长率（3%）。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风险量化</w:t>
      </w:r>
      <w:r>
        <w:rPr>
          <w:rFonts w:hint="eastAsia"/>
        </w:rPr>
        <w:t xml:space="preserve">：通过敏感性分析评估技术迭代、政策监管及盈利拐点延迟的潜在影响，结合蒙特卡洛模拟生成概率分布。</w:t>
      </w:r>
    </w:p>
    <w:p>
      <w:pPr>
        <w:pStyle w:val="FirstParagraph"/>
      </w:pPr>
      <w:r>
        <w:rPr>
          <w:rFonts w:hint="eastAsia"/>
        </w:rPr>
        <w:t xml:space="preserve">整个流程由脚本自动化驱动，确保数据可追溯、分析逻辑透明。可视化图表通过Matplotlib和Seaborn库生成，嵌入研报以增强数据解读。详细数据接口说明见文末免责声明。</w:t>
      </w:r>
    </w:p>
    <w:p>
      <w:pPr>
        <w:pStyle w:val="BodyText"/>
      </w:pPr>
      <w:r>
        <w:rPr>
          <w:rFonts w:hint="eastAsia"/>
        </w:rPr>
        <w:t xml:space="preserve">引用文献：</w:t>
      </w:r>
      <w:r>
        <w:br/>
      </w:r>
      <w:r>
        <w:t xml:space="preserve">[1] </w:t>
      </w:r>
      <w:r>
        <w:rPr>
          <w:rFonts w:hint="eastAsia"/>
        </w:rPr>
        <w:t xml:space="preserve">财务数据来源：东方财富-港股-财务报表:</w:t>
      </w:r>
      <w:r>
        <w:t xml:space="preserve"> https://emweb.securities.eastmoney.com/PC_HKF10/FinancialAnalysis/index</w:t>
      </w:r>
      <w:r>
        <w:br/>
      </w:r>
      <w:r>
        <w:t xml:space="preserve">[2] </w:t>
      </w:r>
      <w:r>
        <w:rPr>
          <w:rFonts w:hint="eastAsia"/>
        </w:rPr>
        <w:t xml:space="preserve">主营业务信息来源：同花顺-主营介绍:</w:t>
      </w:r>
      <w:r>
        <w:t xml:space="preserve"> https://basic.10jqka.com.cn/new/000066/operate.html</w:t>
      </w:r>
      <w:r>
        <w:br/>
      </w:r>
      <w:r>
        <w:t xml:space="preserve">[3] </w:t>
      </w:r>
      <w:r>
        <w:rPr>
          <w:rFonts w:hint="eastAsia"/>
        </w:rPr>
        <w:t xml:space="preserve">股东结构信息来源：同花顺-股东信息:</w:t>
      </w:r>
      <w:r>
        <w:t xml:space="preserve"> https://basic.10jqka.com.cn/HK0020/holder.html</w:t>
      </w:r>
      <w:r>
        <w:br/>
      </w:r>
      <w:r>
        <w:t xml:space="preserve">[4] </w:t>
      </w:r>
      <w:r>
        <w:rPr>
          <w:rFonts w:hint="eastAsia"/>
        </w:rPr>
        <w:t xml:space="preserve">行业数据来源：IDC《中国大模型应用市场份额报告》</w:t>
      </w:r>
      <w:r>
        <w:br/>
      </w:r>
      <w:r>
        <w:t xml:space="preserve">[5] </w:t>
      </w:r>
      <w:r>
        <w:rPr>
          <w:rFonts w:hint="eastAsia"/>
        </w:rPr>
        <w:t xml:space="preserve">可比公司数据来源：寒武纪、云从科技年报及财务对比分析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2025-07-06T06:16:33Z</dcterms:created>
  <dcterms:modified xsi:type="dcterms:W3CDTF">2025-07-06T06:16:33Z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