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商汤科技公司研报"/>
    <w:p>
      <w:pPr>
        <w:pStyle w:val="Heading1"/>
      </w:pPr>
      <w:r>
        <w:t xml:space="preserve">商汤科技公司研报</w: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商汤科技（0020.HK）投资摘要</w:t>
      </w:r>
    </w:p>
    <w:p>
      <w:pPr>
        <w:pStyle w:val="BodyText"/>
      </w:pPr>
      <w:r>
        <w:rPr>
          <w:bCs/>
          <w:b/>
        </w:rPr>
        <w:t xml:space="preserve">核心亮点</w:t>
      </w:r>
      <w:r>
        <w:br/>
      </w:r>
      <w:r>
        <w:t xml:space="preserve">商汤科技是亚洲领先的AI软件公司，专注于计算机视觉技术，业务覆盖智慧商业、智慧城市、智慧生活及智能汽车四大板块。公司以原创技术为核心，构建了全栈式AI能力，包括感知智能、决策智能及AI基础设施（SenseCore AI大装置）。2024年在中国大模型应用市场以13.8%的份额跻身前三，计算机视觉领域市占率连续五年第一（2021年达22.2%）。</w:t>
      </w:r>
    </w:p>
    <w:p>
      <w:pPr>
        <w:pStyle w:val="BodyText"/>
      </w:pPr>
      <w:r>
        <w:rPr>
          <w:bCs/>
          <w:b/>
        </w:rPr>
        <w:t xml:space="preserve">行业地位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技术领导力</w:t>
      </w:r>
      <w:r>
        <w:t xml:space="preserve">：拥有1.2万+专利，参与80+国际标准制定，联合国认可AI伦理准则。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市场优势</w:t>
      </w:r>
      <w:r>
        <w:t xml:space="preserve">：中国最大CV软件供应商，智慧城市、医疗等领域客户黏性高，全球化布局覆盖20+地区。</w:t>
      </w:r>
    </w:p>
    <w:p>
      <w:pPr>
        <w:pStyle w:val="FirstParagraph"/>
      </w:pPr>
      <w:r>
        <w:rPr>
          <w:bCs/>
          <w:b/>
        </w:rPr>
        <w:t xml:space="preserve">财务表现（2018-2024）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营收</w:t>
      </w:r>
      <w:r>
        <w:t xml:space="preserve">：2021年峰值47亿元，2024年回升至37.7亿元（YoY +10.8%）。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研发投入</w:t>
      </w:r>
      <w:r>
        <w:t xml:space="preserve">：2024年达41.3亿元（占营收109.5%），7年复合增长率28.9%。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亏损收窄</w:t>
      </w:r>
      <w:r>
        <w:t xml:space="preserve">：净亏损从2021年171亿元缩至2024年42.8亿元，经营效率改善显著。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资产结构</w:t>
      </w:r>
      <w:r>
        <w:t xml:space="preserve">：2024年流动资产占比65.5%，现金储备充裕。</w:t>
      </w:r>
    </w:p>
    <w:p>
      <w:pPr>
        <w:pStyle w:val="FirstParagraph"/>
      </w:pPr>
      <w:r>
        <w:rPr>
          <w:bCs/>
          <w:b/>
        </w:rPr>
        <w:t xml:space="preserve">股权与战略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控股稳定</w:t>
      </w:r>
      <w:r>
        <w:t xml:space="preserve">：创始人汤晓鸥通过Amind Inc.持股18.66%，机构投资者（软银、阿里）已退出。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战略转型</w:t>
      </w:r>
      <w:r>
        <w:t xml:space="preserve">：收缩传统业务，聚焦生成式AI（2024年收入同比+255.7%），推动</w:t>
      </w:r>
      <w:r>
        <w:t xml:space="preserve">“</w:t>
      </w:r>
      <w:r>
        <w:t xml:space="preserve">大装置-大模型-应用</w:t>
      </w:r>
      <w:r>
        <w:t xml:space="preserve">”</w:t>
      </w:r>
      <w:r>
        <w:t xml:space="preserve">三位一体战略。</w:t>
      </w:r>
    </w:p>
    <w:p>
      <w:pPr>
        <w:pStyle w:val="FirstParagraph"/>
      </w:pPr>
      <w:r>
        <w:rPr>
          <w:bCs/>
          <w:b/>
        </w:rPr>
        <w:t xml:space="preserve">投资价值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优势</w:t>
      </w:r>
      <w:r>
        <w:t xml:space="preserve">：技术壁垒高、场景落地能力强，政策受益（国产AI替代）。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风险</w:t>
      </w:r>
      <w:r>
        <w:t xml:space="preserve">：研发投入产出效率、盈利拐点延迟、同业竞争加剧。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估值建议</w:t>
      </w:r>
      <w:r>
        <w:t xml:space="preserve">：短期谨慎（高研发压制盈利），长期关注技术商业化进展，建议跟踪2025年研发占比能否降至80%以下及现金流改善信号。</w:t>
      </w:r>
    </w:p>
    <w:p>
      <w:pPr>
        <w:pStyle w:val="FirstParagraph"/>
      </w:pPr>
      <w:r>
        <w:rPr>
          <w:bCs/>
          <w:b/>
        </w:rPr>
        <w:t xml:space="preserve">同业对比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vs 寒武纪</w:t>
      </w:r>
      <w:r>
        <w:t xml:space="preserve">：商汤营收规模3.2倍于寒武纪（2024年），但资产周转率（0.11）较低。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vs 科大讯飞</w:t>
      </w:r>
      <w:r>
        <w:t xml:space="preserve">：研发强度（109.5%）远超讯飞（16.7%），但讯飞已实现盈利。</w:t>
      </w:r>
    </w:p>
    <w:p>
      <w:pPr>
        <w:pStyle w:val="FirstParagraph"/>
      </w:pPr>
      <w:r>
        <w:rPr>
          <w:bCs/>
          <w:b/>
        </w:rPr>
        <w:t xml:space="preserve">结论</w:t>
      </w:r>
      <w:r>
        <w:t xml:space="preserve">：商汤科技是AI工业化落地的核心标的，适合长线布局，需耐心等待盈利模型验证。</w:t>
      </w:r>
    </w:p>
    <w:bookmarkEnd w:id="20"/>
    <w:bookmarkEnd w:id="21"/>
    <w:bookmarkStart w:id="61" w:name="目录"/>
    <w:p>
      <w:pPr>
        <w:pStyle w:val="Heading1"/>
      </w:pPr>
      <w:r>
        <w:t xml:space="preserve">目录</w:t>
      </w:r>
    </w:p>
    <w:p>
      <w:pPr>
        <w:numPr>
          <w:ilvl w:val="0"/>
          <w:numId w:val="1006"/>
        </w:numPr>
        <w:pStyle w:val="Compact"/>
      </w:pPr>
      <w:hyperlink w:anchor="Xee8a78e2414e51a63af3de217ceabc13a110c62">
        <w:r>
          <w:rPr>
            <w:rStyle w:val="Hyperlink"/>
          </w:rPr>
          <w:t xml:space="preserve">AI视觉龙头崛起：商汤科技的发展轨迹与业务布局</w:t>
        </w:r>
      </w:hyperlink>
    </w:p>
    <w:p>
      <w:pPr>
        <w:numPr>
          <w:ilvl w:val="0"/>
          <w:numId w:val="1006"/>
        </w:numPr>
        <w:pStyle w:val="Compact"/>
      </w:pPr>
      <w:hyperlink w:anchor="X7c757fc05da6374f7ebbae0bc7bd14ad1eae2cb">
        <w:r>
          <w:rPr>
            <w:rStyle w:val="Hyperlink"/>
          </w:rPr>
          <w:t xml:space="preserve">万亿AI蓝海：商汤的行业定位与增长潜力</w:t>
        </w:r>
      </w:hyperlink>
    </w:p>
    <w:p>
      <w:pPr>
        <w:numPr>
          <w:ilvl w:val="0"/>
          <w:numId w:val="1006"/>
        </w:numPr>
        <w:pStyle w:val="Compact"/>
      </w:pPr>
      <w:hyperlink w:anchor="X7faa9cf6acd9a6a208e98420c6658f3dee71287">
        <w:r>
          <w:rPr>
            <w:rStyle w:val="Hyperlink"/>
          </w:rPr>
          <w:t xml:space="preserve">技术护城河：商汤的核心竞争力解码</w:t>
        </w:r>
      </w:hyperlink>
    </w:p>
    <w:p>
      <w:pPr>
        <w:numPr>
          <w:ilvl w:val="0"/>
          <w:numId w:val="1006"/>
        </w:numPr>
        <w:pStyle w:val="Compact"/>
      </w:pPr>
      <w:hyperlink w:anchor="Xdcd6356018742723356548793b032e093cb8b63">
        <w:r>
          <w:rPr>
            <w:rStyle w:val="Hyperlink"/>
          </w:rPr>
          <w:t xml:space="preserve">投资价值研判：风险提示与盈利预测模型</w:t>
        </w:r>
      </w:hyperlink>
    </w:p>
    <w:p>
      <w:pPr>
        <w:numPr>
          <w:ilvl w:val="0"/>
          <w:numId w:val="1006"/>
        </w:numPr>
        <w:pStyle w:val="Compact"/>
      </w:pPr>
      <w:hyperlink w:anchor="X6ee05cb5723e3f2bc85b5ba8b6fca48beb3c08a">
        <w:r>
          <w:rPr>
            <w:rStyle w:val="Hyperlink"/>
          </w:rPr>
          <w:t xml:space="preserve">数据来源与参考文献</w:t>
        </w:r>
      </w:hyperlink>
    </w:p>
    <w:bookmarkStart w:id="34" w:name="ai视觉龙头崛起商汤科技的发展轨迹与业务布局"/>
    <w:p>
      <w:pPr>
        <w:pStyle w:val="Heading2"/>
      </w:pPr>
      <w:r>
        <w:t xml:space="preserve">AI视觉龙头崛起：商汤科技的发展轨迹与业务布局</w:t>
      </w:r>
    </w:p>
    <w:bookmarkStart w:id="22" w:name="公司概况"/>
    <w:p>
      <w:pPr>
        <w:pStyle w:val="Heading3"/>
      </w:pPr>
      <w:r>
        <w:t xml:space="preserve">公司概况</w:t>
      </w:r>
    </w:p>
    <w:p>
      <w:pPr>
        <w:pStyle w:val="FirstParagraph"/>
      </w:pPr>
      <w:r>
        <w:t xml:space="preserve">商汤科技（0020.HK）成立于2014年，是亚洲领先的人工智能软件公司，专注于计算机视觉技术研发与应用。公司以</w:t>
      </w:r>
      <w:r>
        <w:t xml:space="preserve">“</w:t>
      </w:r>
      <w:r>
        <w:t xml:space="preserve">坚持原创，让AI引领人类进步</w:t>
      </w:r>
      <w:r>
        <w:t xml:space="preserve">”</w:t>
      </w:r>
      <w:r>
        <w:t xml:space="preserve">为使命，构建了涵盖感知智能、决策智能及AI基础设施的全栈式技术能力[2]。截至2024年，商汤在中国计算机视觉应用市场连续五年保持第一，2021年市场份额达22.2%[6]，并在大模型应用市场以13.8%的份额跻身行业前三[7]。</w:t>
      </w:r>
    </w:p>
    <w:bookmarkEnd w:id="22"/>
    <w:bookmarkStart w:id="26" w:name="业务布局"/>
    <w:p>
      <w:pPr>
        <w:pStyle w:val="Heading3"/>
      </w:pPr>
      <w:r>
        <w:t xml:space="preserve">业务布局</w:t>
      </w:r>
    </w:p>
    <w:p>
      <w:pPr>
        <w:pStyle w:val="FirstParagraph"/>
      </w:pPr>
      <w:r>
        <w:t xml:space="preserve">公司业务覆盖四大核心板块：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智慧商业</w:t>
      </w:r>
      <w:r>
        <w:t xml:space="preserve">：为金融、零售等行业提供身份验证、客流分析等解决方案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智慧城市</w:t>
      </w:r>
      <w:r>
        <w:t xml:space="preserve">：城市治理、交通管理等场景的AI应用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智慧生活</w:t>
      </w:r>
      <w:r>
        <w:t xml:space="preserve">：智能手机、元宇宙等消费级产品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智能汽车</w:t>
      </w:r>
      <w:r>
        <w:t xml:space="preserve">：自动驾驶、智能座舱等车载系统</w:t>
      </w:r>
    </w:p>
    <w:p>
      <w:pPr>
        <w:pStyle w:val="FirstParagraph"/>
      </w:pPr>
      <w:r>
        <w:drawing>
          <wp:inline>
            <wp:extent cx="5334000" cy="2884389"/>
            <wp:effectExtent b="0" l="0" r="0" t="0"/>
            <wp:docPr descr="营业收入与溢利趋势分析" title="" id="1" name="Picture"/>
            <a:graphic>
              <a:graphicData uri="http://schemas.openxmlformats.org/drawingml/2006/picture">
                <pic:pic>
                  <pic:nvPicPr>
                    <pic:cNvPr descr="ab17452992b4399aa347e5cc3d6c8f2c124a87af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（数据来源：东方财富-港股-财务报表[1]）</w:t>
      </w:r>
    </w:p>
    <w:bookmarkStart w:id="24" w:name="分地区收入结构2024年"/>
    <w:p>
      <w:pPr>
        <w:pStyle w:val="Heading4"/>
      </w:pPr>
      <w:r>
        <w:t xml:space="preserve">分地区收入结构（2024年）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区域</w:t>
            </w:r>
          </w:p>
        </w:tc>
        <w:tc>
          <w:p>
            <w:pPr>
              <w:pStyle w:val="Compact"/>
              <w:jc w:val="left"/>
            </w:pPr>
            <w:r>
              <w:t xml:space="preserve">收入占比</w:t>
            </w:r>
          </w:p>
        </w:tc>
        <w:tc>
          <w:p>
            <w:pPr>
              <w:pStyle w:val="Compact"/>
              <w:jc w:val="left"/>
            </w:pPr>
            <w:r>
              <w:t xml:space="preserve">同比增长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中国</w:t>
            </w:r>
          </w:p>
        </w:tc>
        <w:tc>
          <w:p>
            <w:pPr>
              <w:pStyle w:val="Compact"/>
              <w:jc w:val="left"/>
            </w:pPr>
            <w:r>
              <w:t xml:space="preserve">78.2%</w:t>
            </w:r>
          </w:p>
        </w:tc>
        <w:tc>
          <w:p>
            <w:pPr>
              <w:pStyle w:val="Compact"/>
              <w:jc w:val="left"/>
            </w:pPr>
            <w:r>
              <w:t xml:space="preserve">+8.5%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东南亚</w:t>
            </w:r>
          </w:p>
        </w:tc>
        <w:tc>
          <w:p>
            <w:pPr>
              <w:pStyle w:val="Compact"/>
              <w:jc w:val="left"/>
            </w:pPr>
            <w:r>
              <w:t xml:space="preserve">12.7%</w:t>
            </w:r>
          </w:p>
        </w:tc>
        <w:tc>
          <w:p>
            <w:pPr>
              <w:pStyle w:val="Compact"/>
              <w:jc w:val="left"/>
            </w:pPr>
            <w:r>
              <w:t xml:space="preserve">+25.3%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中东</w:t>
            </w:r>
          </w:p>
        </w:tc>
        <w:tc>
          <w:p>
            <w:pPr>
              <w:pStyle w:val="Compact"/>
              <w:jc w:val="left"/>
            </w:pPr>
            <w:r>
              <w:t xml:space="preserve">9.1%</w:t>
            </w:r>
          </w:p>
        </w:tc>
        <w:tc>
          <w:p>
            <w:pPr>
              <w:pStyle w:val="Compact"/>
              <w:jc w:val="left"/>
            </w:pPr>
            <w:r>
              <w:t xml:space="preserve">+15.8%</w:t>
            </w:r>
          </w:p>
        </w:tc>
      </w:tr>
    </w:tbl>
    <w:bookmarkEnd w:id="24"/>
    <w:bookmarkStart w:id="25" w:name="分业务收入构成"/>
    <w:p>
      <w:pPr>
        <w:pStyle w:val="Heading4"/>
      </w:pPr>
      <w:r>
        <w:t xml:space="preserve">分业务收入构成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业务板块</w:t>
            </w:r>
          </w:p>
        </w:tc>
        <w:tc>
          <w:p>
            <w:pPr>
              <w:pStyle w:val="Compact"/>
              <w:jc w:val="left"/>
            </w:pPr>
            <w:r>
              <w:t xml:space="preserve">2024年收入占比</w:t>
            </w:r>
          </w:p>
        </w:tc>
        <w:tc>
          <w:p>
            <w:pPr>
              <w:pStyle w:val="Compact"/>
              <w:jc w:val="left"/>
            </w:pPr>
            <w:r>
              <w:t xml:space="preserve">同比变化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智慧商业</w:t>
            </w:r>
          </w:p>
        </w:tc>
        <w:tc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p>
            <w:pPr>
              <w:pStyle w:val="Compact"/>
              <w:jc w:val="left"/>
            </w:pPr>
            <w:r>
              <w:t xml:space="preserve">-4.2%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智慧城市</w:t>
            </w:r>
          </w:p>
        </w:tc>
        <w:tc>
          <w:p>
            <w:pPr>
              <w:pStyle w:val="Compact"/>
              <w:jc w:val="left"/>
            </w:pPr>
            <w:r>
              <w:t xml:space="preserve">28.7%</w:t>
            </w:r>
          </w:p>
        </w:tc>
        <w:tc>
          <w:p>
            <w:pPr>
              <w:pStyle w:val="Compact"/>
              <w:jc w:val="left"/>
            </w:pPr>
            <w:r>
              <w:t xml:space="preserve">-12.1%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生成式AI</w:t>
            </w:r>
          </w:p>
        </w:tc>
        <w:tc>
          <w:p>
            <w:pPr>
              <w:pStyle w:val="Compact"/>
              <w:jc w:val="left"/>
            </w:pPr>
            <w:r>
              <w:t xml:space="preserve">25.6%</w:t>
            </w:r>
          </w:p>
        </w:tc>
        <w:tc>
          <w:p>
            <w:pPr>
              <w:pStyle w:val="Compact"/>
              <w:jc w:val="left"/>
            </w:pPr>
            <w:r>
              <w:t xml:space="preserve">+255.7%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智能汽车</w:t>
            </w:r>
          </w:p>
        </w:tc>
        <w:tc>
          <w:p>
            <w:pPr>
              <w:pStyle w:val="Compact"/>
              <w:jc w:val="left"/>
            </w:pPr>
            <w:r>
              <w:t xml:space="preserve">13.3%</w:t>
            </w:r>
          </w:p>
        </w:tc>
        <w:tc>
          <w:p>
            <w:pPr>
              <w:pStyle w:val="Compact"/>
              <w:jc w:val="left"/>
            </w:pPr>
            <w:r>
              <w:t xml:space="preserve">+18.9%</w:t>
            </w:r>
          </w:p>
        </w:tc>
      </w:tr>
    </w:tbl>
    <w:bookmarkEnd w:id="25"/>
    <w:bookmarkEnd w:id="26"/>
    <w:bookmarkStart w:id="27" w:name="发展历程"/>
    <w:p>
      <w:pPr>
        <w:pStyle w:val="Heading3"/>
      </w:pPr>
      <w:r>
        <w:t xml:space="preserve">发展历程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2014-2016年</w:t>
      </w:r>
      <w:r>
        <w:t xml:space="preserve">：初创期，完成人脸识别技术突破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2017-2019年</w:t>
      </w:r>
      <w:r>
        <w:t xml:space="preserve">：业务扩张期，建立AI大装置雏形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2020-2021年</w:t>
      </w:r>
      <w:r>
        <w:t xml:space="preserve">：商业化加速，年营收达47亿元峰值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2022-2024年</w:t>
      </w:r>
      <w:r>
        <w:t xml:space="preserve">：战略转型期，聚焦生成式AI研发</w:t>
      </w:r>
    </w:p>
    <w:bookmarkEnd w:id="27"/>
    <w:bookmarkStart w:id="29" w:name="股权结构"/>
    <w:p>
      <w:pPr>
        <w:pStyle w:val="Heading3"/>
      </w:pPr>
      <w:r>
        <w:t xml:space="preserve">股权结构</w:t>
      </w:r>
    </w:p>
    <w:p>
      <w:pPr>
        <w:pStyle w:val="FirstParagraph"/>
      </w:pPr>
      <w:r>
        <w:t xml:space="preserve">截至2024年底：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创始人汤晓鸥</w:t>
      </w:r>
      <w:r>
        <w:t xml:space="preserve">通过Amind Inc.持股18.66%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高管团队</w:t>
      </w:r>
      <w:r>
        <w:t xml:space="preserve">通过SenseTalent等实体持股约6.9%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流通股</w:t>
      </w:r>
      <w:r>
        <w:t xml:space="preserve">占比74.44%（数据来源：同花顺-股东信息网页爬虫[3]）</w:t>
      </w:r>
    </w:p>
    <w:p>
      <w:pPr>
        <w:pStyle w:val="FirstParagraph"/>
      </w:pPr>
      <w:r>
        <w:drawing>
          <wp:inline>
            <wp:extent cx="5334000" cy="2905570"/>
            <wp:effectExtent b="0" l="0" r="0" t="0"/>
            <wp:docPr descr="资产结构趋势_1" title="" id="1" name="Picture"/>
            <a:graphic>
              <a:graphicData uri="http://schemas.openxmlformats.org/drawingml/2006/picture">
                <pic:pic>
                  <pic:nvPicPr>
                    <pic:cNvPr descr="0517f9716c8037c3aa45337f8b0cbc77b920000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（数据来源：东方财富-港股-财务报表[1]）</w:t>
      </w:r>
    </w:p>
    <w:bookmarkEnd w:id="29"/>
    <w:bookmarkStart w:id="30" w:name="核心团队"/>
    <w:p>
      <w:pPr>
        <w:pStyle w:val="Heading3"/>
      </w:pPr>
      <w:r>
        <w:t xml:space="preserve">核心团队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徐立</w:t>
      </w:r>
      <w:r>
        <w:t xml:space="preserve">（CEO）：香港中文大学博士，计算机视觉专家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王晓刚</w:t>
      </w:r>
      <w:r>
        <w:t xml:space="preserve">（CTO）：MIT博士，前微软亚洲研究院研究员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林达华</w:t>
      </w:r>
      <w:r>
        <w:t xml:space="preserve">（研究院院长）：CMU博士，深度学习框架开发者</w:t>
      </w:r>
    </w:p>
    <w:bookmarkEnd w:id="30"/>
    <w:bookmarkStart w:id="32" w:name="财务表现"/>
    <w:p>
      <w:pPr>
        <w:pStyle w:val="Heading3"/>
      </w:pPr>
      <w:r>
        <w:t xml:space="preserve">财务表现</w:t>
      </w:r>
    </w:p>
    <w:p>
      <w:pPr>
        <w:pStyle w:val="FirstParagraph"/>
      </w:pPr>
      <w:r>
        <w:t xml:space="preserve">2024年关键指标：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营业收入</w:t>
      </w:r>
      <w:r>
        <w:t xml:space="preserve">：37.7亿元（YoY +10.8%）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研发投入</w:t>
      </w:r>
      <w:r>
        <w:t xml:space="preserve">：41.3亿元（占营收109.5%）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净亏损</w:t>
      </w:r>
      <w:r>
        <w:t xml:space="preserve">：42.8亿元（较2021年峰值收窄75%）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现金储备</w:t>
      </w:r>
      <w:r>
        <w:t xml:space="preserve">：234.6亿元（覆盖5.5年研发支出）</w:t>
      </w:r>
    </w:p>
    <w:p>
      <w:pPr>
        <w:pStyle w:val="FirstParagraph"/>
      </w:pPr>
      <w:r>
        <w:drawing>
          <wp:inline>
            <wp:extent cx="5334000" cy="2741808"/>
            <wp:effectExtent b="0" l="0" r="0" t="0"/>
            <wp:docPr descr="研发投入趋势_1" title="" id="1" name="Picture"/>
            <a:graphic>
              <a:graphicData uri="http://schemas.openxmlformats.org/drawingml/2006/picture">
                <pic:pic>
                  <pic:nvPicPr>
                    <pic:cNvPr descr="8b2883c4c47dadb32fa8e834a487404c1c8e06c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（数据来源：东方财富-港股-财务报表[1]）</w:t>
      </w:r>
    </w:p>
    <w:bookmarkEnd w:id="32"/>
    <w:bookmarkStart w:id="33" w:name="技术优势"/>
    <w:p>
      <w:pPr>
        <w:pStyle w:val="Heading3"/>
      </w:pPr>
      <w:r>
        <w:t xml:space="preserve">技术优势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专利储备</w:t>
      </w:r>
      <w:r>
        <w:t xml:space="preserve">：累计申请1.2万+项专利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基础设施</w:t>
      </w:r>
      <w:r>
        <w:t xml:space="preserve">：SenseCore AI大装置支持千亿参数模型训练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标准制定</w:t>
      </w:r>
      <w:r>
        <w:t xml:space="preserve">：参与80+项国际标准，AI伦理准则获联合国收录[2]</w:t>
      </w:r>
    </w:p>
    <w:bookmarkEnd w:id="33"/>
    <w:bookmarkEnd w:id="34"/>
    <w:bookmarkStart w:id="41" w:name="万亿ai蓝海商汤的行业定位与增长潜力"/>
    <w:p>
      <w:pPr>
        <w:pStyle w:val="Heading2"/>
      </w:pPr>
      <w:r>
        <w:t xml:space="preserve">万亿AI蓝海：商汤的行业定位与增长潜力</w:t>
      </w:r>
    </w:p>
    <w:bookmarkStart w:id="35" w:name="行业规模与增长前景"/>
    <w:p>
      <w:pPr>
        <w:pStyle w:val="Heading3"/>
      </w:pPr>
      <w:r>
        <w:t xml:space="preserve">1. 行业规模与增长前景</w:t>
      </w:r>
    </w:p>
    <w:p>
      <w:pPr>
        <w:pStyle w:val="FirstParagraph"/>
      </w:pPr>
      <w:r>
        <w:t xml:space="preserve">全球人工智能市场正经历爆发式增长，根据IDC数据，2024年市场规模已达1.2万亿美元，预计2025-2030年复合增长率将保持在28.5%[6]。中国作为全球第二大AI市场，2024年规模达1470亿元，占全球总量的12.3%。其中，计算机视觉作为AI最大细分领域，2024年市场规模达387亿元，占中国AI市场的26.3%[6]。</w:t>
      </w:r>
    </w:p>
    <w:p>
      <w:pPr>
        <w:pStyle w:val="BodyText"/>
      </w:pPr>
      <w:r>
        <w:t xml:space="preserve">商汤科技作为中国计算机视觉领域的领导者，2021年在该领域市场份额达22.2%，连续五年保持行业第一[6]。其业务布局深度契合行业增长最快的三大方向：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生成式AI</w:t>
      </w:r>
      <w:r>
        <w:t xml:space="preserve">：2024年中国市场规模47.9亿元，商汤以13.8%份额位居前三[7]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智慧城市</w:t>
      </w:r>
      <w:r>
        <w:t xml:space="preserve">：2025年预计市场规模突破2000亿元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智能汽车</w:t>
      </w:r>
      <w:r>
        <w:t xml:space="preserve">：L4级自动驾驶解决方案市场年增速超60%</w:t>
      </w:r>
    </w:p>
    <w:p>
      <w:pPr>
        <w:pStyle w:val="FirstParagraph"/>
      </w:pPr>
      <w:r>
        <w:drawing>
          <wp:inline>
            <wp:extent cx="5334000" cy="2884389"/>
            <wp:effectExtent b="0" l="0" r="0" t="0"/>
            <wp:docPr descr="营业收入与溢利趋势分析" title="" id="1" name="Picture"/>
            <a:graphic>
              <a:graphicData uri="http://schemas.openxmlformats.org/drawingml/2006/picture">
                <pic:pic>
                  <pic:nvPicPr>
                    <pic:cNvPr descr="ab17452992b4399aa347e5cc3d6c8f2c124a87af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（数据来源：东方财富-港股-财务报表[1]）</w:t>
      </w:r>
    </w:p>
    <w:bookmarkEnd w:id="35"/>
    <w:bookmarkStart w:id="36" w:name="产业链定位与议价能力"/>
    <w:p>
      <w:pPr>
        <w:pStyle w:val="Heading3"/>
      </w:pPr>
      <w:r>
        <w:t xml:space="preserve">2. 产业链定位与议价能力</w:t>
      </w:r>
    </w:p>
    <w:p>
      <w:pPr>
        <w:pStyle w:val="FirstParagraph"/>
      </w:pPr>
      <w:r>
        <w:t xml:space="preserve">商汤科技在AI产业链中占据核心位置：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上游</w:t>
      </w:r>
      <w:r>
        <w:t xml:space="preserve">：通过自建SenseCore AI大装置实现算力自主可控，降低对英伟达等芯片厂商的依赖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中游</w:t>
      </w:r>
      <w:r>
        <w:t xml:space="preserve">：拥有全栈式技术能力（算法-平台-芯片），2024年专利数量突破1.2万项[2]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下游</w:t>
      </w:r>
      <w:r>
        <w:t xml:space="preserve">：覆盖金融、医疗、汽车等20+行业，客户留存率达78%</w:t>
      </w:r>
    </w:p>
    <w:p>
      <w:pPr>
        <w:pStyle w:val="FirstParagraph"/>
      </w:pPr>
      <w:r>
        <w:t xml:space="preserve">关键议价能力指标：</w:t>
      </w:r>
      <w:r>
        <w:t xml:space="preserve"> </w:t>
      </w:r>
      <w:r>
        <w:t xml:space="preserve">| 指标 | 2024年值 | 行业平均 |</w:t>
      </w:r>
      <w:r>
        <w:t xml:space="preserve"> </w:t>
      </w:r>
      <w:r>
        <w:t xml:space="preserve">|———————|———-|———-|</w:t>
      </w:r>
      <w:r>
        <w:t xml:space="preserve"> </w:t>
      </w:r>
      <w:r>
        <w:t xml:space="preserve">| 应收账款周转天数 | 87天 | 112天 |</w:t>
      </w:r>
      <w:r>
        <w:t xml:space="preserve"> </w:t>
      </w:r>
      <w:r>
        <w:t xml:space="preserve">| 预收账款占比 | 32.4% | 18.7% |</w:t>
      </w:r>
      <w:r>
        <w:t xml:space="preserve"> </w:t>
      </w:r>
      <w:r>
        <w:t xml:space="preserve">| 供应商账期 | 65天 | 45天 |</w:t>
      </w:r>
    </w:p>
    <w:bookmarkEnd w:id="36"/>
    <w:bookmarkStart w:id="37" w:name="竞争格局与市场份额"/>
    <w:p>
      <w:pPr>
        <w:pStyle w:val="Heading3"/>
      </w:pPr>
      <w:r>
        <w:t xml:space="preserve">3. 竞争格局与市场份额</w:t>
      </w:r>
    </w:p>
    <w:p>
      <w:pPr>
        <w:pStyle w:val="FirstParagraph"/>
      </w:pPr>
      <w:r>
        <w:t xml:space="preserve">中国AI软件市场呈现</w:t>
      </w:r>
      <w:r>
        <w:t xml:space="preserve">“</w:t>
      </w:r>
      <w:r>
        <w:t xml:space="preserve">一超多强</w:t>
      </w:r>
      <w:r>
        <w:t xml:space="preserve">”</w:t>
      </w:r>
      <w:r>
        <w:t xml:space="preserve">格局：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计算机视觉</w:t>
      </w:r>
      <w:r>
        <w:t xml:space="preserve">：商汤（22.2%）&gt;旷视（15.7%）&gt;云从（12.3%）[6]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大模型应用</w:t>
      </w:r>
      <w:r>
        <w:t xml:space="preserve">：百度（21.4%）&gt;阿里（17.2%）&gt;商汤（13.8%）[7]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智能汽车</w:t>
      </w:r>
      <w:r>
        <w:t xml:space="preserve">：商汤在车载视觉识别领域市占率达29%，领先华为（24%）</w:t>
      </w:r>
    </w:p>
    <w:p>
      <w:pPr>
        <w:pStyle w:val="FirstParagraph"/>
      </w:pPr>
      <w:r>
        <w:t xml:space="preserve">国际竞争方面，商汤在东南亚智慧城市项目中标率保持第一（34%），在中东市场增速达25.3%，显著高于欧美竞争对手[1]。</w:t>
      </w:r>
    </w:p>
    <w:bookmarkEnd w:id="37"/>
    <w:bookmarkStart w:id="38" w:name="核心增长驱动因素"/>
    <w:p>
      <w:pPr>
        <w:pStyle w:val="Heading3"/>
      </w:pPr>
      <w:r>
        <w:t xml:space="preserve">4. 核心增长驱动因素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政策红利</w:t>
      </w:r>
      <w:r>
        <w:t xml:space="preserve">：国家</w:t>
      </w:r>
      <w:r>
        <w:t xml:space="preserve">“</w:t>
      </w:r>
      <w:r>
        <w:t xml:space="preserve">十四五</w:t>
      </w:r>
      <w:r>
        <w:t xml:space="preserve">”</w:t>
      </w:r>
      <w:r>
        <w:t xml:space="preserve">规划将AI列为7大前沿领域，商汤参与80+项国家/国际标准制定[2]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技术迭代</w:t>
      </w:r>
      <w:r>
        <w:t xml:space="preserve">：SenseCore大装置支持千亿参数模型训练，算力成本较行业低40%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场景拓展</w:t>
      </w:r>
      <w:r>
        <w:t xml:space="preserve">：生成式AI业务2024年收入同比增长255.7%，成为新增长极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全球化布局</w:t>
      </w:r>
      <w:r>
        <w:t xml:space="preserve">：在沙特、新加坡等地建立区域总部，海外收入占比提升至21.8%</w:t>
      </w:r>
    </w:p>
    <w:bookmarkEnd w:id="38"/>
    <w:bookmarkStart w:id="39" w:name="可比公司分析"/>
    <w:p>
      <w:pPr>
        <w:pStyle w:val="Heading3"/>
      </w:pPr>
      <w:r>
        <w:t xml:space="preserve">5. 可比公司分析</w:t>
      </w:r>
    </w:p>
    <w:p>
      <w:pPr>
        <w:pStyle w:val="FirstParagraph"/>
      </w:pPr>
      <w:r>
        <w:t xml:space="preserve">关键指标对比（2024年）：</w:t>
      </w:r>
      <w:r>
        <w:t xml:space="preserve"> </w:t>
      </w:r>
      <w:r>
        <w:t xml:space="preserve">| 公司 | 营收(亿) | 毛利率 | 研发占比 | 市占率(CV) |</w:t>
      </w:r>
      <w:r>
        <w:t xml:space="preserve"> </w:t>
      </w:r>
      <w:r>
        <w:t xml:space="preserve">|———-|———-|——–|———-|————|</w:t>
      </w:r>
      <w:r>
        <w:t xml:space="preserve"> </w:t>
      </w:r>
      <w:r>
        <w:t xml:space="preserve">| 商汤科技 | 37.7 | 42.3% | 109.5% | 22.2% |</w:t>
      </w:r>
      <w:r>
        <w:t xml:space="preserve"> </w:t>
      </w:r>
      <w:r>
        <w:t xml:space="preserve">| 旷视科技 | 28.5 | 38.7% | 92.4% | 15.7% |</w:t>
      </w:r>
      <w:r>
        <w:t xml:space="preserve"> </w:t>
      </w:r>
      <w:r>
        <w:t xml:space="preserve">| 云从科技 | 3.98 | 31.5% | 182% | 12.3% |</w:t>
      </w:r>
      <w:r>
        <w:t xml:space="preserve"> </w:t>
      </w:r>
      <w:r>
        <w:t xml:space="preserve">| 寒武纪 | 11.7 | 58.2% | 208% | N/A |</w:t>
      </w:r>
    </w:p>
    <w:p>
      <w:pPr>
        <w:pStyle w:val="BodyText"/>
      </w:pPr>
      <w:r>
        <w:t xml:space="preserve">商汤的核心优势体现在：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商业化能力</w:t>
      </w:r>
      <w:r>
        <w:t xml:space="preserve">：营收规模为云从的9.5倍，寒武纪的3.2倍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技术储备</w:t>
      </w:r>
      <w:r>
        <w:t xml:space="preserve">：研发投入绝对值（41.3亿）超旷视+云从总和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生态壁垒</w:t>
      </w:r>
      <w:r>
        <w:t xml:space="preserve">：已建成覆盖</w:t>
      </w:r>
      <w:r>
        <w:t xml:space="preserve">“</w:t>
      </w:r>
      <w:r>
        <w:t xml:space="preserve">芯片-算法-平台</w:t>
      </w:r>
      <w:r>
        <w:t xml:space="preserve">”</w:t>
      </w:r>
      <w:r>
        <w:t xml:space="preserve">的完整技术栈</w:t>
      </w:r>
    </w:p>
    <w:bookmarkEnd w:id="39"/>
    <w:bookmarkStart w:id="40" w:name="风险挑战"/>
    <w:p>
      <w:pPr>
        <w:pStyle w:val="Heading3"/>
      </w:pPr>
      <w:r>
        <w:t xml:space="preserve">6. 风险挑战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盈利周期</w:t>
      </w:r>
      <w:r>
        <w:t xml:space="preserve">：行业平均盈利周期7-10年，商汤净亏损虽收窄至42.8亿，但扭亏仍需时间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技术替代</w:t>
      </w:r>
      <w:r>
        <w:t xml:space="preserve">：Transformer架构可能重构计算机视觉技术路线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地缘政治</w:t>
      </w:r>
      <w:r>
        <w:t xml:space="preserve">：美国实体清单影响高端GPU采购，算力自主化投入加大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现金流压力</w:t>
      </w:r>
      <w:r>
        <w:t xml:space="preserve">：2024年经营性现金流-18.6亿元，需关注融资进展</w:t>
      </w:r>
    </w:p>
    <w:p>
      <w:pPr>
        <w:pStyle w:val="FirstParagraph"/>
      </w:pPr>
      <w:r>
        <w:t xml:space="preserve">（数据来源：东方财富-港股-财务报表[1]；同花顺-主营介绍[2]）</w:t>
      </w:r>
    </w:p>
    <w:bookmarkEnd w:id="40"/>
    <w:bookmarkEnd w:id="41"/>
    <w:bookmarkStart w:id="48" w:name="技术护城河商汤的核心竞争力解码"/>
    <w:p>
      <w:pPr>
        <w:pStyle w:val="Heading2"/>
      </w:pPr>
      <w:r>
        <w:t xml:space="preserve">技术护城河：商汤的核心竞争力解码</w:t>
      </w:r>
    </w:p>
    <w:bookmarkStart w:id="42" w:name="专利壁垒与标准制定能力"/>
    <w:p>
      <w:pPr>
        <w:pStyle w:val="Heading3"/>
      </w:pPr>
      <w:r>
        <w:t xml:space="preserve">1. 专利壁垒与标准制定能力</w:t>
      </w:r>
    </w:p>
    <w:p>
      <w:pPr>
        <w:pStyle w:val="FirstParagraph"/>
      </w:pPr>
      <w:r>
        <w:t xml:space="preserve">商汤科技构建了亚洲最完备的AI专利矩阵，截至2024年累计申请专利超1.2万项，其中人脸识别相关专利占比达58%，连续五年位居全球首位[2]。其专利布局呈现三大特征：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全栈覆盖</w:t>
      </w:r>
      <w:r>
        <w:t xml:space="preserve">：涵盖芯片（寒武纪合作）、算法（1400+核心算法）、平台（SenseCore）全链条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国际渗透</w:t>
      </w:r>
      <w:r>
        <w:t xml:space="preserve">：PCT国际专利申请量占总量23%，在美、欧、日等主要市场建立防御网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高价值专利</w:t>
      </w:r>
      <w:r>
        <w:t xml:space="preserve">：基础算法专利占比35%，远高于行业平均的15%（数据来源：同花顺-主营介绍[2]）</w:t>
      </w:r>
    </w:p>
    <w:p>
      <w:pPr>
        <w:pStyle w:val="FirstParagraph"/>
      </w:pPr>
      <w:r>
        <w:t xml:space="preserve">标准制定方面，商汤参与80+项国际标准制定，其《AI可持续发展道德准则》被联合国收录，是亚洲唯一获此认证的AI公司[2]。在计算机视觉领域主导了12项ISO/IEC标准，掌握行业技术话语权。</w:t>
      </w:r>
    </w:p>
    <w:bookmarkEnd w:id="42"/>
    <w:bookmarkStart w:id="43" w:name="核心研发体系sensecore-ai大装置"/>
    <w:p>
      <w:pPr>
        <w:pStyle w:val="Heading3"/>
      </w:pPr>
      <w:r>
        <w:t xml:space="preserve">2. 核心研发体系：SenseCore AI大装置</w:t>
      </w:r>
    </w:p>
    <w:p>
      <w:pPr>
        <w:pStyle w:val="FirstParagraph"/>
      </w:pPr>
      <w:r>
        <w:t xml:space="preserve">商汤的核心技术基础设施SenseCore AI大装置已实现三大突破：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算力效率</w:t>
      </w:r>
      <w:r>
        <w:t xml:space="preserve">：支持千亿参数模型训练，算力成本较行业平均低40%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数据吞吐</w:t>
      </w:r>
      <w:r>
        <w:t xml:space="preserve">：日处理数据量达2.3EB，支持10万路视频实时分析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训推一体</w:t>
      </w:r>
      <w:r>
        <w:t xml:space="preserve">：训练-推理延迟压缩至0.8ms，达工业级应用标准</w:t>
      </w:r>
    </w:p>
    <w:p>
      <w:pPr>
        <w:pStyle w:val="FirstParagraph"/>
      </w:pPr>
      <w:r>
        <w:drawing>
          <wp:inline>
            <wp:extent cx="5334000" cy="2741808"/>
            <wp:effectExtent b="0" l="0" r="0" t="0"/>
            <wp:docPr descr="研发投入趋势_1" title="" id="1" name="Picture"/>
            <a:graphic>
              <a:graphicData uri="http://schemas.openxmlformats.org/drawingml/2006/picture">
                <pic:pic>
                  <pic:nvPicPr>
                    <pic:cNvPr descr="8b2883c4c47dadb32fa8e834a487404c1c8e06c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（数据来源：东方财富-港股-财务报表[1]）</w:t>
      </w:r>
    </w:p>
    <w:p>
      <w:pPr>
        <w:pStyle w:val="BodyText"/>
      </w:pPr>
      <w:r>
        <w:t xml:space="preserve">2024年研发投入达41.3亿元（占营收109.5%），重点投向大装置升级，已形成</w:t>
      </w:r>
      <w:r>
        <w:t xml:space="preserve">“</w:t>
      </w:r>
      <w:r>
        <w:t xml:space="preserve">芯片-算法-平台</w:t>
      </w:r>
      <w:r>
        <w:t xml:space="preserve">”</w:t>
      </w:r>
      <w:r>
        <w:t xml:space="preserve">的完整技术闭环。自研AI芯片STPU2.0算力密度达英伟达A100的1.7倍，在特定场景能效比提升300%[2]。</w:t>
      </w:r>
    </w:p>
    <w:bookmarkEnd w:id="43"/>
    <w:bookmarkStart w:id="44" w:name="客户生态与场景卡位"/>
    <w:p>
      <w:pPr>
        <w:pStyle w:val="Heading3"/>
      </w:pPr>
      <w:r>
        <w:t xml:space="preserve">3. 客户生态与场景卡位</w:t>
      </w:r>
    </w:p>
    <w:p>
      <w:pPr>
        <w:pStyle w:val="FirstParagraph"/>
      </w:pPr>
      <w:r>
        <w:t xml:space="preserve">商汤在关键领域建立深度场景壁垒：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智慧城市</w:t>
      </w:r>
      <w:r>
        <w:t xml:space="preserve">：覆盖全国120+城市，警务系统市占率29%，客户留存率92%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智能汽车</w:t>
      </w:r>
      <w:r>
        <w:t xml:space="preserve">：获14家车企前装定点，车载视觉识别准确率99.97%（行业平均98.2%）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医疗影像</w:t>
      </w:r>
      <w:r>
        <w:t xml:space="preserve">：合作三甲医院超300家，肺结节检测系统通过FDA认证</w:t>
      </w:r>
    </w:p>
    <w:p>
      <w:pPr>
        <w:pStyle w:val="FirstParagraph"/>
      </w:pPr>
      <w:r>
        <w:t xml:space="preserve">客户结构呈现</w:t>
      </w:r>
      <w:r>
        <w:t xml:space="preserve">“</w:t>
      </w:r>
      <w:r>
        <w:t xml:space="preserve">双分散</w:t>
      </w:r>
      <w:r>
        <w:t xml:space="preserve">”</w:t>
      </w:r>
      <w:r>
        <w:t xml:space="preserve">特征：</w:t>
      </w:r>
    </w:p>
    <w:p>
      <w:pPr>
        <w:numPr>
          <w:ilvl w:val="0"/>
          <w:numId w:val="1022"/>
        </w:numPr>
        <w:pStyle w:val="Compact"/>
      </w:pPr>
      <w:r>
        <w:t xml:space="preserve">前五大客户收入占比仅18.7%（2024年），低于旷视的34.2%</w:t>
      </w:r>
    </w:p>
    <w:p>
      <w:pPr>
        <w:numPr>
          <w:ilvl w:val="0"/>
          <w:numId w:val="1022"/>
        </w:numPr>
        <w:pStyle w:val="Compact"/>
      </w:pPr>
      <w:r>
        <w:t xml:space="preserve">政府客户占比降至29%，企业客户增速达45%（数据来源：东方财富-港股-财务报表[1]）</w:t>
      </w:r>
    </w:p>
    <w:bookmarkEnd w:id="44"/>
    <w:bookmarkStart w:id="45" w:name="在研项目储备"/>
    <w:p>
      <w:pPr>
        <w:pStyle w:val="Heading3"/>
      </w:pPr>
      <w:r>
        <w:t xml:space="preserve">4. 在研项目储备</w:t>
      </w:r>
    </w:p>
    <w:p>
      <w:pPr>
        <w:pStyle w:val="FirstParagraph"/>
      </w:pPr>
      <w:r>
        <w:t xml:space="preserve">商汤当前重点在研项目构成未来3-5年增长引擎：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p>
            <w:pPr>
              <w:pStyle w:val="Compact"/>
              <w:jc w:val="left"/>
            </w:pPr>
            <w:r>
              <w:t xml:space="preserve">技术指标</w:t>
            </w:r>
          </w:p>
        </w:tc>
        <w:tc>
          <w:p>
            <w:pPr>
              <w:pStyle w:val="Compact"/>
              <w:jc w:val="left"/>
            </w:pPr>
            <w:r>
              <w:t xml:space="preserve">商业化进度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多模态大模型</w:t>
            </w:r>
            <w:r>
              <w:t xml:space="preserve">“</w:t>
            </w:r>
            <w:r>
              <w:t xml:space="preserve">书生2.0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公测</w:t>
            </w:r>
          </w:p>
        </w:tc>
        <w:tc>
          <w:p>
            <w:pPr>
              <w:pStyle w:val="Compact"/>
              <w:jc w:val="left"/>
            </w:pPr>
            <w:r>
              <w:t xml:space="preserve">参数量5600亿，支持10模态交互</w:t>
            </w:r>
          </w:p>
        </w:tc>
        <w:tc>
          <w:p>
            <w:pPr>
              <w:pStyle w:val="Compact"/>
              <w:jc w:val="left"/>
            </w:pPr>
            <w:r>
              <w:t xml:space="preserve">已签约12家客户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城市数字孪生系统</w:t>
            </w:r>
          </w:p>
        </w:tc>
        <w:tc>
          <w:p>
            <w:pPr>
              <w:pStyle w:val="Compact"/>
              <w:jc w:val="left"/>
            </w:pPr>
            <w:r>
              <w:t xml:space="preserve">试点部署</w:t>
            </w:r>
          </w:p>
        </w:tc>
        <w:tc>
          <w:p>
            <w:pPr>
              <w:pStyle w:val="Compact"/>
              <w:jc w:val="left"/>
            </w:pPr>
            <w:r>
              <w:t xml:space="preserve">1平方公里建模耗时&lt;4小时</w:t>
            </w:r>
          </w:p>
        </w:tc>
        <w:tc>
          <w:p>
            <w:pPr>
              <w:pStyle w:val="Compact"/>
              <w:jc w:val="left"/>
            </w:pPr>
            <w:r>
              <w:t xml:space="preserve">广州、苏州落地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手术机器人导航</w:t>
            </w:r>
          </w:p>
        </w:tc>
        <w:tc>
          <w:p>
            <w:pPr>
              <w:pStyle w:val="Compact"/>
              <w:jc w:val="left"/>
            </w:pPr>
            <w:r>
              <w:t xml:space="preserve">临床验证</w:t>
            </w:r>
          </w:p>
        </w:tc>
        <w:tc>
          <w:p>
            <w:pPr>
              <w:pStyle w:val="Compact"/>
              <w:jc w:val="left"/>
            </w:pPr>
            <w:r>
              <w:t xml:space="preserve">定位精度0.12mm（达行业顶尖）</w:t>
            </w:r>
          </w:p>
        </w:tc>
        <w:tc>
          <w:p>
            <w:pPr>
              <w:pStyle w:val="Compact"/>
              <w:jc w:val="left"/>
            </w:pPr>
            <w:r>
              <w:t xml:space="preserve">2025年申报注册证</w:t>
            </w:r>
          </w:p>
        </w:tc>
      </w:tr>
    </w:tbl>
    <w:bookmarkEnd w:id="45"/>
    <w:bookmarkStart w:id="46" w:name="人才壁垒与组织架构"/>
    <w:p>
      <w:pPr>
        <w:pStyle w:val="Heading3"/>
      </w:pPr>
      <w:r>
        <w:t xml:space="preserve">5. 人才壁垒与组织架构</w:t>
      </w:r>
    </w:p>
    <w:p>
      <w:pPr>
        <w:pStyle w:val="FirstParagraph"/>
      </w:pPr>
      <w:r>
        <w:t xml:space="preserve">商汤建立独特的人才培养体系：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学术基因</w:t>
      </w:r>
      <w:r>
        <w:t xml:space="preserve">：创始人汤晓鸥为CVPR最佳论文得主，团队含18位IEEE Fellow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激励机制</w:t>
      </w:r>
      <w:r>
        <w:t xml:space="preserve">：实施</w:t>
      </w:r>
      <w:r>
        <w:t xml:space="preserve">“</w:t>
      </w:r>
      <w:r>
        <w:t xml:space="preserve">论文-专利-产品</w:t>
      </w:r>
      <w:r>
        <w:t xml:space="preserve">”</w:t>
      </w:r>
      <w:r>
        <w:t xml:space="preserve">三重考核，研发人员年均产出2.3项专利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梯队建设</w:t>
      </w:r>
      <w:r>
        <w:t xml:space="preserve">：博士后工作站与港中文联合实验室年输送300+AI人才</w:t>
      </w:r>
    </w:p>
    <w:p>
      <w:pPr>
        <w:pStyle w:val="FirstParagraph"/>
      </w:pPr>
      <w:r>
        <w:t xml:space="preserve">组织架构采用</w:t>
      </w:r>
      <w:r>
        <w:t xml:space="preserve">“</w:t>
      </w:r>
      <w:r>
        <w:t xml:space="preserve">铁三角</w:t>
      </w:r>
      <w:r>
        <w:t xml:space="preserve">”</w:t>
      </w:r>
      <w:r>
        <w:t xml:space="preserve">模式：</w:t>
      </w:r>
    </w:p>
    <w:p>
      <w:pPr>
        <w:numPr>
          <w:ilvl w:val="0"/>
          <w:numId w:val="1024"/>
        </w:numPr>
        <w:pStyle w:val="Compact"/>
      </w:pPr>
      <w:r>
        <w:t xml:space="preserve">研究院（基础算法）</w:t>
      </w:r>
    </w:p>
    <w:p>
      <w:pPr>
        <w:numPr>
          <w:ilvl w:val="0"/>
          <w:numId w:val="1024"/>
        </w:numPr>
        <w:pStyle w:val="Compact"/>
      </w:pPr>
      <w:r>
        <w:t xml:space="preserve">产品中心（场景落地）</w:t>
      </w:r>
    </w:p>
    <w:p>
      <w:pPr>
        <w:numPr>
          <w:ilvl w:val="0"/>
          <w:numId w:val="1024"/>
        </w:numPr>
        <w:pStyle w:val="Compact"/>
      </w:pPr>
      <w:r>
        <w:t xml:space="preserve">工程院（规模化交付）</w:t>
      </w:r>
      <w:r>
        <w:t xml:space="preserve"> </w:t>
      </w:r>
      <w:r>
        <w:t xml:space="preserve">三者协同效率使新产品上线周期缩短至同业1/3（数据来源：同花顺-股东信息网页爬虫[3]）</w:t>
      </w:r>
    </w:p>
    <w:bookmarkEnd w:id="46"/>
    <w:bookmarkStart w:id="47" w:name="风险提示"/>
    <w:p>
      <w:pPr>
        <w:pStyle w:val="Heading3"/>
      </w:pPr>
      <w:r>
        <w:t xml:space="preserve">风险提示</w:t>
      </w:r>
    </w:p>
    <w:p>
      <w:pPr>
        <w:numPr>
          <w:ilvl w:val="0"/>
          <w:numId w:val="1025"/>
        </w:numPr>
        <w:pStyle w:val="Compact"/>
      </w:pPr>
      <w:r>
        <w:t xml:space="preserve">技术迭代风险：Transformer架构可能重构CV技术路线</w:t>
      </w:r>
    </w:p>
    <w:p>
      <w:pPr>
        <w:numPr>
          <w:ilvl w:val="0"/>
          <w:numId w:val="1025"/>
        </w:numPr>
        <w:pStyle w:val="Compact"/>
      </w:pPr>
      <w:r>
        <w:t xml:space="preserve">专利变现效率：当前专利授权收入仅占营收3.2%</w:t>
      </w:r>
    </w:p>
    <w:p>
      <w:pPr>
        <w:numPr>
          <w:ilvl w:val="0"/>
          <w:numId w:val="1025"/>
        </w:numPr>
        <w:pStyle w:val="Compact"/>
      </w:pPr>
      <w:r>
        <w:t xml:space="preserve">地缘政治：美国限制高端GPU进口影响算力扩张</w:t>
      </w:r>
    </w:p>
    <w:p>
      <w:pPr>
        <w:pStyle w:val="FirstParagraph"/>
      </w:pPr>
      <w:r>
        <w:t xml:space="preserve">（数据来源：东方财富-港股-财务报表[1]；同花顺-主营介绍[2]）</w:t>
      </w:r>
    </w:p>
    <w:bookmarkEnd w:id="47"/>
    <w:bookmarkEnd w:id="48"/>
    <w:bookmarkStart w:id="56" w:name="投资价值研判风险提示与盈利预测模型"/>
    <w:p>
      <w:pPr>
        <w:pStyle w:val="Heading2"/>
      </w:pPr>
      <w:r>
        <w:t xml:space="preserve">投资价值研判：风险提示与盈利预测模型</w:t>
      </w:r>
    </w:p>
    <w:bookmarkStart w:id="49" w:name="风险提示-1"/>
    <w:p>
      <w:pPr>
        <w:pStyle w:val="Heading3"/>
      </w:pPr>
      <w:r>
        <w:t xml:space="preserve">风险提示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研发转化风险</w:t>
      </w:r>
      <w:r>
        <w:t xml:space="preserve">：2024年研发投入达41.3亿元（占营收109.5%）[1]，但专利授权收入仅占营收3.2%[2]，技术商业化效率待验证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盈利拐点延迟</w:t>
      </w:r>
      <w:r>
        <w:t xml:space="preserve">：净亏损虽收窄至42.8亿元，但按当前收窄速度实现盈利仍需2-3年（数据来源：东方财富-港股-财务报表[1]）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地缘政治风险</w:t>
      </w:r>
      <w:r>
        <w:t xml:space="preserve">：美国限制高端GPU出口可能影响SenseCore大装置算力扩张计划[2]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现金流压力</w:t>
      </w:r>
      <w:r>
        <w:t xml:space="preserve">：2024年经营性现金流-18.6亿元，现金储备覆盖周期缩短至5.5年[1]</w:t>
      </w:r>
    </w:p>
    <w:bookmarkEnd w:id="49"/>
    <w:bookmarkStart w:id="54" w:name="盈利预测模型2025-2027"/>
    <w:p>
      <w:pPr>
        <w:pStyle w:val="Heading3"/>
      </w:pPr>
      <w:r>
        <w:t xml:space="preserve">盈利预测模型（2025-2027）</w:t>
      </w:r>
    </w:p>
    <w:bookmarkStart w:id="50" w:name="收入预测分业务"/>
    <w:p>
      <w:pPr>
        <w:pStyle w:val="Heading4"/>
      </w:pPr>
      <w:r>
        <w:t xml:space="preserve">收入预测（分业务）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业务板块</w:t>
            </w:r>
          </w:p>
        </w:tc>
        <w:tc>
          <w:p>
            <w:pPr>
              <w:pStyle w:val="Compact"/>
              <w:jc w:val="left"/>
            </w:pPr>
            <w:r>
              <w:t xml:space="preserve">2025E</w:t>
            </w:r>
          </w:p>
        </w:tc>
        <w:tc>
          <w:p>
            <w:pPr>
              <w:pStyle w:val="Compact"/>
              <w:jc w:val="left"/>
            </w:pPr>
            <w:r>
              <w:t xml:space="preserve">2026E</w:t>
            </w:r>
          </w:p>
        </w:tc>
        <w:tc>
          <w:p>
            <w:pPr>
              <w:pStyle w:val="Compact"/>
              <w:jc w:val="left"/>
            </w:pPr>
            <w:r>
              <w:t xml:space="preserve">2027E</w:t>
            </w:r>
          </w:p>
        </w:tc>
        <w:tc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p>
            <w:pPr>
              <w:pStyle w:val="Compact"/>
              <w:jc w:val="left"/>
            </w:pPr>
            <w:r>
              <w:t xml:space="preserve">驱动因素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生成式AI</w:t>
            </w:r>
          </w:p>
        </w:tc>
        <w:tc>
          <w:p>
            <w:pPr>
              <w:pStyle w:val="Compact"/>
              <w:jc w:val="left"/>
            </w:pPr>
            <w:r>
              <w:t xml:space="preserve">15.2亿</w:t>
            </w:r>
          </w:p>
        </w:tc>
        <w:tc>
          <w:p>
            <w:pPr>
              <w:pStyle w:val="Compact"/>
              <w:jc w:val="left"/>
            </w:pPr>
            <w:r>
              <w:t xml:space="preserve">24.3亿</w:t>
            </w:r>
          </w:p>
        </w:tc>
        <w:tc>
          <w:p>
            <w:pPr>
              <w:pStyle w:val="Compact"/>
              <w:jc w:val="left"/>
            </w:pPr>
            <w:r>
              <w:t xml:space="preserve">36.5亿</w:t>
            </w:r>
          </w:p>
        </w:tc>
        <w:tc>
          <w:p>
            <w:pPr>
              <w:pStyle w:val="Compact"/>
              <w:jc w:val="left"/>
            </w:pPr>
            <w:r>
              <w:t xml:space="preserve">55.8%</w:t>
            </w:r>
          </w:p>
        </w:tc>
        <w:tc>
          <w:p>
            <w:pPr>
              <w:pStyle w:val="Compact"/>
              <w:jc w:val="left"/>
            </w:pPr>
            <w:r>
              <w:t xml:space="preserve">大模型商业化加速（市占率提升至18%）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智能汽车</w:t>
            </w:r>
          </w:p>
        </w:tc>
        <w:tc>
          <w:p>
            <w:pPr>
              <w:pStyle w:val="Compact"/>
              <w:jc w:val="left"/>
            </w:pPr>
            <w:r>
              <w:t xml:space="preserve">6.8亿</w:t>
            </w:r>
          </w:p>
        </w:tc>
        <w:tc>
          <w:p>
            <w:pPr>
              <w:pStyle w:val="Compact"/>
              <w:jc w:val="left"/>
            </w:pPr>
            <w:r>
              <w:t xml:space="preserve">9.5亿</w:t>
            </w:r>
          </w:p>
        </w:tc>
        <w:tc>
          <w:p>
            <w:pPr>
              <w:pStyle w:val="Compact"/>
              <w:jc w:val="left"/>
            </w:pPr>
            <w:r>
              <w:t xml:space="preserve">13.3亿</w:t>
            </w:r>
          </w:p>
        </w:tc>
        <w:tc>
          <w:p>
            <w:pPr>
              <w:pStyle w:val="Compact"/>
              <w:jc w:val="left"/>
            </w:pPr>
            <w:r>
              <w:t xml:space="preserve">32.1%</w:t>
            </w:r>
          </w:p>
        </w:tc>
        <w:tc>
          <w:p>
            <w:pPr>
              <w:pStyle w:val="Compact"/>
              <w:jc w:val="left"/>
            </w:pPr>
            <w:r>
              <w:t xml:space="preserve">L4解决方案前装渗透率突破25%[2]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智慧城市</w:t>
            </w:r>
          </w:p>
        </w:tc>
        <w:tc>
          <w:p>
            <w:pPr>
              <w:pStyle w:val="Compact"/>
              <w:jc w:val="left"/>
            </w:pPr>
            <w:r>
              <w:t xml:space="preserve">9.1亿</w:t>
            </w:r>
          </w:p>
        </w:tc>
        <w:tc>
          <w:p>
            <w:pPr>
              <w:pStyle w:val="Compact"/>
              <w:jc w:val="left"/>
            </w:pPr>
            <w:r>
              <w:t xml:space="preserve">8.3亿</w:t>
            </w:r>
          </w:p>
        </w:tc>
        <w:tc>
          <w:p>
            <w:pPr>
              <w:pStyle w:val="Compact"/>
              <w:jc w:val="left"/>
            </w:pPr>
            <w:r>
              <w:t xml:space="preserve">7.5亿</w:t>
            </w:r>
          </w:p>
        </w:tc>
        <w:tc>
          <w:p>
            <w:pPr>
              <w:pStyle w:val="Compact"/>
              <w:jc w:val="left"/>
            </w:pPr>
            <w:r>
              <w:t xml:space="preserve">-9.8%</w:t>
            </w:r>
          </w:p>
        </w:tc>
        <w:tc>
          <w:p>
            <w:pPr>
              <w:pStyle w:val="Compact"/>
              <w:jc w:val="left"/>
            </w:pPr>
            <w:r>
              <w:t xml:space="preserve">传统业务战略性收缩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31.1亿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42.1亿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57.3亿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28.4%</w:t>
            </w:r>
          </w:p>
        </w:tc>
        <w:tc>
          <w:p/>
        </w:tc>
      </w:tr>
    </w:tbl>
    <w:p>
      <w:pPr>
        <w:pStyle w:val="BodyText"/>
      </w:pPr>
      <w:r>
        <w:drawing>
          <wp:inline>
            <wp:extent cx="5334000" cy="2884389"/>
            <wp:effectExtent b="0" l="0" r="0" t="0"/>
            <wp:docPr descr="营业额与溢利趋势分析" title="" id="1" name="Picture"/>
            <a:graphic>
              <a:graphicData uri="http://schemas.openxmlformats.org/drawingml/2006/picture">
                <pic:pic>
                  <pic:nvPicPr>
                    <pic:cNvPr descr="ab17452992b4399aa347e5cc3d6c8f2c124a87af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（数据来源：东方财富-港股-财务报表[1]）</w:t>
      </w:r>
    </w:p>
    <w:bookmarkEnd w:id="50"/>
    <w:bookmarkStart w:id="51" w:name="成本结构预测"/>
    <w:p>
      <w:pPr>
        <w:pStyle w:val="Heading4"/>
      </w:pPr>
      <w:r>
        <w:t xml:space="preserve">成本结构预测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毛利率</w:t>
      </w:r>
      <w:r>
        <w:t xml:space="preserve">：2025年提升至48.5%（2024年42.3%），受益于生成式AI业务规模效应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研发费用率</w:t>
      </w:r>
      <w:r>
        <w:t xml:space="preserve">：2025年降至85%（2024年109.5%），资本化比例提升至35%[1]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销售费用率</w:t>
      </w:r>
      <w:r>
        <w:t xml:space="preserve">：维持12-14%区间，海外拓展增加市场投入</w:t>
      </w:r>
    </w:p>
    <w:bookmarkEnd w:id="51"/>
    <w:bookmarkStart w:id="52" w:name="估值建模"/>
    <w:p>
      <w:pPr>
        <w:pStyle w:val="Heading4"/>
      </w:pPr>
      <w:r>
        <w:t xml:space="preserve">估值建模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DCF模型</w:t>
      </w:r>
      <w:r>
        <w:t xml:space="preserve">（关键参数）</w:t>
      </w:r>
    </w:p>
    <w:p>
      <w:pPr>
        <w:numPr>
          <w:ilvl w:val="1"/>
          <w:numId w:val="1029"/>
        </w:numPr>
        <w:pStyle w:val="Compact"/>
      </w:pPr>
      <w:r>
        <w:t xml:space="preserve">无风险利率：3.25%（10年期国债收益率）</w:t>
      </w:r>
    </w:p>
    <w:p>
      <w:pPr>
        <w:numPr>
          <w:ilvl w:val="1"/>
          <w:numId w:val="1029"/>
        </w:numPr>
        <w:pStyle w:val="Compact"/>
      </w:pPr>
      <w:r>
        <w:t xml:space="preserve">Beta系数：1.38（港股AI板块均值）</w:t>
      </w:r>
    </w:p>
    <w:p>
      <w:pPr>
        <w:numPr>
          <w:ilvl w:val="1"/>
          <w:numId w:val="1029"/>
        </w:numPr>
        <w:pStyle w:val="Compact"/>
      </w:pPr>
      <w:r>
        <w:t xml:space="preserve">永续增长率：2.5%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估值区间</w:t>
      </w:r>
      <w:r>
        <w:t xml:space="preserve">：3.8-5.2港元/股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可比公司估值</w:t>
      </w:r>
      <w:r>
        <w:t xml:space="preserve">（2025E）</w:t>
      </w:r>
      <w:r>
        <w:br/>
      </w:r>
      <w:r>
        <w:t xml:space="preserve">| 公司 | EV/Revenue | P/S | 备注 |</w:t>
      </w:r>
      <w:r>
        <w:t xml:space="preserve"> </w:t>
      </w:r>
      <w:r>
        <w:t xml:space="preserve">|————|————|——–|————————–|</w:t>
      </w:r>
      <w:r>
        <w:t xml:space="preserve"> </w:t>
      </w:r>
      <w:r>
        <w:t xml:space="preserve">| 商汤科技 | 6.2x | 5.8x | 生成式AI溢价30% |</w:t>
      </w:r>
      <w:r>
        <w:t xml:space="preserve"> </w:t>
      </w:r>
      <w:r>
        <w:t xml:space="preserve">| 寒武纪 | 9.1x | 8.3x | 芯片业务高估值 |</w:t>
      </w:r>
      <w:r>
        <w:t xml:space="preserve"> </w:t>
      </w:r>
      <w:r>
        <w:t xml:space="preserve">| 科大讯飞 | 4.7x | 4.2x | 已盈利企业折价 |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股价敏感性分析</w:t>
      </w:r>
      <w:r>
        <w:br/>
      </w:r>
      <w:r>
        <w:t xml:space="preserve">| 场景 | 2025E营收 | 目标价 | 触发条件 |</w:t>
      </w:r>
      <w:r>
        <w:t xml:space="preserve"> </w:t>
      </w:r>
      <w:r>
        <w:t xml:space="preserve">|————|———–|———-|————————-|</w:t>
      </w:r>
      <w:r>
        <w:t xml:space="preserve"> </w:t>
      </w:r>
      <w:r>
        <w:t xml:space="preserve">| 乐观 | 35亿+ | 6.8港元 | 大模型市占率超20% |</w:t>
      </w:r>
      <w:r>
        <w:t xml:space="preserve"> </w:t>
      </w:r>
      <w:r>
        <w:t xml:space="preserve">| 中性 | 30-35亿 | 4.5港元 | 研发占比降至80% |</w:t>
      </w:r>
      <w:r>
        <w:t xml:space="preserve"> </w:t>
      </w:r>
      <w:r>
        <w:t xml:space="preserve">| 悲观 | &lt;30亿 | 2.2港元 | 现金流断裂风险 |</w:t>
      </w:r>
    </w:p>
    <w:bookmarkEnd w:id="52"/>
    <w:bookmarkStart w:id="53" w:name="关键假设"/>
    <w:p>
      <w:pPr>
        <w:pStyle w:val="Heading4"/>
      </w:pPr>
      <w:r>
        <w:t xml:space="preserve">关键假设</w:t>
      </w:r>
    </w:p>
    <w:p>
      <w:pPr>
        <w:numPr>
          <w:ilvl w:val="0"/>
          <w:numId w:val="1030"/>
        </w:numPr>
        <w:pStyle w:val="Compact"/>
      </w:pPr>
      <w:r>
        <w:t xml:space="preserve">生成式AI业务保持50%+增速，2027年贡献营收63.7%</w:t>
      </w:r>
    </w:p>
    <w:p>
      <w:pPr>
        <w:numPr>
          <w:ilvl w:val="0"/>
          <w:numId w:val="1030"/>
        </w:numPr>
        <w:pStyle w:val="Compact"/>
      </w:pPr>
      <w:r>
        <w:t xml:space="preserve">政府补贴维持每年8-10亿元水平（2024年9.3亿元）[1]</w:t>
      </w:r>
    </w:p>
    <w:p>
      <w:pPr>
        <w:numPr>
          <w:ilvl w:val="0"/>
          <w:numId w:val="1030"/>
        </w:numPr>
        <w:pStyle w:val="Compact"/>
      </w:pPr>
      <w:r>
        <w:t xml:space="preserve">不出现重大技术路线颠覆（如Transformer替代CV架构）</w:t>
      </w:r>
    </w:p>
    <w:bookmarkEnd w:id="53"/>
    <w:bookmarkEnd w:id="54"/>
    <w:bookmarkStart w:id="55" w:name="投资建议"/>
    <w:p>
      <w:pPr>
        <w:pStyle w:val="Heading3"/>
      </w:pPr>
      <w:r>
        <w:t xml:space="preserve">投资建议</w:t>
      </w:r>
    </w:p>
    <w:p>
      <w:pPr>
        <w:pStyle w:val="FirstParagraph"/>
      </w:pPr>
      <w:r>
        <w:t xml:space="preserve">短期（6个月）维持</w:t>
      </w:r>
      <w:r>
        <w:t xml:space="preserve">“</w:t>
      </w:r>
      <w:r>
        <w:t xml:space="preserve">中性</w:t>
      </w:r>
      <w:r>
        <w:t xml:space="preserve">”</w:t>
      </w:r>
      <w:r>
        <w:t xml:space="preserve">评级，建议关注以下信号：</w:t>
      </w:r>
    </w:p>
    <w:p>
      <w:pPr>
        <w:numPr>
          <w:ilvl w:val="0"/>
          <w:numId w:val="1031"/>
        </w:numPr>
        <w:pStyle w:val="Compact"/>
      </w:pPr>
      <w:r>
        <w:t xml:space="preserve">2025Q2研发费用率能否回落至90%以下</w:t>
      </w:r>
    </w:p>
    <w:p>
      <w:pPr>
        <w:numPr>
          <w:ilvl w:val="0"/>
          <w:numId w:val="1031"/>
        </w:numPr>
        <w:pStyle w:val="Compact"/>
      </w:pPr>
      <w:r>
        <w:t xml:space="preserve">生成式AI合同负债增速（当前季度环比+22%）</w:t>
      </w:r>
    </w:p>
    <w:p>
      <w:pPr>
        <w:numPr>
          <w:ilvl w:val="0"/>
          <w:numId w:val="1031"/>
        </w:numPr>
        <w:pStyle w:val="Compact"/>
      </w:pPr>
      <w:r>
        <w:t xml:space="preserve">与中东主权基金合作进展（潜在10亿美元订单）[2]</w:t>
      </w:r>
    </w:p>
    <w:p>
      <w:pPr>
        <w:pStyle w:val="FirstParagraph"/>
      </w:pPr>
      <w:r>
        <w:t xml:space="preserve">长期（3年）给予</w:t>
      </w:r>
      <w:r>
        <w:t xml:space="preserve">“</w:t>
      </w:r>
      <w:r>
        <w:t xml:space="preserve">增持</w:t>
      </w:r>
      <w:r>
        <w:t xml:space="preserve">”</w:t>
      </w:r>
      <w:r>
        <w:t xml:space="preserve">评级，目标价5.2港元，对应2027年8x P/S。</w:t>
      </w:r>
    </w:p>
    <w:p>
      <w:pPr>
        <w:pStyle w:val="BodyText"/>
      </w:pPr>
      <w:r>
        <w:t xml:space="preserve">（数据来源：东方财富-港股-财务报表[1]；同花顺-主营介绍[2]）</w:t>
      </w:r>
    </w:p>
    <w:bookmarkEnd w:id="55"/>
    <w:bookmarkEnd w:id="56"/>
    <w:bookmarkStart w:id="60" w:name="数据来源与参考文献"/>
    <w:p>
      <w:pPr>
        <w:pStyle w:val="Heading2"/>
      </w:pPr>
      <w:r>
        <w:t xml:space="preserve">数据来源与参考文献</w:t>
      </w:r>
    </w:p>
    <w:bookmarkStart w:id="57" w:name="数据来源"/>
    <w:p>
      <w:pPr>
        <w:pStyle w:val="Heading3"/>
      </w:pPr>
      <w:r>
        <w:t xml:space="preserve">数据来源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财务数据</w:t>
      </w:r>
      <w:r>
        <w:t xml:space="preserve">：</w:t>
      </w:r>
    </w:p>
    <w:p>
      <w:pPr>
        <w:numPr>
          <w:ilvl w:val="1"/>
          <w:numId w:val="1033"/>
        </w:numPr>
        <w:pStyle w:val="Compact"/>
      </w:pPr>
      <w:r>
        <w:t xml:space="preserve">商汤科技2018-2024年财务数据（数据来源：东方财富-港股-财务报表[1]）</w:t>
      </w:r>
    </w:p>
    <w:p>
      <w:pPr>
        <w:numPr>
          <w:ilvl w:val="1"/>
          <w:numId w:val="1033"/>
        </w:numPr>
        <w:pStyle w:val="Compact"/>
      </w:pPr>
      <w:r>
        <w:t xml:space="preserve">同业对比数据（寒武纪、云从科技、科大讯飞等财务指标）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业务与市场数据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主营业务结构及分地区收入（数据来源：同花顺-主营介绍[2]）</w:t>
      </w:r>
    </w:p>
    <w:p>
      <w:pPr>
        <w:numPr>
          <w:ilvl w:val="1"/>
          <w:numId w:val="1034"/>
        </w:numPr>
        <w:pStyle w:val="Compact"/>
      </w:pPr>
      <w:r>
        <w:t xml:space="preserve">市场份额及行业规模（IDC报告、公司公告）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股权与治理数据</w:t>
      </w:r>
      <w:r>
        <w:t xml:space="preserve">：</w:t>
      </w:r>
    </w:p>
    <w:p>
      <w:pPr>
        <w:numPr>
          <w:ilvl w:val="1"/>
          <w:numId w:val="1035"/>
        </w:numPr>
        <w:pStyle w:val="Compact"/>
      </w:pPr>
      <w:r>
        <w:t xml:space="preserve">股东结构及变动记录（数据来源：同花顺-股东信息网页爬虫[3]）</w:t>
      </w:r>
    </w:p>
    <w:p>
      <w:pPr>
        <w:numPr>
          <w:ilvl w:val="1"/>
          <w:numId w:val="1035"/>
        </w:numPr>
        <w:pStyle w:val="Compact"/>
      </w:pPr>
      <w:r>
        <w:t xml:space="preserve">高管持股及机构投资者持仓变化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技术指标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t xml:space="preserve">专利数量及研发投入（公司年报、行业白皮书）</w:t>
      </w:r>
    </w:p>
    <w:p>
      <w:pPr>
        <w:numPr>
          <w:ilvl w:val="1"/>
          <w:numId w:val="1036"/>
        </w:numPr>
        <w:pStyle w:val="Compact"/>
      </w:pPr>
      <w:r>
        <w:t xml:space="preserve">AI大装置算力参数（商汤科技技术白皮书）</w:t>
      </w:r>
    </w:p>
    <w:bookmarkEnd w:id="57"/>
    <w:bookmarkStart w:id="58" w:name="图表引用"/>
    <w:p>
      <w:pPr>
        <w:pStyle w:val="Heading3"/>
      </w:pPr>
      <w:r>
        <w:t xml:space="preserve">图表引用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财务趋势图</w:t>
      </w:r>
      <w:r>
        <w:t xml:space="preserve">：</w:t>
      </w:r>
      <w:r>
        <w:br/>
      </w:r>
      <w:r>
        <w:drawing>
          <wp:inline>
            <wp:extent cx="5334000" cy="2884389"/>
            <wp:effectExtent b="0" l="0" r="0" t="0"/>
            <wp:docPr descr="营业收入与溢利趋势分析" title="" id="1" name="Picture"/>
            <a:graphic>
              <a:graphicData uri="http://schemas.openxmlformats.org/drawingml/2006/picture">
                <pic:pic>
                  <pic:nvPicPr>
                    <pic:cNvPr descr="ab17452992b4399aa347e5cc3d6c8f2c124a87af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2905570"/>
            <wp:effectExtent b="0" l="0" r="0" t="0"/>
            <wp:docPr descr="资产结构趋势" title="" id="1" name="Picture"/>
            <a:graphic>
              <a:graphicData uri="http://schemas.openxmlformats.org/drawingml/2006/picture">
                <pic:pic>
                  <pic:nvPicPr>
                    <pic:cNvPr descr="0517f9716c8037c3aa45337f8b0cbc77b920000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2741808"/>
            <wp:effectExtent b="0" l="0" r="0" t="0"/>
            <wp:docPr descr="研发投入趋势" title="" id="1" name="Picture"/>
            <a:graphic>
              <a:graphicData uri="http://schemas.openxmlformats.org/drawingml/2006/picture">
                <pic:pic>
                  <pic:nvPicPr>
                    <pic:cNvPr descr="8b2883c4c47dadb32fa8e834a487404c1c8e06c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行业对比图</w:t>
      </w:r>
      <w:r>
        <w:t xml:space="preserve">：</w:t>
      </w:r>
    </w:p>
    <w:p>
      <w:pPr>
        <w:numPr>
          <w:ilvl w:val="1"/>
          <w:numId w:val="1038"/>
        </w:numPr>
        <w:pStyle w:val="Compact"/>
      </w:pPr>
      <w:r>
        <w:t xml:space="preserve">计算机视觉市场份额（2021年）</w:t>
      </w:r>
    </w:p>
    <w:p>
      <w:pPr>
        <w:numPr>
          <w:ilvl w:val="1"/>
          <w:numId w:val="1038"/>
        </w:numPr>
        <w:pStyle w:val="Compact"/>
      </w:pPr>
      <w:r>
        <w:t xml:space="preserve">大模型应用市场格局（2024年）</w:t>
      </w:r>
    </w:p>
    <w:bookmarkEnd w:id="58"/>
    <w:bookmarkStart w:id="59" w:name="引用文献"/>
    <w:p>
      <w:pPr>
        <w:pStyle w:val="Heading3"/>
      </w:pPr>
      <w:r>
        <w:t xml:space="preserve">引用文献</w:t>
      </w:r>
    </w:p>
    <w:p>
      <w:pPr>
        <w:pStyle w:val="FirstParagraph"/>
      </w:pPr>
      <w:r>
        <w:t xml:space="preserve">[1] 东方财富-港股-财务报表: https://emweb.securities.eastmoney.com/PC_HKF10/FinancialAnalysis/index</w:t>
      </w:r>
      <w:r>
        <w:br/>
      </w:r>
      <w:r>
        <w:t xml:space="preserve">[2] 同花顺-主营介绍: https://basic.10jqka.com.cn/new/000066/operate.html</w:t>
      </w:r>
      <w:r>
        <w:br/>
      </w:r>
      <w:r>
        <w:t xml:space="preserve">[3] 同花顺-股东信息: https://basic.10jqka.com.cn/HK0020/holder.html</w:t>
      </w:r>
      <w:r>
        <w:br/>
      </w:r>
      <w:r>
        <w:t xml:space="preserve">[4] IDC《中国大模型应用市场份额报告（2024）》</w:t>
      </w:r>
      <w:r>
        <w:br/>
      </w:r>
      <w:r>
        <w:t xml:space="preserve">[5] 商汤科技2024年年度报告</w:t>
      </w:r>
      <w:r>
        <w:br/>
      </w:r>
      <w:r>
        <w:t xml:space="preserve">[6] IDC《中国计算机视觉市场跟踪报告（2021-2024）》</w:t>
      </w:r>
      <w:r>
        <w:br/>
      </w:r>
      <w:r>
        <w:t xml:space="preserve">[7] IDC《中国人工智能软件市场预测（2025-2030）》</w:t>
      </w:r>
    </w:p>
    <w:bookmarkEnd w:id="59"/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2025-07-12T03:04:40Z</dcterms:created>
  <dcterms:modified xsi:type="dcterms:W3CDTF">2025-07-12T03:04:40Z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