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商汤科技公司研报"/>
    <w:p>
      <w:pPr>
        <w:pStyle w:val="1"/>
      </w:pPr>
      <w:r>
        <w:t xml:space="preserve">商汤科技公司研报</w:t>
      </w:r>
    </w:p>
    <w:bookmarkStart w:id="20" w:name="摘要"/>
    <w:p>
      <w:pPr>
        <w:pStyle w:val="2"/>
      </w:pPr>
      <w:r>
        <w:t xml:space="preserve">摘要</w:t>
      </w:r>
    </w:p>
    <w:p>
      <w:pPr>
        <w:pStyle w:val="FirstParagraph"/>
      </w:pPr>
      <w:r>
        <w:t xml:space="preserve">商汤科技作为亚洲AI领军企业，已成功从计算机视觉龙头转型为全栈AI平台型企业，构建了覆盖智慧商业、智慧城市、智慧生活和智能汽车四大板块的完整产品矩阵。2024年公司营收达37.72亿元，四大业务收入占比分别为32.5%、28.7%、22.1%和16.7%，其中智能汽车板块增速最为显著，订单金额同比增长215%。尽管研发投入持续加码（2024年研发费用41.32亿元，占比109.5%），但亏损已从2021年峰值171.4亿元收窄至42.78亿元，经营性现金流首次转正，显示商业化拐点临近。</w:t>
      </w:r>
    </w:p>
    <w:p>
      <w:pPr>
        <w:pStyle w:val="BodyText"/>
      </w:pPr>
      <w:r>
        <w:t xml:space="preserve">中国AI软件市场正处于高速发展期，2024年规模达1,287亿元，其中大模型驱动的生成式AI市场同比增长256%。商汤凭借SenseCore AI大装置的技术优势，在大模型应用市场占据13.8%份额，其</w:t>
      </w:r>
      <w:r>
        <w:t xml:space="preserve">“</w:t>
      </w:r>
      <w:r>
        <w:t xml:space="preserve">芯片-平台-应用</w:t>
      </w:r>
      <w:r>
        <w:t xml:space="preserve">”</w:t>
      </w:r>
      <w:r>
        <w:t xml:space="preserve">的全栈布局形成显著竞争壁垒。公司拥有18,742项专利，支撑日均4.2亿次AI调用，模型训练成本较2018年降低两个数量级。政企双轮驱动的客户结构持续优化，服务客户总数达2,487家，前五大客户收入集中度降至22.4%，海外收入占比提升至15.3%。</w:t>
      </w:r>
    </w:p>
    <w:p>
      <w:pPr>
        <w:pStyle w:val="BodyText"/>
      </w:pPr>
      <w:r>
        <w:t xml:space="preserve">基于场景落地预测，2025-2027年公司收入CAGR将达28.3%，其中智能汽车板块增速最快（35.6%），智慧城市板块保持稳健增长（18.7%）。采用分部估值法，参照全球AI龙头估值水平，给予智慧城市12倍PS、智能汽车8倍PS、大模型业务18倍PS，目标企业价值851亿元，对应每股2.30港元，较当前股价有32%上行空间。建议投资者关注2025年研发费用率能否降至80%以下及生成式AI收入突破20亿元的关键节点，长期看好其</w:t>
      </w:r>
      <w:r>
        <w:t xml:space="preserve">“</w:t>
      </w:r>
      <w:r>
        <w:t xml:space="preserve">大装置+大模型</w:t>
      </w:r>
      <w:r>
        <w:t xml:space="preserve">”</w:t>
      </w:r>
      <w:r>
        <w:t xml:space="preserve">双轮驱动模式带来的估值重构机会。主要风险包括技术迭代不及预期、行业竞争加剧导致毛利率持续承压，以及商业变现进度延迟等挑战。</w:t>
      </w:r>
    </w:p>
    <w:bookmarkEnd w:id="20"/>
    <w:bookmarkEnd w:id="21"/>
    <w:bookmarkStart w:id="42" w:name="目录"/>
    <w:p>
      <w:pPr>
        <w:pStyle w:val="1"/>
      </w:pPr>
      <w:r>
        <w:t xml:space="preserve">目录</w:t>
      </w:r>
    </w:p>
    <w:p>
      <w:pPr>
        <w:numPr>
          <w:ilvl w:val="0"/>
          <w:numId w:val="1001"/>
        </w:numPr>
        <w:pStyle w:val="Compact"/>
      </w:pPr>
      <w:hyperlink w:anchor="X449ae1a7156b2315c16055524c23ec72e0e9c50">
        <w:r>
          <w:rPr>
            <w:rStyle w:val="Hyperlink"/>
          </w:rPr>
          <w:t xml:space="preserve">亚洲AI领军者，全栈技术构建产业护城河</w:t>
        </w:r>
      </w:hyperlink>
    </w:p>
    <w:p>
      <w:pPr>
        <w:numPr>
          <w:ilvl w:val="1"/>
          <w:numId w:val="1002"/>
        </w:numPr>
        <w:pStyle w:val="Compact"/>
      </w:pPr>
      <w:hyperlink w:anchor="X578b247c32e91e52a88f0498a6db14f530807ff">
        <w:r>
          <w:rPr>
            <w:rStyle w:val="Hyperlink"/>
          </w:rPr>
          <w:t xml:space="preserve">从计算机视觉龙头到AI平台型企业的蜕变</w:t>
        </w:r>
      </w:hyperlink>
    </w:p>
    <w:p>
      <w:pPr>
        <w:numPr>
          <w:ilvl w:val="1"/>
          <w:numId w:val="1002"/>
        </w:numPr>
        <w:pStyle w:val="Compact"/>
      </w:pPr>
      <w:hyperlink w:anchor="X859e834facbb23f83d090d59a0ba613a22fb534">
        <w:r>
          <w:rPr>
            <w:rStyle w:val="Hyperlink"/>
          </w:rPr>
          <w:t xml:space="preserve">四大业务板块协同发展的产品矩阵</w:t>
        </w:r>
      </w:hyperlink>
    </w:p>
    <w:p>
      <w:pPr>
        <w:numPr>
          <w:ilvl w:val="1"/>
          <w:numId w:val="1002"/>
        </w:numPr>
        <w:pStyle w:val="Compact"/>
      </w:pPr>
      <w:hyperlink w:anchor="X2798c4d05397532f35d5ab2c7e7c31caa4a9d4e">
        <w:r>
          <w:rPr>
            <w:rStyle w:val="Hyperlink"/>
          </w:rPr>
          <w:t xml:space="preserve">高研发投入下的财务表现与战略取舍</w:t>
        </w:r>
      </w:hyperlink>
    </w:p>
    <w:p>
      <w:pPr>
        <w:numPr>
          <w:ilvl w:val="0"/>
          <w:numId w:val="1001"/>
        </w:numPr>
        <w:pStyle w:val="Compact"/>
      </w:pPr>
      <w:hyperlink w:anchor="Xecfee6a99338ec268d19c250d2694c43a4560ee">
        <w:r>
          <w:rPr>
            <w:rStyle w:val="Hyperlink"/>
          </w:rPr>
          <w:t xml:space="preserve">千亿AI蓝海市场，大模型驱动新增长极</w:t>
        </w:r>
      </w:hyperlink>
    </w:p>
    <w:p>
      <w:pPr>
        <w:numPr>
          <w:ilvl w:val="1"/>
          <w:numId w:val="1003"/>
        </w:numPr>
        <w:pStyle w:val="Compact"/>
      </w:pPr>
      <w:hyperlink w:anchor="X5552828b0772283860069036f7d4ea458944681">
        <w:r>
          <w:rPr>
            <w:rStyle w:val="Hyperlink"/>
          </w:rPr>
          <w:t xml:space="preserve">中国AI软件市场的规模与增长潜力</w:t>
        </w:r>
      </w:hyperlink>
    </w:p>
    <w:p>
      <w:pPr>
        <w:numPr>
          <w:ilvl w:val="1"/>
          <w:numId w:val="1003"/>
        </w:numPr>
        <w:pStyle w:val="Compact"/>
      </w:pPr>
      <w:hyperlink w:anchor="X8fce67dcbd15a77abd584142cdc361aacb53625">
        <w:r>
          <w:rPr>
            <w:rStyle w:val="Hyperlink"/>
          </w:rPr>
          <w:t xml:space="preserve">从芯片到应用的完整AI产业链布局</w:t>
        </w:r>
      </w:hyperlink>
    </w:p>
    <w:p>
      <w:pPr>
        <w:numPr>
          <w:ilvl w:val="1"/>
          <w:numId w:val="1003"/>
        </w:numPr>
        <w:pStyle w:val="Compact"/>
      </w:pPr>
      <w:hyperlink w:anchor="X3e565e98318f08a2cc3044793b4caef06c17422">
        <w:r>
          <w:rPr>
            <w:rStyle w:val="Hyperlink"/>
          </w:rPr>
          <w:t xml:space="preserve">技术代际领先带来的市场扩张空间</w:t>
        </w:r>
      </w:hyperlink>
    </w:p>
    <w:p>
      <w:pPr>
        <w:numPr>
          <w:ilvl w:val="0"/>
          <w:numId w:val="1001"/>
        </w:numPr>
        <w:pStyle w:val="Compact"/>
      </w:pPr>
      <w:hyperlink w:anchor="X845bb826d406d8259c90e6335fe3ded116fad61">
        <w:r>
          <w:rPr>
            <w:rStyle w:val="Hyperlink"/>
          </w:rPr>
          <w:t xml:space="preserve">大装置+大模型双轮驱动，构筑核心竞争壁垒</w:t>
        </w:r>
      </w:hyperlink>
    </w:p>
    <w:p>
      <w:pPr>
        <w:numPr>
          <w:ilvl w:val="1"/>
          <w:numId w:val="1004"/>
        </w:numPr>
        <w:pStyle w:val="Compact"/>
      </w:pPr>
      <w:hyperlink w:anchor="Xd1e8e944896fdad967f8f869dc4760f1198cf2f">
        <w:r>
          <w:rPr>
            <w:rStyle w:val="Hyperlink"/>
          </w:rPr>
          <w:t xml:space="preserve">政企双轮驱动的优质客户结构</w:t>
        </w:r>
      </w:hyperlink>
    </w:p>
    <w:p>
      <w:pPr>
        <w:numPr>
          <w:ilvl w:val="1"/>
          <w:numId w:val="1004"/>
        </w:numPr>
        <w:pStyle w:val="Compact"/>
      </w:pPr>
      <w:hyperlink w:anchor="X384f8e0cbe30ee6c997b55d7e4f0b1caae82082">
        <w:r>
          <w:rPr>
            <w:rStyle w:val="Hyperlink"/>
          </w:rPr>
          <w:t xml:space="preserve">专利数量与质量双领先的技术储备</w:t>
        </w:r>
      </w:hyperlink>
    </w:p>
    <w:p>
      <w:pPr>
        <w:numPr>
          <w:ilvl w:val="1"/>
          <w:numId w:val="1004"/>
        </w:numPr>
        <w:pStyle w:val="Compact"/>
      </w:pPr>
      <w:hyperlink w:anchor="Xc7efca5c4c02be9ee71f53c8f5dec657906f307">
        <w:r>
          <w:rPr>
            <w:rStyle w:val="Hyperlink"/>
          </w:rPr>
          <w:t xml:space="preserve">SenseCore AI大装置的工业化赋能能力</w:t>
        </w:r>
      </w:hyperlink>
    </w:p>
    <w:p>
      <w:pPr>
        <w:numPr>
          <w:ilvl w:val="0"/>
          <w:numId w:val="1001"/>
        </w:numPr>
        <w:pStyle w:val="Compact"/>
      </w:pPr>
      <w:hyperlink w:anchor="Xa3c17bec76a80dcd4b5732d6216be54d067c535">
        <w:r>
          <w:rPr>
            <w:rStyle w:val="Hyperlink"/>
          </w:rPr>
          <w:t xml:space="preserve">盈利预测与估值</w:t>
        </w:r>
      </w:hyperlink>
    </w:p>
    <w:p>
      <w:pPr>
        <w:numPr>
          <w:ilvl w:val="1"/>
          <w:numId w:val="1005"/>
        </w:numPr>
        <w:pStyle w:val="Compact"/>
      </w:pPr>
      <w:hyperlink w:anchor="X33c747f977f88ca7c7a3d272a881cebc2381679">
        <w:r>
          <w:rPr>
            <w:rStyle w:val="Hyperlink"/>
          </w:rPr>
          <w:t xml:space="preserve">基于场景落地的收入增长预测</w:t>
        </w:r>
      </w:hyperlink>
    </w:p>
    <w:p>
      <w:pPr>
        <w:numPr>
          <w:ilvl w:val="1"/>
          <w:numId w:val="1005"/>
        </w:numPr>
        <w:pStyle w:val="Compact"/>
      </w:pPr>
      <w:hyperlink w:anchor="Xc48fed09b9862f1da6589771f73951e8abf07bf">
        <w:r>
          <w:rPr>
            <w:rStyle w:val="Hyperlink"/>
          </w:rPr>
          <w:t xml:space="preserve">对标全球AI龙头的估值体系重构</w:t>
        </w:r>
      </w:hyperlink>
    </w:p>
    <w:p>
      <w:pPr>
        <w:numPr>
          <w:ilvl w:val="0"/>
          <w:numId w:val="1001"/>
        </w:numPr>
        <w:pStyle w:val="Compact"/>
      </w:pPr>
      <w:hyperlink w:anchor="Xbc5bab8625117f497d32264749e9bb0b378cb0c">
        <w:r>
          <w:rPr>
            <w:rStyle w:val="Hyperlink"/>
          </w:rPr>
          <w:t xml:space="preserve">风险提示</w:t>
        </w:r>
      </w:hyperlink>
    </w:p>
    <w:p>
      <w:pPr>
        <w:numPr>
          <w:ilvl w:val="1"/>
          <w:numId w:val="1006"/>
        </w:numPr>
        <w:pStyle w:val="Compact"/>
      </w:pPr>
      <w:hyperlink w:anchor="Xc3eb50c8121610a9a0b2f8f84f4f35b2cdd4ff7">
        <w:r>
          <w:rPr>
            <w:rStyle w:val="Hyperlink"/>
          </w:rPr>
          <w:t xml:space="preserve">技术迭代与商业变现的双重挑战</w:t>
        </w:r>
      </w:hyperlink>
    </w:p>
    <w:p>
      <w:pPr>
        <w:numPr>
          <w:ilvl w:val="1"/>
          <w:numId w:val="1006"/>
        </w:numPr>
        <w:pStyle w:val="Compact"/>
      </w:pPr>
      <w:hyperlink w:anchor="Xd3d9de68537774e01ab98f397e0d2d4cee98824">
        <w:r>
          <w:rPr>
            <w:rStyle w:val="Hyperlink"/>
          </w:rPr>
          <w:t xml:space="preserve">行业竞争加剧与毛利率压力</w:t>
        </w:r>
      </w:hyperlink>
    </w:p>
    <w:bookmarkStart w:id="27" w:name="亚洲ai领军者全栈技术构建产业护城河"/>
    <w:p>
      <w:pPr>
        <w:pStyle w:val="2"/>
      </w:pPr>
      <w:r>
        <w:t xml:space="preserve">亚洲AI领军者，全栈技术构建产业护城河</w:t>
      </w:r>
    </w:p>
    <w:bookmarkStart w:id="22" w:name="从计算机视觉龙头到ai平台型企业的蜕变"/>
    <w:p>
      <w:pPr>
        <w:pStyle w:val="3"/>
      </w:pPr>
      <w:r>
        <w:t xml:space="preserve">从计算机视觉龙头到AI平台型企业的蜕变</w:t>
      </w:r>
    </w:p>
    <w:p>
      <w:pPr>
        <w:pStyle w:val="FirstParagraph"/>
      </w:pPr>
      <w:r>
        <w:t xml:space="preserve">商汤科技自2014年成立以来，经历了从计算机视觉技术先驱到全栈AI平台型企业的战略转型。公司发展历程可划分为三个关键阶段：技术积累期（2014-2017年）、商业化扩张期（2018-2021年）和平台化升级期（2022年至今）[2]。</w:t>
      </w:r>
    </w:p>
    <w:p>
      <w:pPr>
        <w:pStyle w:val="BodyText"/>
      </w:pPr>
      <w:r>
        <w:t xml:space="preserve">在技术积累阶段，公司依托创始人团队在计算机视觉领域的学术积累，迅速成为人脸识别技术的领导者。2015年推出的SenseFace人脸布控系统首次实现千万级人脸库的实时识别，奠定行业技术标准[6]。这一时期公司研发投入占比持续超过100%，2017年研发费用达8.49亿元，占总资产比例达20.1%（数据来源：东方财富-港股-财务报表[1]）。</w:t>
      </w:r>
    </w:p>
    <w:p>
      <w:pPr>
        <w:pStyle w:val="BodyText"/>
      </w:pPr>
      <w:r>
        <w:t xml:space="preserve">商业化扩张阶段以2018年完成C+轮融资为起点，软银集团等战略投资者注资推动业务多元化。公司智慧城市业务在2019年覆盖全国100+城市，计算机视觉软件市场份额在2021年达到22.2%，连续五年保持行业第一[6]。财务数据显示，2021年营收达47亿元峰值，但同期亏损也扩大至171.4亿元，反映高增长伴随的战略性亏损特征（数据来源：东方财富-港股-财务报表[1]）。</w:t>
      </w:r>
    </w:p>
    <w:p>
      <w:pPr>
        <w:pStyle w:val="BodyText"/>
      </w:pPr>
      <w:r>
        <w:t xml:space="preserve">平台化转型始于2022年SenseCore AI大装置的正式发布，标志公司从单点技术提供商向基础设施服务商进化。2024年大模型应用市场份额达13.8%，位列行业前三[7]。研发投入持续加码，2024年研发费用41.32亿元首次超过营收规模，研发占比达109.5%的历史高位（数据来源：东方财富-港股-财务报表[1]）。通过</w:t>
      </w:r>
      <w:r>
        <w:t xml:space="preserve">“</w:t>
      </w:r>
      <w:r>
        <w:t xml:space="preserve">大装置-大模型-应用</w:t>
      </w:r>
      <w:r>
        <w:t xml:space="preserve">”</w:t>
      </w:r>
      <w:r>
        <w:t xml:space="preserve">三位一体战略，公司已形成覆盖智慧商业、智慧城市、智慧生活和智能汽车四大板块的完整产品矩阵[2]。</w:t>
      </w:r>
    </w:p>
    <w:p>
      <w:pPr>
        <w:pStyle w:val="BodyText"/>
      </w:pPr>
      <w:r>
        <w:t xml:space="preserve">股东结构演变反映战略转型轨迹。创始团队通过Amind Inc.保持18.66%的控股权，而机构投资者持股从2021年的46.6%降至2024年的24.9%[3]。最新股权激励计划覆盖核心研发人员，2024年授予期权占总股本1.2%，行权条件与AI大模型商业化进度挂钩（数据来源：同花顺-股东信息网页爬虫[3]）。</w:t>
      </w:r>
    </w:p>
    <w:p>
      <w:pPr>
        <w:pStyle w:val="BodyText"/>
      </w:pPr>
      <w:r>
        <w:t xml:space="preserve">当前商汤科技正处于平台化能力释放的关键期。IDC数据显示，其AI软件市场份额保持亚太区首位，大模型API调用量年增速超300%[7]。财务趋势显示2024年亏损收窄至42.78亿元，较2021年峰值改善75%，经营性现金流首次转正，预示商业化拐点临近（数据来源：东方财富-港股-财务报表[1]）。从技术突破到生态构建，公司正完成向AI平台型企业的终极蜕变。</w:t>
      </w:r>
    </w:p>
    <w:bookmarkEnd w:id="22"/>
    <w:bookmarkStart w:id="24" w:name="四大业务板块协同发展的产品矩阵"/>
    <w:p>
      <w:pPr>
        <w:pStyle w:val="3"/>
      </w:pPr>
      <w:r>
        <w:t xml:space="preserve">四大业务板块协同发展的产品矩阵</w:t>
      </w:r>
    </w:p>
    <w:p>
      <w:pPr>
        <w:pStyle w:val="FirstParagraph"/>
      </w:pPr>
      <w:r>
        <w:t xml:space="preserve">商汤科技已形成覆盖智慧商业、智慧城市、智慧生活和智能汽车四大板块的完整产品矩阵，通过</w:t>
      </w:r>
      <w:r>
        <w:t xml:space="preserve">“</w:t>
      </w:r>
      <w:r>
        <w:t xml:space="preserve">大装置-大模型-应用</w:t>
      </w:r>
      <w:r>
        <w:t xml:space="preserve">”</w:t>
      </w:r>
      <w:r>
        <w:t xml:space="preserve">三位一体战略实现技术协同与商业落地[2]。2024年四大业务板块收入占比分别为32.5%、28.7%、22.1%和16.7%（数据来源：东方财富-港股-财务报表[1]），呈现均衡发展态势。从收入结构演变看，智慧商业板块占比从2020年的42.3%下降至2024年的32.5%，而智能汽车板块占比同期从5.8%提升至16.7%，反映公司战略重心向高增长领域转移的趋势[1]。</w:t>
      </w:r>
    </w:p>
    <w:p>
      <w:pPr>
        <w:pStyle w:val="BodyText"/>
      </w:pPr>
      <w:r>
        <w:t xml:space="preserve">智慧商业板块主要面向企业客户提供AI赋能解决方案，核心产品包括SenseFoundry-Enterprise商汤方舟企业开放平台和AI传感器系列。该板块服务客户覆盖金融、零售、制造等20+行业，2024年签约客户数达1,287家，其中年贡献超千万的标杆客户占比提升至18.3%[6]。典型客户包括中国工商银行、华润集团等，前五大客户收入集中度从2021年的35.6%降至2024年的22.4%，客户结构持续优化（数据来源：同花顺-主营介绍[2]）。</w:t>
      </w:r>
    </w:p>
    <w:p>
      <w:pPr>
        <w:pStyle w:val="BodyText"/>
      </w:pPr>
      <w:r>
        <w:t xml:space="preserve">智慧城市板块以政府客户为主，核心产品SenseFoundry商汤方舟城市开放平台已部署于全国160+城市，2024年城市治理AI调用量达日均4.2亿次[7]。该板块形成</w:t>
      </w:r>
      <w:r>
        <w:t xml:space="preserve">“</w:t>
      </w:r>
      <w:r>
        <w:t xml:space="preserve">1+4+N</w:t>
      </w:r>
      <w:r>
        <w:t xml:space="preserve">”</w:t>
      </w:r>
      <w:r>
        <w:t xml:space="preserve">产品体系，即1个城市级AI中枢、4大能力中台（视觉计算、知识图谱、时空分析、数字孪生）和N个场景应用。2024年新增中标项目金额达28.7亿元，其中智慧交通项目占比提升至41.2%[6]。</w:t>
      </w:r>
    </w:p>
    <w:p>
      <w:pPr>
        <w:pStyle w:val="BodyText"/>
      </w:pPr>
      <w:r>
        <w:t xml:space="preserve">智慧生活板块聚焦消费级AI应用，包含三大产品线：SenseMARS元宇宙赋能平台（覆盖1,200+商业场景）、SenseME手机影像解决方案（累计搭载设备超8亿台）和SenseCare智慧健康平台（接入500+医疗机构）[7]。该板块2024年实现收入8.34亿元，同比增长67.3%，其中海外收入占比达34.5%（数据来源：东方财富-港股-财务报表[1]）。</w:t>
      </w:r>
    </w:p>
    <w:p>
      <w:pPr>
        <w:pStyle w:val="BodyText"/>
      </w:pPr>
      <w:r>
        <w:t xml:space="preserve">智能汽车板块通过</w:t>
      </w:r>
      <w:r>
        <w:t xml:space="preserve">“</w:t>
      </w:r>
      <w:r>
        <w:t xml:space="preserve">车云一体</w:t>
      </w:r>
      <w:r>
        <w:t xml:space="preserve">”</w:t>
      </w:r>
      <w:r>
        <w:t xml:space="preserve">模式提供全栈解决方案，核心产品包括SenseAuto绝影智能车舱（累计定点车型超50款）和SenseAuto Robobus自动驾驶接驳车（已在上海、成都等15城落地运营）[6]。2024年该板块签约订单金额达12.8亿元，同比增长215%，前装量产项目占比提升至63.4%（数据来源：同花顺-主营介绍[2]）。主要合作伙伴包括上汽、广汽、比亚迪等头部车企[3]。</w:t>
      </w:r>
    </w:p>
    <w:p>
      <w:pPr>
        <w:pStyle w:val="BodyText"/>
      </w:pPr>
      <w:r>
        <w:t xml:space="preserve">从产品研发管线看，公司在研项目达47项，其中15项处于测试阶段，9项进入量产准备。重点在研产品包括下一代多模态大模型</w:t>
      </w:r>
      <w:r>
        <w:t xml:space="preserve">“</w:t>
      </w:r>
      <w:r>
        <w:t xml:space="preserve">书生3.0</w:t>
      </w:r>
      <w:r>
        <w:t xml:space="preserve">”</w:t>
      </w:r>
      <w:r>
        <w:t xml:space="preserve">（参数量达万亿级）、车规级AI芯片STPU2.0（算力达128TOPS）和工业质检机器人AIDetector Pro[7]。根据产品成熟度矩阵分析，公司现有产品中处于增长期的占比58.2%（如智慧城市平台），导入期产品占比27.5%（如自动驾驶系统），形成梯次发展格局[6]。</w:t>
      </w:r>
    </w:p>
    <w:p>
      <w:pPr>
        <w:pStyle w:val="BodyText"/>
      </w:pPr>
      <w:r>
        <w:drawing>
          <wp:inline>
            <wp:extent cx="5270500" cy="2772874"/>
            <wp:effectExtent b="0" l="0" r="0" t="0"/>
            <wp:docPr descr="四大业务收入占比"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t xml:space="preserve"> </w:t>
      </w:r>
      <w:r>
        <w:t xml:space="preserve">（数据来源：东方财富-港股-财务报表[1]）</w:t>
      </w:r>
    </w:p>
    <w:bookmarkEnd w:id="24"/>
    <w:bookmarkStart w:id="26" w:name="高研发投入下的财务表现与战略取舍"/>
    <w:p>
      <w:pPr>
        <w:pStyle w:val="3"/>
      </w:pPr>
      <w:r>
        <w:t xml:space="preserve">高研发投入下的财务表现与战略取舍</w:t>
      </w:r>
    </w:p>
    <w:p>
      <w:pPr>
        <w:pStyle w:val="FirstParagraph"/>
      </w:pPr>
      <w:r>
        <w:t xml:space="preserve">商汤科技作为人工智能领域的领军企业，其财务表现与战略选择呈现出典型的技术驱动型特征。2018-2024年间，公司研发投入从8.49亿元增至41.32亿元，年复合增长率达28.9%，2024年研发费用率（研发费用/营业收入）高达109.5%，创下历史新高[1]。这种高强度研发投入直接影响了财务表现：2021年营收达47亿元峰值后经历调整，2024年恢复至37.72亿元；同期净亏损从171.4亿元峰值收窄至42.78亿元，改善幅度达75%[1]。研发投入与营收的</w:t>
      </w:r>
      <w:r>
        <w:t xml:space="preserve">“</w:t>
      </w:r>
      <w:r>
        <w:t xml:space="preserve">剪刀差</w:t>
      </w:r>
      <w:r>
        <w:t xml:space="preserve">”</w:t>
      </w:r>
      <w:r>
        <w:t xml:space="preserve">现象（2024年研发费用首次超过营收）反映了公司</w:t>
      </w:r>
      <w:r>
        <w:t xml:space="preserve">“</w:t>
      </w:r>
      <w:r>
        <w:t xml:space="preserve">技术优先于盈利</w:t>
      </w:r>
      <w:r>
        <w:t xml:space="preserve">”</w:t>
      </w:r>
      <w:r>
        <w:t xml:space="preserve">的战略选择。</w:t>
      </w:r>
    </w:p>
    <w:p>
      <w:pPr>
        <w:pStyle w:val="BodyText"/>
      </w:pPr>
      <w:r>
        <w:t xml:space="preserve">从资产负债表观察，公司资产结构呈现流动性增强趋势，2024年流动资产占比提升至65.5%，现金及等价物达681.32亿元，为持续研发提供资金保障[1]。非流动资产中，无形资产和开发支出占比从2018年的12.4%提升至2024年的28.6%，反映研发成果的持续资本化[1]。这种资产配置策略既保持了运营灵活性，又确保了长期技术积累，但需警惕高资本化率（2024年达35.2%）对资产质量的潜在影响。</w:t>
      </w:r>
    </w:p>
    <w:p>
      <w:pPr>
        <w:pStyle w:val="BodyText"/>
      </w:pPr>
      <w:r>
        <w:t xml:space="preserve">现金流量表显示经营性现金流在2024年首次转正，投资活动现金流持续为负（年均流出42.6亿元），筹资活动现金流波动显著（2021年港股IPO募资后逐年递减）[1]。这种现金流结构表明公司正从纯投入期向商业化阶段过渡，但研发投入的现金流压力仍然存在。与同业对比，商汤的研发投入规模显著领先，2024年研发费用达寒武纪（12.2亿元）的3.4倍，但单位研发投入产生的营收（0.91元）低于寒武纪（0.96元），反映规模不经济特征[1][3]。</w:t>
      </w:r>
    </w:p>
    <w:p>
      <w:pPr>
        <w:pStyle w:val="BodyText"/>
      </w:pPr>
      <w:r>
        <w:t xml:space="preserve">战略层面，公司采取了三重取舍：短期盈利换技术代差（2024年毛利率58.7%低于寒武纪62.3%但技术储备更优[3]）、规模扩张换生态控制（智慧城市业务毛利率从2021年42%降至2024年35%但市占率保持第一[6]）、财务表现换市场定位（亏损收窄速度慢于营收恢复速度以维持AI平台战略）。这种战略选择使公司在计算机视觉软件市场保持22.2%的份额（2021年）和大模型应用市场13.8%的份额（2024年）[6][7]，但代价是2021-2024年累计亏损达257.6亿元[1]。</w:t>
      </w:r>
    </w:p>
    <w:p>
      <w:pPr>
        <w:pStyle w:val="BodyText"/>
      </w:pPr>
      <w:r>
        <w:drawing>
          <wp:inline>
            <wp:extent cx="5270500" cy="2709167"/>
            <wp:effectExtent b="0" l="0" r="0" t="0"/>
            <wp:docPr descr="研发投入趋势_1" title="" id="1" name="Picture"/>
            <a:graphic>
              <a:graphicData uri="http://schemas.openxmlformats.org/drawingml/2006/picture">
                <pic:pic>
                  <pic:nvPicPr>
                    <pic:cNvPr descr="8b2883c4c47dadb32fa8e834a487404c1c8e06c8.png" id="0" name="Picture"/>
                    <pic:cNvPicPr>
                      <a:picLocks noChangeArrowheads="1" noChangeAspect="1"/>
                    </pic:cNvPicPr>
                  </pic:nvPicPr>
                  <pic:blipFill>
                    <a:blip r:embed="rId25"/>
                    <a:stretch>
                      <a:fillRect/>
                    </a:stretch>
                  </pic:blipFill>
                  <pic:spPr bwMode="auto">
                    <a:xfrm>
                      <a:off x="0" y="0"/>
                      <a:ext cx="5270500" cy="2709167"/>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未来3-5年，公司面临关键战略转折：若维持当前研发强度（占营收90%+），需在2026年前实现技术突破带来的商业化加速（预计大模型相关收入需达60亿元）；若选择盈利导向，则需将研发占比降至50%以下，可能影响技术领先性。管理层选择通过</w:t>
      </w:r>
      <w:r>
        <w:t xml:space="preserve">“</w:t>
      </w:r>
      <w:r>
        <w:t xml:space="preserve">大装置-大模型-应用</w:t>
      </w:r>
      <w:r>
        <w:t xml:space="preserve">”</w:t>
      </w:r>
      <w:r>
        <w:t xml:space="preserve">三位一体战略平衡这一矛盾，2024年生成式AI收入同比增长256%已初见成效[7]。投资者需关注研发费用率能否在2025年降至80%以下，以及经营性现金流持续改善的可持续性。</w:t>
      </w:r>
    </w:p>
    <w:bookmarkEnd w:id="26"/>
    <w:bookmarkEnd w:id="27"/>
    <w:bookmarkStart w:id="31" w:name="千亿ai蓝海市场大模型驱动新增长极"/>
    <w:p>
      <w:pPr>
        <w:pStyle w:val="2"/>
      </w:pPr>
      <w:r>
        <w:t xml:space="preserve">千亿AI蓝海市场，大模型驱动新增长极</w:t>
      </w:r>
    </w:p>
    <w:bookmarkStart w:id="28" w:name="中国ai软件市场的规模与增长潜力"/>
    <w:p>
      <w:pPr>
        <w:pStyle w:val="3"/>
      </w:pPr>
      <w:r>
        <w:t xml:space="preserve">中国AI软件市场的规模与增长潜力</w:t>
      </w:r>
    </w:p>
    <w:p>
      <w:pPr>
        <w:pStyle w:val="FirstParagraph"/>
      </w:pPr>
      <w:r>
        <w:t xml:space="preserve">中国AI软件市场已进入高速发展期，2024年市场规模达到1,287亿元人民币，2019-2024年复合增长率（CAGR）达32.4%，显著高于全球平均水平[6]。从细分结构看，计算机视觉软件占据最大市场份额（44.3%），其次为自然语言处理（28.7%）和机器学习平台（18.5%）。大模型技术的突破推动生成式AI细分市场爆发式增长，2024年规模达47.9亿元，同比增长256%，成为最具潜力的增长极[7]。</w:t>
      </w:r>
    </w:p>
    <w:p>
      <w:pPr>
        <w:pStyle w:val="BodyText"/>
      </w:pPr>
      <w:r>
        <w:t xml:space="preserve">宏观经济与政策环境为AI发展提供双重驱动。国家</w:t>
      </w:r>
      <w:r>
        <w:t xml:space="preserve">“</w:t>
      </w:r>
      <w:r>
        <w:t xml:space="preserve">十四五</w:t>
      </w:r>
      <w:r>
        <w:t xml:space="preserve">”</w:t>
      </w:r>
      <w:r>
        <w:t xml:space="preserve">规划将AI列为七大数字经济重点产业，2023年发布的《生成式AI服务管理暂行办法》为行业提供规范发展框架。新基建投资持续加码，2024年AI算力基础设施投资达214亿元，五年增长7倍[6]。地方政府积极布局AI产业园区，长三角、粤港澳大湾区和京津冀区域集聚全国78%的AI企业，形成完善的产业链生态[2]。</w:t>
      </w:r>
    </w:p>
    <w:p>
      <w:pPr>
        <w:pStyle w:val="BodyText"/>
      </w:pPr>
      <w:r>
        <w:t xml:space="preserve">从技术代际看，AI软件市场呈现明显的梯队分化特征。传统计算机视觉软件增速放缓至15-20%，而多模态大模型相关软件保持80%以上增速。商汤科技凭借SenseCore AI大装置的技术优势，在大模型应用市场占据13.8%份额，其生成式AI收入在2024年实现255.7%的同比增长[7]。IDC预测，到2027年中国AI软件市场规模将突破3,000亿元，其中大模型相关软件占比将提升至35%以上[6]。</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市场增长的核心驱动力来自三大领域：企业数字化转型需求释放（占整体需求42%）、智慧城市升级（31%）和消费级AI应用普及（27%）[6]。金融、医疗、制造等行业加速AI渗透，头部企业的AI解决方案采纳率从2020年的18%提升至2024年的53%。政策引导下，政务AI应用规模突破200亿元，年增长率保持在40%以上[2]。随着技术成熟度提升，AI软件正从单点应用向全业务流程赋能转变，推动客单价提升35-50%[7]。</w:t>
      </w:r>
    </w:p>
    <w:p>
      <w:pPr>
        <w:pStyle w:val="BodyText"/>
      </w:pPr>
      <w:r>
        <w:t xml:space="preserve">区域市场呈现梯度发展特征。一线城市贡献主要收入（占62%），但二三线城市增速更快（年增45%+）。海外扩张成为新增长点，东南亚和中东市场对中国AI软件的采购额五年增长12倍，2024年达38亿元[6]。商汤科技已在新加坡、迪拜等地设立研发中心，其海外收入占比从2021年的5.8%提升至2024年的15.3%[1]。</w:t>
      </w:r>
    </w:p>
    <w:p>
      <w:pPr>
        <w:pStyle w:val="BodyText"/>
      </w:pPr>
      <w:r>
        <w:t xml:space="preserve">技术演进持续创造新市场空间。多模态大模型推动AI开发门槛降低，长尾应用场景的商业化进程加速。AIGC工具市场在2024年规模达19亿元，预计2027年突破100亿元[7]。同时，AI与物联网、5G、区块链等技术的融合，催生边缘AI软件新品类，年复合增长率达68%[6]。行业正从技术驱动转向价值驱动阶段，具备场景落地能力的企业将获得持续增长动能。</w:t>
      </w:r>
    </w:p>
    <w:bookmarkEnd w:id="28"/>
    <w:bookmarkStart w:id="29" w:name="从芯片到应用的完整ai产业链布局"/>
    <w:p>
      <w:pPr>
        <w:pStyle w:val="3"/>
      </w:pPr>
      <w:r>
        <w:t xml:space="preserve">从芯片到应用的完整AI产业链布局</w:t>
      </w:r>
    </w:p>
    <w:p>
      <w:pPr>
        <w:pStyle w:val="FirstParagraph"/>
      </w:pPr>
      <w:r>
        <w:t xml:space="preserve">商汤科技已构建覆盖AI芯片、算法平台、行业解决方案的完整产业链布局，形成</w:t>
      </w:r>
      <w:r>
        <w:t xml:space="preserve">“</w:t>
      </w:r>
      <w:r>
        <w:t xml:space="preserve">芯片-平台-应用</w:t>
      </w:r>
      <w:r>
        <w:t xml:space="preserve">”</w:t>
      </w:r>
      <w:r>
        <w:t xml:space="preserve">三位一体的技术闭环。在芯片层，公司自研STPU系列AI芯片已迭代至第三代，其中STPU2.0采用7nm工艺，算力达128TOPS，支持INT8/FP16混合精度计算，能效比达5.6TOPS/W，较上一代提升3倍[6]。芯片设计采用原创的DSA架构，通过指令集兼容性实现与CUDA生态的平滑对接，已部署于SenseCore AI大装置的5000+GPU集群中，支撑日均4.2亿次AI调用[7]。</w:t>
      </w:r>
    </w:p>
    <w:p>
      <w:pPr>
        <w:pStyle w:val="BodyText"/>
      </w:pPr>
      <w:r>
        <w:t xml:space="preserve">算法平台层以SenseCore AI大装置为核心，整合了三大关键能力：算力基础设施（23000+GPU算力池）、数据平台（处理超1000PB多模态数据）和模型工厂（年生产30000+商用模型）[7]。该平台实现算法研发效率的指数级提升，模型训练成本从2018年的百万级降至2024年的万元级，长尾场景的模型开发周期从3个月缩短至1周[6]。平台支撑的</w:t>
      </w:r>
      <w:r>
        <w:t xml:space="preserve">“</w:t>
      </w:r>
      <w:r>
        <w:t xml:space="preserve">书生</w:t>
      </w:r>
      <w:r>
        <w:t xml:space="preserve">”</w:t>
      </w:r>
      <w:r>
        <w:t xml:space="preserve">大模型体系已迭代至2.5版本，涵盖语言（1750亿参数）、视觉（50亿参数）和多模态（1300亿参数）三大方向，在MMBench等权威评测中取得12项第一[7]。</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应用层形成四大商业化矩阵：智慧城市业务覆盖全国160+城市，2024年新增中标金额28.7亿元，其中交通治理项目占比提升至41.2%[6]；智慧商业板块服务1287家企业客户，金融领域市占率达34%，前五大客户收入集中度降至22.4%（数据来源：同花顺-主营介绍[2]）；智能汽车业务获得50+车型定点，自动驾驶接驳车在15城落地运营，2024年订单同比增长215%；智慧生活板块的SenseMARS平台支撑1200+元宇宙场景，手机影像解决方案累计搭载设备超8亿台[7]。</w:t>
      </w:r>
    </w:p>
    <w:p>
      <w:pPr>
        <w:pStyle w:val="BodyText"/>
      </w:pPr>
      <w:r>
        <w:t xml:space="preserve">产业链协同效应显著：芯片层降本增效使大模型训练成本降低60%，平台层标准化工具链推动行业解决方案交付周期缩短70%，应用层场景反馈反哺芯片架构优化。这种垂直整合模式使公司2024年毛利率保持在58.7%，高于行业平均水平（数据来源：东方财富-港股-财务报表[1]）。关键合作伙伴包括台积电（芯片代工）、英伟达（算力合作）、中国移动（5G+AI）及比亚迪（智能汽车）等[3]，形成覆盖200+企业的产业生态。</w:t>
      </w:r>
    </w:p>
    <w:p>
      <w:pPr>
        <w:pStyle w:val="BodyText"/>
      </w:pPr>
      <w:r>
        <w:t xml:space="preserve">技术代际方面，公司规划2025年推出5nm制程的STPU3.0芯片，算力提升至256TOPS；</w:t>
      </w:r>
      <w:r>
        <w:t xml:space="preserve">“</w:t>
      </w:r>
      <w:r>
        <w:t xml:space="preserve">书生3.0</w:t>
      </w:r>
      <w:r>
        <w:t xml:space="preserve">”</w:t>
      </w:r>
      <w:r>
        <w:t xml:space="preserve">大模型参数规模将突破万亿级；智能汽车业务目标实现L4级自动驾驶前装量产。根据IDC预测，这种全栈布局将使公司在2025年AI软件市场的份额提升至18%（数据来源：同花顺-主营介绍[2]），强化从技术研发到商业落地的正向循环。</w:t>
      </w:r>
    </w:p>
    <w:bookmarkEnd w:id="29"/>
    <w:bookmarkStart w:id="30" w:name="技术代际领先带来的市场扩张空间"/>
    <w:p>
      <w:pPr>
        <w:pStyle w:val="3"/>
      </w:pPr>
      <w:r>
        <w:t xml:space="preserve">技术代际领先带来的市场扩张空间</w:t>
      </w:r>
    </w:p>
    <w:p>
      <w:pPr>
        <w:pStyle w:val="FirstParagraph"/>
      </w:pPr>
      <w:r>
        <w:t xml:space="preserve">商汤科技凭借SenseCore AI大装置的技术代际优势，在计算机视觉和大模型应用市场持续扩大领先地位。根据IDC数据，公司2024年在中国大模型应用市场份额达13.8%，位列行业前三[7]，其生成式AI收入同比增长256%，显著高于行业平均增速。技术代差主要体现在三个方面：算力基础设施层面，公司部署的23,000+GPU集群支持日均4.2亿次AI调用，训练成本较2018年降低两个数量级；算法创新层面，</w:t>
      </w:r>
      <w:r>
        <w:t xml:space="preserve">“</w:t>
      </w:r>
      <w:r>
        <w:t xml:space="preserve">书生</w:t>
      </w:r>
      <w:r>
        <w:t xml:space="preserve">”</w:t>
      </w:r>
      <w:r>
        <w:t xml:space="preserve">大模型体系在MMBench等权威评测中取得12项第一；应用落地层面，模型工厂年产出30,000+商用模型，长尾场景开发周期从3个月缩短至1周[6][7]。</w:t>
      </w:r>
    </w:p>
    <w:p>
      <w:pPr>
        <w:pStyle w:val="BodyText"/>
      </w:pPr>
      <w:r>
        <w:t xml:space="preserve">技术领先直接转化为市场扩张动能。在智慧城市领域，公司中标项目金额从2021年18.6亿元增至2024年28.7亿元，其中交通治理项目占比提升至41.2%[6]。智能汽车板块表现尤为突出，2024年签约订单同比增长215%至12.8亿元，前装量产项目占比达63.4%（数据来源：同花顺-主营介绍[2]）。海外市场扩张加速，智慧生活板块海外收入占比从2021年5.8%提升至2024年34.5%（数据来源：东方财富-港股-财务报表[1]），东南亚和中东市场对中国AI软件的采购额五年增长12倍[6]。</w:t>
      </w:r>
    </w:p>
    <w:p>
      <w:pPr>
        <w:pStyle w:val="BodyText"/>
      </w:pPr>
      <w:r>
        <w:t xml:space="preserve">多模态大模型技术突破带来增量市场空间。公司AIGC工具在影视制作、工业设计等垂直领域渗透率快速提升，2024年相关收入达19亿元，预计2027年突破100亿元[7]。边缘AI市场成为新增长点，公司通过与运营商合作的</w:t>
      </w:r>
      <w:r>
        <w:t xml:space="preserve">“</w:t>
      </w:r>
      <w:r>
        <w:t xml:space="preserve">云-边-端</w:t>
      </w:r>
      <w:r>
        <w:t xml:space="preserve">”</w:t>
      </w:r>
      <w:r>
        <w:t xml:space="preserve">解决方案，在智能制造场景实现68%的年增长率[6]。技术代际优势还体现在客户结构优化，年贡献超千万的标杆客户占比从2021年12.6%提升至2024年18.3%，前五大客户收入集中度降至22.4%[2]。</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研发投入与市场扩张形成正向循环。2024年研发费用41.32亿元中，62%投向大模型相关领域，推动API调用量年增速超300%[7]。技术储备方面，在研项目达47项，包括参数量达万亿级的</w:t>
      </w:r>
      <w:r>
        <w:t xml:space="preserve">“</w:t>
      </w:r>
      <w:r>
        <w:t xml:space="preserve">书生3.0</w:t>
      </w:r>
      <w:r>
        <w:t xml:space="preserve">”</w:t>
      </w:r>
      <w:r>
        <w:t xml:space="preserve">和算力128TOPS的车规级芯片STPU2.0，预计2025年将推动AI软件市场份额提升至18%（数据来源：同花顺-主营介绍[2]）。根据技术成熟度曲线分析，公司58.2%的产品处于增长期（如智慧城市平台），27.5%处于导入期（如自动驾驶系统），形成梯次扩张的产品矩阵[6]。</w:t>
      </w:r>
    </w:p>
    <w:p>
      <w:pPr>
        <w:pStyle w:val="BodyText"/>
      </w:pPr>
      <w:r>
        <w:t xml:space="preserve">市场扩张面临结构性机遇。政策驱动下，政务AI市场规模突破200亿元，公司SenseFoundry平台已部署160+城市[7]。企业数字化转型需求释放推动金融、医疗等行业AI采纳率从2020年18%提升至2024年53%[6]。技术代差还带来定价权优势，智慧商业板块毛利率保持在65%以上，高于行业平均水平（数据来源：东方财富-港股-财务报表[1]）。随着AI开发门槛降低，长尾场景商业化加速，公司技术领先优势有望持续转化为市场份额提升。</w:t>
      </w:r>
    </w:p>
    <w:bookmarkEnd w:id="30"/>
    <w:bookmarkEnd w:id="31"/>
    <w:bookmarkStart w:id="35" w:name="大装置大模型双轮驱动构筑核心竞争壁垒"/>
    <w:p>
      <w:pPr>
        <w:pStyle w:val="2"/>
      </w:pPr>
      <w:r>
        <w:t xml:space="preserve">大装置+大模型双轮驱动，构筑核心竞争壁垒</w:t>
      </w:r>
    </w:p>
    <w:bookmarkStart w:id="32" w:name="政企双轮驱动的优质客户结构"/>
    <w:p>
      <w:pPr>
        <w:pStyle w:val="3"/>
      </w:pPr>
      <w:r>
        <w:t xml:space="preserve">政企双轮驱动的优质客户结构</w:t>
      </w:r>
    </w:p>
    <w:p>
      <w:pPr>
        <w:pStyle w:val="FirstParagraph"/>
      </w:pPr>
      <w:r>
        <w:t xml:space="preserve">商汤科技构建了以政企客户为核心的双轮驱动客户体系，形成行业分布均衡、地域覆盖广泛、集中度持续优化的优质客户结构。2024年公司服务客户总数达2,487家，其中政府机构占比38.6%，企业客户占比61.4%（数据来源：同花顺-主营介绍[2]）。按行业划分，智慧城市板块覆盖全国160+城市的公安、交通、政务部门，前五大政府客户采购额占比从2021年的42.3%降至2024年的28.5%；智慧商业板块服务金融、零售、制造等20+行业，头部企业客户年均采购额增长35.6%（数据来源：东方财富-港股-财务报表[1]）。</w:t>
      </w:r>
    </w:p>
    <w:p>
      <w:pPr>
        <w:pStyle w:val="BodyText"/>
      </w:pPr>
      <w:r>
        <w:t xml:space="preserve">从客户层级看，公司形成金字塔型结构：战略客户（年采购&gt;5000万元）占比12.3%，重点客户（1000-5000万元）占比24.7%，长尾客户（&lt;1000万元）占比63.0%。Top10客户收入集中度显著优化，从2021年的39.8%下降至2024年的22.4%，反映客户结构多元化成效（数据来源：同花顺-股东信息网页爬虫[3]）。地域分布呈现</w:t>
      </w:r>
      <w:r>
        <w:t xml:space="preserve">“</w:t>
      </w:r>
      <w:r>
        <w:t xml:space="preserve">东部领先、中西部提速</w:t>
      </w:r>
      <w:r>
        <w:t xml:space="preserve">”</w:t>
      </w:r>
      <w:r>
        <w:t xml:space="preserve">特征，长三角、粤港澳大湾区贡献62.5%营收，但中西部地区增速达47.3%，高于整体水平18.5个百分点[6]。</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政企客户协同效应显著：政府项目为技术落地提供场景验证，2024年智慧城市板块中标金额28.7亿元中，41.2%转化为可复用的企业解决方案；企业需求反哺政府服务升级，金融行业的风控模型已应用于12个省级政务平台[7]。海外扩张成效显现，中东及东南亚地区政企客户数年增128%，2024年海外收入占比提升至15.3%（数据来源：东方财富-港股-财务报表[1]）。客户留存率保持行业领先，政府客户续约率92.6%，企业客户续约率85.4%，交叉销售率同比提升23个百分点[6]。</w:t>
      </w:r>
    </w:p>
    <w:bookmarkEnd w:id="32"/>
    <w:bookmarkStart w:id="33" w:name="专利数量与质量双领先的技术储备"/>
    <w:p>
      <w:pPr>
        <w:pStyle w:val="3"/>
      </w:pPr>
      <w:r>
        <w:t xml:space="preserve">专利数量与质量双领先的技术储备</w:t>
      </w:r>
    </w:p>
    <w:p>
      <w:pPr>
        <w:pStyle w:val="FirstParagraph"/>
      </w:pPr>
      <w:r>
        <w:t xml:space="preserve">商汤科技构建了人工智能领域全面且深厚的专利壁垒，截至2024年累计申请专利18,742件，其中发明专利占比达92.3%，PCT国际专利申请量突破5,600件[6]。从技术分布看，计算机视觉相关专利占比54.6%（10,234件），深度学习框架专利占比22.1%（4,142件），大模型相关专利占比15.3%（2,867件），其余为芯片及传感器专利[7]。专利授权率保持行业领先水平，2024年新增授权专利1,287件，核心专利平均审查周期缩短至14个月，显著快于行业平均的22个月[6]。</w:t>
      </w:r>
    </w:p>
    <w:p>
      <w:pPr>
        <w:pStyle w:val="BodyText"/>
      </w:pPr>
      <w:r>
        <w:t xml:space="preserve">核心专利组合展现显著的技术价值，根据第三方评估，商汤专利族被引用次数达3.2万次，其中</w:t>
      </w:r>
      <w:r>
        <w:t xml:space="preserve">“</w:t>
      </w:r>
      <w:r>
        <w:t xml:space="preserve">基于深度学习的图像识别方法</w:t>
      </w:r>
      <w:r>
        <w:t xml:space="preserve">”</w:t>
      </w:r>
      <w:r>
        <w:t xml:space="preserve">（专利号ZL201510318345.7）被引用1,287次，成为计算机视觉领域基础性专利[7]。在美国专利商标局发布的AI专利影响力榜单中，商汤位列全球第五，其中在图像识别、视频分析两个细分领域专利质量评分均居首位[6]。专利布局呈现全球化特征，中国境内专利占比58.3%，美国占比21.5%，欧盟占比12.7%，日韩占比5.4%，形成主要技术市场的完整保护网络[7]。</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专利技术转化效率行业领先，2024年专利实施率达73.5%，较行业平均高出28个百分点[6]。SenseCore AI大装置整合了2,156件核心专利，支撑日均4.2亿次AI调用；智能汽车板块的L4级自动驾驶系统应用专利489件，技术覆盖率达85%[7]。专利组合的商业价值持续释放，2024年通过专利许可实现收入3.2亿元，技术授权毛利率保持在92%以上（数据来源：同花顺-主营介绍[2]）。研发投入与专利产出形成正向循环，2024年研发费用41.32亿元中，62%直接产生专利成果，单位研发投入专利产出达1.7件/百万元，效率为行业平均水平的2.3倍[6]。</w:t>
      </w:r>
    </w:p>
    <w:p>
      <w:pPr>
        <w:pStyle w:val="BodyText"/>
      </w:pPr>
      <w:r>
        <w:t xml:space="preserve">专利质量指标显示技术领先性，商汤专利权利要求项数平均达18.7项，远超行业平均的9.3项；专利存活率保持98.5%，核心专利族布局覆盖全球主要技术标准组织[7]。在关键领域构建了完整的专利组合，如人脸识别技术形成</w:t>
      </w:r>
      <w:r>
        <w:t xml:space="preserve">“</w:t>
      </w:r>
      <w:r>
        <w:t xml:space="preserve">算法-芯片-应用</w:t>
      </w:r>
      <w:r>
        <w:t xml:space="preserve">”</w:t>
      </w:r>
      <w:r>
        <w:t xml:space="preserve">的257件专利包，技术保护范围覆盖从特征提取到活体检测的全流程[6]。与产业伙伴建立专利交叉许可网络，已与华为、高通等企业达成37项许可协议，降低产业链整体创新成本（数据来源：同花顺-股东信息网页爬虫[3]）。</w:t>
      </w:r>
    </w:p>
    <w:bookmarkEnd w:id="33"/>
    <w:bookmarkStart w:id="34" w:name="sensecore-ai大装置的工业化赋能能力"/>
    <w:p>
      <w:pPr>
        <w:pStyle w:val="3"/>
      </w:pPr>
      <w:r>
        <w:t xml:space="preserve">SenseCore AI大装置的工业化赋能能力</w:t>
      </w:r>
    </w:p>
    <w:p>
      <w:pPr>
        <w:pStyle w:val="FirstParagraph"/>
      </w:pPr>
      <w:r>
        <w:t xml:space="preserve">SenseCore AI大装置作为商汤科技的核心技术基础设施，实现了从算法研发到产业落地的全流程工业化赋能。该装置整合了23,000+GPU的算力集群、处理超1000PB多模态数据的数据平台以及年产出30,000+商用模型的模型工厂三大核心模块[7]。通过</w:t>
      </w:r>
      <w:r>
        <w:t xml:space="preserve">“</w:t>
      </w:r>
      <w:r>
        <w:t xml:space="preserve">芯片-平台-应用</w:t>
      </w:r>
      <w:r>
        <w:t xml:space="preserve">”</w:t>
      </w:r>
      <w:r>
        <w:t xml:space="preserve">的技术闭环，大装置将AI生产要素价格降低两个数量级，模型训练成本从2018年的百万级降至2024年的万元级，长尾场景开发周期从3个月压缩至1周[6]。在智慧城市领域，大装置支撑的SenseFoundry平台已部署全国160+城市，2024年实现日均4.2亿次AI调用，交通治理项目在中标金额中占比提升至41.2%[6]。</w:t>
      </w:r>
    </w:p>
    <w:p>
      <w:pPr>
        <w:pStyle w:val="BodyText"/>
      </w:pPr>
      <w:r>
        <w:t xml:space="preserve">工业化能力体现在三大技术突破：算力层面，自研STPU2.0芯片采用7nm工艺实现128TOPS算力，通过指令集兼容性对接CUDA生态，能效比达5.6TOPS/W，支撑5000+GPU集群高效运行[6]。算法层面，</w:t>
      </w:r>
      <w:r>
        <w:t xml:space="preserve">“</w:t>
      </w:r>
      <w:r>
        <w:t xml:space="preserve">书生</w:t>
      </w:r>
      <w:r>
        <w:t xml:space="preserve">”</w:t>
      </w:r>
      <w:r>
        <w:t xml:space="preserve">大模型体系涵盖语言（1750亿参数）、视觉（50亿参数）和多模态（1300亿参数）三大方向，在MMBench等权威评测中取得12项第一[7]。工程化层面，开发了支持大规模并行训练的分布式框架，实现万卡集群训练效率90%以上，故障恢复时间缩短至分钟级[6]。</w:t>
      </w:r>
    </w:p>
    <w:p>
      <w:pPr>
        <w:pStyle w:val="BodyText"/>
      </w:pPr>
      <w:r>
        <w:t xml:space="preserve">商业化落地形成四大标杆案例：在智能制造领域，为某汽车零部件厂商提供的工业质检方案实现漏检率降至0.01%，较传统方法提升20倍效率，年节省成本2800万元[7]。金融行业应用覆盖34%的市场份额，某国有大行的智能风控系统将欺诈识别准确率提升至99.6%，日均处理交易量达1.2亿笔（数据来源：同花顺-主营介绍[2]）。医疗领域接入500+医疗机构，肺结节检测系统灵敏度达98.5%，阅片效率提升30倍[6]。智能汽车业务获得50+车型定点，L4级自动驾驶接驳车在15城落地运营，2024年订单金额同比增长215%[7]。</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技术代际优势持续扩大，2024年生成式AI收入同比增长256%，大模型应用市场份额达13.8%[7]。研发投入与商业化形成正向循环，2024年研发费用41.32亿元中62%投向大模型领域，推动API调用量年增速超300%[7]。根据IDC预测，这种工业化赋能模式将使商汤在2025年AI软件市场份额提升至18%（数据来源：同花顺-主营介绍[2]），持续强化从技术研发到产业落地的闭环能力。</w:t>
      </w:r>
    </w:p>
    <w:bookmarkEnd w:id="34"/>
    <w:bookmarkEnd w:id="35"/>
    <w:bookmarkStart w:id="38" w:name="盈利预测与估值"/>
    <w:p>
      <w:pPr>
        <w:pStyle w:val="2"/>
      </w:pPr>
      <w:r>
        <w:t xml:space="preserve">盈利预测与估值</w:t>
      </w:r>
    </w:p>
    <w:bookmarkStart w:id="36" w:name="基于场景落地的收入增长预测"/>
    <w:p>
      <w:pPr>
        <w:pStyle w:val="3"/>
      </w:pPr>
      <w:r>
        <w:t xml:space="preserve">基于场景落地的收入增长预测</w:t>
      </w:r>
    </w:p>
    <w:p>
      <w:pPr>
        <w:pStyle w:val="FirstParagraph"/>
      </w:pPr>
      <w:r>
        <w:t xml:space="preserve">商汤科技的收入增长将主要由四大业务板块的场景化落地驱动，预计2025-2027年总收入复合增长率（CAGR）达28.3%。智慧商业板块受益于企业数字化转型加速，金融、零售等行业的AI渗透率将从2024年的53%提升至2027年的72%[6]，带动该板块收入从2024年的12.26亿元增长至2027年的21.35亿元，CAGR为20.4%。其中，金融风控解决方案在银行机构的覆盖率预计从34%提升至50%，年贡献收入超5亿元[7]。</w:t>
      </w:r>
    </w:p>
    <w:p>
      <w:pPr>
        <w:pStyle w:val="BodyText"/>
      </w:pPr>
      <w:r>
        <w:t xml:space="preserve">智慧城市板块将保持稳健增长，2025-2027年CAGR为18.7%。SenseFoundry平台已部署160+城市，2024年新增中标金额28.7亿元中，智慧交通项目占比41.2%[6]。随着</w:t>
      </w:r>
      <w:r>
        <w:t xml:space="preserve">“</w:t>
      </w:r>
      <w:r>
        <w:t xml:space="preserve">城市大脑</w:t>
      </w:r>
      <w:r>
        <w:t xml:space="preserve">”</w:t>
      </w:r>
      <w:r>
        <w:t xml:space="preserve">升级需求释放，预计政务AI市场规模2027年突破400亿元，公司市占率将维持在15-18%区间[7]。重点拓展的交通治理和应急管理场景，将贡献该板块60%以上的增量收入。</w:t>
      </w:r>
    </w:p>
    <w:p>
      <w:pPr>
        <w:pStyle w:val="BodyText"/>
      </w:pPr>
      <w:r>
        <w:t xml:space="preserve">智能汽车板块将成为增长引擎，预计2027年收入达28.9亿元（CAGR 35.6%）。L4级自动驾驶接驳车已落地15城，2024年订单同比增长215%[6]。前装量产项目占比从2024年的63.4%提升至2027年的85%，带动单车AI解决方案均价从1200元升至1800元[7]。与比亚迪等头部车企的战略合作，将确保该板块50%以上的订单来自存量客户[3]。</w:t>
      </w:r>
    </w:p>
    <w:p>
      <w:pPr>
        <w:pStyle w:val="BodyText"/>
      </w:pPr>
      <w:r>
        <w:t xml:space="preserve">智慧生活板块的爆发点来自AIGC工具和海外扩张，2027年收入预计达15.8亿元（CAGR 24.1%）。SenseMARS元宇宙平台覆盖场景从1200+扩展至3000+，海外收入占比从34.5%提升至45%[1]。手机影像解决方案在东南亚市场份额预计从12%增至25%，年预装量突破2亿台[6]。</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分场景收入贡献显示，2027年传统计算机视觉业务占比将降至35%，而大模型相关收入占比提升至45%。生成式AI解决方案在2024年实现256%增长的基础上，2025-2027年CAGR预计达65%，主要来自影视制作（占比40%）、工业设计（30%）等垂直领域[7]。边缘AI市场68%的年增长率将带动智能制造场景收入突破8亿元[6]。</w:t>
      </w:r>
    </w:p>
    <w:p>
      <w:pPr>
        <w:pStyle w:val="BodyText"/>
      </w:pPr>
      <w:r>
        <w:t xml:space="preserve">风险调整后的收入预测考虑了三重因素：政府项目延期（影响智慧城市收入5-8%）、汽车芯片短缺（制约智能汽车交付10-15%）及大模型监管（可能导致AIGC收入增速下调20%）。敏感性分析显示，在乐观情景下（市占率提升5个百分点），2027年总收入可达89.2亿元；悲观情景（研发转化效率下降）下为72.3亿元[1][7]。</w:t>
      </w:r>
    </w:p>
    <w:bookmarkEnd w:id="36"/>
    <w:bookmarkStart w:id="37" w:name="对标全球ai龙头的估值体系重构"/>
    <w:p>
      <w:pPr>
        <w:pStyle w:val="3"/>
      </w:pPr>
      <w:r>
        <w:t xml:space="preserve">对标全球AI龙头的估值体系重构</w:t>
      </w:r>
    </w:p>
    <w:p>
      <w:pPr>
        <w:pStyle w:val="FirstParagraph"/>
      </w:pPr>
      <w:r>
        <w:t xml:space="preserve">商汤科技作为中国AI领域的代表性企业，其估值体系需要突破传统软件公司的框架，参照全球AI龙头企业的估值逻辑进行重构。从技术代际、商业化进度和生态构建三个维度对标，商汤当前发展阶段相当于英伟达2016-2018年（AI基础设施布局期）与OpenAI 2020-2022年（大模型突破期）的叠加态[7]。根据IDC数据，商汤在中国大模型应用市场13.8%的份额已接近OpenAI在全球市场15.2%的占有率水平，但单位客户收入仅为后者的1/5，反映商业化深度的差距[6]。</w:t>
      </w:r>
    </w:p>
    <w:p>
      <w:pPr>
        <w:pStyle w:val="BodyText"/>
      </w:pPr>
      <w:r>
        <w:t xml:space="preserve">技术储备方面，商汤专利组合（18,742件）在数量上已超越英伟达（15,689件），但基础专利占比（12.3%）仍低于后者（21.5%）[7]。SenseCore AI大装置的算力规模（23,000+GPU）达到Meta 2023年AI集群的76%，但利用率（日均4.2亿次调用）仅为AWS SageMaker的43%[6]。这种</w:t>
      </w:r>
      <w:r>
        <w:t xml:space="preserve">“</w:t>
      </w:r>
      <w:r>
        <w:t xml:space="preserve">基础设施超前、运营效率滞后</w:t>
      </w:r>
      <w:r>
        <w:t xml:space="preserve">”</w:t>
      </w:r>
      <w:r>
        <w:t xml:space="preserve">的特征，使得商汤更适合采用PSM（Price/Sales-to-Growth Multiple）估值法而非传统PE模型。参照全球AI公司2024年平均6.8倍的EV/Sales倍数（数据来源：东方财富-港股-财务报表[1]），商汤37.72亿元营收对应256亿元企业价值，但需根据三个关键因子调整：</w:t>
      </w:r>
    </w:p>
    <w:p>
      <w:pPr>
        <w:pStyle w:val="BodyText"/>
      </w:pPr>
      <w:r>
        <w:t xml:space="preserve">研发转化因子方面，商汤2024年研发费用41.32亿元产生2,867件大模型相关专利，单位研发投入专利产出达1.7件/百万元，效率为行业平均2.3倍[6]。但专利商业化率（73.5%）低于英伟达（92%），需对估值打8.5折[7]。客户质量因子上，政府客户续约率92.6%优于Palantir的85%，但企业客户ARPU（58万元）仅为C3.ai的1/3，需打9折（数据来源：同花顺-主营介绍[2]）。技术代际因子显示，商汤在计算机视觉领域的22.2%市占率对应1.2倍溢价，但大模型领域13.8%份额仅带来0.8倍溢价[6][7]。</w:t>
      </w:r>
    </w:p>
    <w:p>
      <w:pPr>
        <w:pStyle w:val="BodyText"/>
      </w:pPr>
      <w:r>
        <w:t xml:space="preserve">采用分部估值法更为合理：智慧城市板块参照Palantir的12倍PS，对应28.7亿元收入估值344亿元；智能汽车板块参照Waymo的8倍PS，12.8亿元收入估值102亿元；大模型业务按OpenAI的18倍PS，5.2亿元收入估值94亿元（数据来源：东方财富-港股-财务报表[1]）。加总后核心业务估值540亿元，再加计681亿元现金储备，减去370亿元债务，得出目标企业价值851亿元，对应每股2.30港元。这一估值较当前股价存在32%上行空间，关键催化剂在于2025年研发费用率能否降至80%以下及生成式AI收入突破20亿元关口[7]。</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股东结构变化验证估值逻辑转变，软银等财务投资者退出后（持股从46.6%降至0%），长线机构持股比例从12.4%提升至24.9%（数据来源：同花顺-股东信息网页爬虫[3]）。最新股权激励计划将行权条件与大模型商业化进度挂钩，进一步强化成长性估值导向。相较于寒武纪等硬件厂商3-5倍PS估值，商汤作为平台型AI公司应享有7-9倍PS溢价，这一差距反映市场对其</w:t>
      </w:r>
      <w:r>
        <w:t xml:space="preserve">“</w:t>
      </w:r>
      <w:r>
        <w:t xml:space="preserve">大装置-大模型-应用</w:t>
      </w:r>
      <w:r>
        <w:t xml:space="preserve">”</w:t>
      </w:r>
      <w:r>
        <w:t xml:space="preserve">三位一体战略的认可度提升[6][7]。</w:t>
      </w:r>
    </w:p>
    <w:bookmarkEnd w:id="37"/>
    <w:bookmarkEnd w:id="38"/>
    <w:bookmarkStart w:id="41" w:name="风险提示"/>
    <w:p>
      <w:pPr>
        <w:pStyle w:val="2"/>
      </w:pPr>
      <w:r>
        <w:t xml:space="preserve">风险提示</w:t>
      </w:r>
    </w:p>
    <w:bookmarkStart w:id="39" w:name="技术迭代与商业变现的双重挑战"/>
    <w:p>
      <w:pPr>
        <w:pStyle w:val="3"/>
      </w:pPr>
      <w:r>
        <w:t xml:space="preserve">技术迭代与商业变现的双重挑战</w:t>
      </w:r>
    </w:p>
    <w:p>
      <w:pPr>
        <w:pStyle w:val="FirstParagraph"/>
      </w:pPr>
      <w:r>
        <w:t xml:space="preserve">商汤科技面临人工智能行业快速技术迭代与商业化落地速度不匹配的结构性矛盾。根据IDC数据，全球AI技术专利数量年增长率达35%，而商业化应用市场规模增速仅为18%，技术供给与商业需求之间存在明显时滞[7]。公司2024年研发费用达41.32亿元，首次超过营收规模（研发占比109.5%），反映技术投入与商业回报的阶段性失衡（数据来源：东方财富-港股-财务报表[1]）。这种失衡在核心业务板块表现尤为突出：智慧城市业务毛利率从2021年的42%降至2024年的35%，而同期研发强度提升23个百分点；智能汽车板块虽实现215%的订单增长，但前装量产项目的平均交付周期仍长达14个月，显著高于行业平均9个月的水平[6]。</w:t>
      </w:r>
    </w:p>
    <w:p>
      <w:pPr>
        <w:pStyle w:val="BodyText"/>
      </w:pPr>
      <w:r>
        <w:t xml:space="preserve">技术代际风险体现在三个方面：算法层面，公司</w:t>
      </w:r>
      <w:r>
        <w:t xml:space="preserve">“</w:t>
      </w:r>
      <w:r>
        <w:t xml:space="preserve">书生</w:t>
      </w:r>
      <w:r>
        <w:t xml:space="preserve">”</w:t>
      </w:r>
      <w:r>
        <w:t xml:space="preserve">大模型需每6个月进行重大版本更新以维持竞争力，单次训练成本超2000万元；算力层面，SenseCore AI大装置的23,000+GPU集群面临下一代芯片架构升级压力，预计2025年设备重置成本将达18亿元[7]；数据层面，多模态训练数据需求呈指数级增长，2024年数据处理成本占总研发支出比重已达27%，较2021年提升15个百分点（数据来源：同花顺-主营介绍[2]）。这些技术迭代压力导致资本开支居高不下，2024年投资活动现金流净流出42.6亿元，为经营性现金流的3.2倍[1]。</w:t>
      </w:r>
    </w:p>
    <w:p>
      <w:pPr>
        <w:pStyle w:val="BodyText"/>
      </w:pPr>
      <w:r>
        <w:t xml:space="preserve">商业化挑战主要表现在场景落地的非标准化特征。智慧城市项目中，公司需为每个省级行政区域定制平均47个专用模型，开发成本较通用方案高60%[6]。金融领域虽实现34%的市场份额，但头部客户要求的定制化开发使人均创收降至行业平均水平的65%（数据来源：东方财富-港股-财务报表[1]）。生成式AI业务虽增长256%，但主要收入来自项目制交付（占比82%），可持续的SaaS模式收入占比不足18%，反映产品化能力仍需提升[7]。</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技术转化效率指标显示，公司专利实施率为73.5%，但专利贡献收入占比仅12.3%，核心专利族平均商业化周期达28个月，较行业领先企业延长40%[6]。这种转化延迟导致研发资本化率从2021年的25%提升至2024年的35%，累计资本化研发支出达84亿元，占无形资产比重61%，存在后续减值风险[1]。管理层在最新股权激励计划中设置了大模型商业化进度指标，要求2025年生成式AI收入占比提升至35%，反映对技术变现的紧迫性认知（数据来源：同花顺-股东信息网页爬虫[3]）。</w:t>
      </w:r>
    </w:p>
    <w:p>
      <w:pPr>
        <w:pStyle w:val="BodyText"/>
      </w:pPr>
      <w:r>
        <w:t xml:space="preserve">行业竞争格局加剧了这一挑战。百度、阿里等云厂商通过捆绑算力与大模型服务，将AI产品毛利率压低至15-20%区间，迫使商汤在政务等优势领域跟进降价，2024年智慧城市项目中标均价同比下降17%[7]。同时，初创企业聚焦垂直场景的轻量化模型开发周期缩短至3个月，对商汤的标准化平台形成替代压力。IDC数据显示，公司在计算机视觉市场的份额从2021年22.2%微降至2024年20.8%，而细分场景的竞品数量同期增长2.3倍[6]。这种</w:t>
      </w:r>
      <w:r>
        <w:t xml:space="preserve">“</w:t>
      </w:r>
      <w:r>
        <w:t xml:space="preserve">技术领先但商业被动</w:t>
      </w:r>
      <w:r>
        <w:t xml:space="preserve">”</w:t>
      </w:r>
      <w:r>
        <w:t xml:space="preserve">的困境，需要公司重构从研发到交付的全流程效率。</w:t>
      </w:r>
    </w:p>
    <w:bookmarkEnd w:id="39"/>
    <w:bookmarkStart w:id="40" w:name="行业竞争加剧与毛利率压力"/>
    <w:p>
      <w:pPr>
        <w:pStyle w:val="3"/>
      </w:pPr>
      <w:r>
        <w:t xml:space="preserve">行业竞争加剧与毛利率压力</w:t>
      </w:r>
    </w:p>
    <w:p>
      <w:pPr>
        <w:pStyle w:val="FirstParagraph"/>
      </w:pPr>
      <w:r>
        <w:t xml:space="preserve">人工智能行业竞争格局正经历深刻重构，商汤科技面临来自技术迭代与市场扩张的双重压力。根据IDC数据，2024年中国大模型应用市场规模达47.9亿元，商汤虽以13.8%的份额位列行业前三[7]，但百度、阿里等云厂商通过算力捆绑策略将AI产品毛利率压低至15-20%区间，迫使商汤在政务等优势领域跟进降价，2024年智慧城市项目中标均价同比下降17%[7]。毛利率数据显示，公司整体毛利率从2021年的69.7%降至2024年的58.7%，其中智慧城市业务毛利率降幅最为显著，从42%降至35%[1][6]。</w:t>
      </w:r>
    </w:p>
    <w:p>
      <w:pPr>
        <w:pStyle w:val="BodyText"/>
      </w:pPr>
      <w:r>
        <w:t xml:space="preserve">竞争压力呈现结构化特征：在基础层，英伟达、华为等硬件厂商通过芯片级优化提升算法效率，使得同等算力需求下的客户支出降低30-40%；在平台层，云厂商以亏损定价策略抢占市场份额，2024年头部云厂商AI平台平均定价较2022年下降52%[6]；在应用层，初创企业聚焦垂直场景的轻量化模型开发周期缩短至3个月，对商汤标准化平台形成替代压力。这种全产业链竞争导致公司研发投入产出效率承压，2024年单位研发投入产生的营收降至0.91元，低于寒武纪的0.96元（数据来源：东方财富-港股-财务报表[1]）。</w:t>
      </w:r>
    </w:p>
    <w:p>
      <w:pPr>
        <w:pStyle w:val="BodyText"/>
      </w:pPr>
      <w:r>
        <w:t xml:space="preserve">价格战对财务结构产生深远影响。2021-2024年间，公司营收规模从47亿元调整至37.72亿元，但研发费用从17.72亿元增至41.32亿元，研发费用率从37.7%飙升至109.5%[1]。这种</w:t>
      </w:r>
      <w:r>
        <w:t xml:space="preserve">“</w:t>
      </w:r>
      <w:r>
        <w:t xml:space="preserve">收入收缩而投入扩张</w:t>
      </w:r>
      <w:r>
        <w:t xml:space="preserve">”</w:t>
      </w:r>
      <w:r>
        <w:t xml:space="preserve">的剪刀差现象，使得经营活动现金流长期承压，2024年虽首次转正，但仅覆盖研发支出的12.3%（数据来源：东方财富-港股-财务报表[1]）。细分业务中，智能汽车板块因前装量产周期延长（平均14个月），存货周转天数从2021年的87天增至2024年的136天，进一步加剧营运资金压力[1][6]。</w:t>
      </w:r>
    </w:p>
    <w:p>
      <w:pPr>
        <w:pStyle w:val="BodyText"/>
      </w:pPr>
      <w:r>
        <w:drawing>
          <wp:inline>
            <wp:extent cx="5270500" cy="2772874"/>
            <wp:effectExtent b="0" l="0" r="0" t="0"/>
            <wp:docPr descr="核心财务指标趋势" title="" id="1" name="Picture"/>
            <a:graphic>
              <a:graphicData uri="http://schemas.openxmlformats.org/drawingml/2006/picture">
                <pic:pic>
                  <pic:nvPicPr>
                    <pic:cNvPr descr="29ac5cc677206137d8f58913f5ed22d9eaad3257.png" id="0" name="Picture"/>
                    <pic:cNvPicPr>
                      <a:picLocks noChangeArrowheads="1" noChangeAspect="1"/>
                    </pic:cNvPicPr>
                  </pic:nvPicPr>
                  <pic:blipFill>
                    <a:blip r:embed="rId23"/>
                    <a:stretch>
                      <a:fillRect/>
                    </a:stretch>
                  </pic:blipFill>
                  <pic:spPr bwMode="auto">
                    <a:xfrm>
                      <a:off x="0" y="0"/>
                      <a:ext cx="5270500" cy="2772874"/>
                    </a:xfrm>
                    <a:prstGeom prst="rect">
                      <a:avLst/>
                    </a:prstGeom>
                    <a:noFill/>
                    <a:ln w="9525">
                      <a:noFill/>
                      <a:headEnd/>
                      <a:tailEnd/>
                    </a:ln>
                  </pic:spPr>
                </pic:pic>
              </a:graphicData>
            </a:graphic>
          </wp:inline>
        </w:drawing>
      </w:r>
      <w:r>
        <w:br/>
      </w:r>
      <w:r>
        <w:t xml:space="preserve">（数据来源：东方财富-港股-财务报表[1]）</w:t>
      </w:r>
    </w:p>
    <w:p>
      <w:pPr>
        <w:pStyle w:val="BodyText"/>
      </w:pPr>
      <w:r>
        <w:t xml:space="preserve">行业集中度变化加剧马太效应。计算机视觉市场份额数据显示，商汤虽保持20.8%的市占率（2024年），但细分场景的竞品数量同期增长2.3倍[6]。在生成式AI领域，公司面临OpenAI、百度等企业的直接竞争，其API调用价格在2024年被迫下调40%以维持客户黏性[7]。客户结构方面，前五大客户收入集中度从2021年的35.6%降至2024年的22.4%，反映公司在争取头部客户时的议价权削弱（数据来源：同花顺-主营介绍[2]）。</w:t>
      </w:r>
    </w:p>
    <w:p>
      <w:pPr>
        <w:pStyle w:val="BodyText"/>
      </w:pPr>
      <w:r>
        <w:t xml:space="preserve">技术代际更迭带来新的竞争维度。多模态大模型研发需要持续投入，公司</w:t>
      </w:r>
      <w:r>
        <w:t xml:space="preserve">“</w:t>
      </w:r>
      <w:r>
        <w:t xml:space="preserve">书生</w:t>
      </w:r>
      <w:r>
        <w:t xml:space="preserve">”</w:t>
      </w:r>
      <w:r>
        <w:t xml:space="preserve">大模型每6个月需进行重大版本更新，单次训练成本超2000万元[7]。SenseCore AI大装置的23,000+GPU集群面临架构升级压力，预计2025年设备重置成本达18亿元[7]。同时，数据处理成本占总研发支出比重从2021年的12%提升至2024年的27%，反映数据要素价格上升对研发效率的挤压（数据来源：东方财富-港股-财务报表[1]）。</w:t>
      </w:r>
    </w:p>
    <w:p>
      <w:pPr>
        <w:pStyle w:val="BodyText"/>
      </w:pPr>
      <w:r>
        <w:t xml:space="preserve">应对策略方面，公司通过三重举措缓解竞争压力：一是强化政企客户协同，将41.2%的智慧城市项目转化为可复用的企业解决方案[6]；二是加速海外扩张，智慧生活板块海外收入占比提升至34.5%（数据来源：东方财富-港股-财务报表[1]）；三是优化研发结构，将62%的研发费用投向大模型领域，推动API调用量年增速超300%[7]。这些措施能否在2025年将研发费用率降至80%以下，将成为观察公司抗风险能力的关键指标。</w:t>
      </w:r>
    </w:p>
    <w:p>
      <w:pPr>
        <w:pStyle w:val="BodyText"/>
      </w:pPr>
      <w:r>
        <w:t xml:space="preserve">引用文献：</w:t>
      </w:r>
      <w:r>
        <w:t xml:space="preserve"> </w:t>
      </w:r>
      <w:r>
        <w:t xml:space="preserve">[1] 东方财富-港股-财务报表: https://emweb.securities.eastmoney.com/PC_HKF10/FinancialAnalysis/index</w:t>
      </w:r>
      <w:r>
        <w:t xml:space="preserve"> </w:t>
      </w:r>
      <w:r>
        <w:t xml:space="preserve">[2] 同花顺-主营介绍: https://basic.10jqka.com.cn/new/000066/operate.html</w:t>
      </w:r>
      <w:r>
        <w:t xml:space="preserve"> </w:t>
      </w:r>
      <w:r>
        <w:t xml:space="preserve">[3] 同花顺-股东信息: https://basic.10jqka.com.cn/HK0020/holder.html</w:t>
      </w:r>
      <w:r>
        <w:t xml:space="preserve"> </w:t>
      </w:r>
      <w:r>
        <w:t xml:space="preserve">[6] IDC中国人工智能软件市场追踪报告</w:t>
      </w:r>
      <w:r>
        <w:t xml:space="preserve"> </w:t>
      </w:r>
      <w:r>
        <w:t xml:space="preserve">[7] 商汤科技2024年大模型应用市场分析报告</w:t>
      </w:r>
    </w:p>
    <w:bookmarkEnd w:id="40"/>
    <w:bookmarkEnd w:id="41"/>
    <w:bookmarkEnd w:id="42"/>
    <w:sectPr w:rsidR="002270F0" w:rsidRPr="002270F0">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qFormat="1"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A0119E"/>
    <w:pPr>
      <w:widowControl w:val="0"/>
      <w:spacing w:after="100" w:afterLines="100"/>
      <w:ind w:left="400" w:leftChars="400"/>
      <w:jc w:val="both"/>
    </w:pPr>
    <w:rPr>
      <w:kern w:val="2"/>
      <w:sz w:val="21"/>
      <w:szCs w:val="24"/>
    </w:rPr>
  </w:style>
  <w:style w:styleId="1" w:type="paragraph">
    <w:name w:val="heading 1"/>
    <w:aliases w:val="Heading 1"/>
    <w:basedOn w:val="a"/>
    <w:next w:val="a"/>
    <w:link w:val="10"/>
    <w:qFormat/>
    <w:rsid w:val="000A1328"/>
    <w:pPr>
      <w:keepNext/>
      <w:keepLines/>
      <w:spacing w:after="0" w:afterLines="0"/>
      <w:jc w:val="center"/>
      <w:outlineLvl w:val="0"/>
    </w:pPr>
    <w:rPr>
      <w:b/>
      <w:bCs/>
      <w:kern w:val="44"/>
      <w:sz w:val="32"/>
      <w:szCs w:val="44"/>
    </w:rPr>
  </w:style>
  <w:style w:styleId="2" w:type="paragraph">
    <w:name w:val="heading 2"/>
    <w:aliases w:val="Heading 2"/>
    <w:basedOn w:val="a"/>
    <w:next w:val="a"/>
    <w:link w:val="20"/>
    <w:unhideWhenUsed/>
    <w:qFormat/>
    <w:rsid w:val="000A1328"/>
    <w:pPr>
      <w:keepNext/>
      <w:keepLines/>
      <w:spacing w:after="0" w:afterLines="0"/>
      <w:outlineLvl w:val="1"/>
    </w:pPr>
    <w:rPr>
      <w:rFonts w:asciiTheme="majorHAnsi" w:cstheme="majorBidi" w:eastAsiaTheme="majorEastAsia" w:hAnsiTheme="majorHAnsi"/>
      <w:b/>
      <w:bCs/>
      <w:color w:themeColor="accent1" w:themeShade="BF" w:val="2D53A0"/>
      <w:sz w:val="28"/>
      <w:szCs w:val="32"/>
    </w:rPr>
  </w:style>
  <w:style w:styleId="3" w:type="paragraph">
    <w:name w:val="heading 3"/>
    <w:aliases w:val="Heading 3"/>
    <w:basedOn w:val="a"/>
    <w:next w:val="a"/>
    <w:link w:val="30"/>
    <w:unhideWhenUsed/>
    <w:qFormat/>
    <w:rsid w:val="000A1328"/>
    <w:pPr>
      <w:keepNext/>
      <w:keepLines/>
      <w:spacing w:after="0" w:afterLines="0"/>
      <w:outlineLvl w:val="2"/>
    </w:pPr>
    <w:rPr>
      <w:b/>
      <w:bCs/>
      <w:color w:themeColor="accent1" w:themeShade="BF" w:val="2D53A0"/>
      <w:sz w:val="24"/>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aliases w:val="Heading 1 字符"/>
    <w:basedOn w:val="a0"/>
    <w:link w:val="1"/>
    <w:rsid w:val="000A1328"/>
    <w:rPr>
      <w:b/>
      <w:bCs/>
      <w:kern w:val="44"/>
      <w:sz w:val="32"/>
      <w:szCs w:val="44"/>
    </w:rPr>
  </w:style>
  <w:style w:customStyle="1" w:styleId="20" w:type="character">
    <w:name w:val="标题 2 字符"/>
    <w:aliases w:val="Heading 2 字符"/>
    <w:basedOn w:val="a0"/>
    <w:link w:val="2"/>
    <w:rsid w:val="000A1328"/>
    <w:rPr>
      <w:rFonts w:asciiTheme="majorHAnsi" w:cstheme="majorBidi" w:eastAsiaTheme="majorEastAsia" w:hAnsiTheme="majorHAnsi"/>
      <w:b/>
      <w:bCs/>
      <w:color w:themeColor="accent1" w:themeShade="BF" w:val="2D53A0"/>
      <w:kern w:val="2"/>
      <w:sz w:val="28"/>
      <w:szCs w:val="32"/>
    </w:rPr>
  </w:style>
  <w:style w:customStyle="1" w:styleId="30" w:type="character">
    <w:name w:val="标题 3 字符"/>
    <w:aliases w:val="Heading 3 字符"/>
    <w:basedOn w:val="a0"/>
    <w:link w:val="3"/>
    <w:rsid w:val="000A1328"/>
    <w:rPr>
      <w:b/>
      <w:bCs/>
      <w:color w:themeColor="accent1" w:themeShade="BF" w:val="2D53A0"/>
      <w:kern w:val="2"/>
      <w:sz w:val="24"/>
      <w:szCs w:val="32"/>
    </w:rPr>
  </w:style>
  <w:style w:customStyle="1" w:styleId="BodyText" w:type="paragraph">
    <w:name w:val="Body Text"/>
    <w:basedOn w:val="a"/>
    <w:link w:val="BodyText0"/>
    <w:qFormat/>
    <w:rsid w:val="00C77BCA"/>
  </w:style>
  <w:style w:customStyle="1" w:styleId="BodyText0" w:type="character">
    <w:name w:val="Body Text 字符"/>
    <w:basedOn w:val="a0"/>
    <w:link w:val="BodyText"/>
    <w:rsid w:val="00C77BCA"/>
    <w:rPr>
      <w:kern w:val="2"/>
      <w:sz w:val="21"/>
      <w:szCs w:val="24"/>
    </w:rPr>
  </w:style>
  <w:style w:styleId="a3" w:type="paragraph">
    <w:name w:val="Title"/>
    <w:basedOn w:val="a"/>
    <w:next w:val="a"/>
    <w:link w:val="a4"/>
    <w:qFormat/>
    <w:rsid w:val="000A1328"/>
    <w:pPr>
      <w:spacing w:after="60" w:before="240"/>
      <w:jc w:val="center"/>
      <w:outlineLvl w:val="0"/>
    </w:pPr>
    <w:rPr>
      <w:rFonts w:asciiTheme="majorHAnsi" w:cstheme="majorBidi" w:eastAsiaTheme="majorEastAsia" w:hAnsiTheme="majorHAnsi"/>
      <w:b/>
      <w:bCs/>
      <w:sz w:val="32"/>
      <w:szCs w:val="32"/>
    </w:rPr>
  </w:style>
  <w:style w:customStyle="1" w:styleId="a4" w:type="character">
    <w:name w:val="标题 字符"/>
    <w:basedOn w:val="a0"/>
    <w:link w:val="a3"/>
    <w:rsid w:val="000A1328"/>
    <w:rPr>
      <w:rFonts w:asciiTheme="majorHAnsi" w:cstheme="majorBidi" w:eastAsiaTheme="majorEastAsia" w:hAnsiTheme="majorHAnsi"/>
      <w:b/>
      <w:bCs/>
      <w:kern w:val="2"/>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0</Words>
  <Characters>3</Characters>
  <Application>Microsoft Office Word</Application>
  <DocSecurity>0</DocSecurity>
  <Lines>1</Lines>
  <Paragraphs>1</Paragraphs>
  <ScaleCrop>false</ScaleCrop>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2025-07-17T03:18:01Z</dcterms:created>
  <dcterms:modified xsi:type="dcterms:W3CDTF">2025-07-17T03:18:01Z</dcterms:modified>
</cp:coreProperties>
</file>

<file path=docProps/custom.xml><?xml version="1.0" encoding="utf-8"?>
<Properties xmlns="http://schemas.openxmlformats.org/officeDocument/2006/custom-properties" xmlns:vt="http://schemas.openxmlformats.org/officeDocument/2006/docPropsVTypes"/>
</file>