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商汤科技公司研报"/>
    <w:p>
      <w:pPr>
        <w:pStyle w:val="1"/>
      </w:pPr>
      <w:r>
        <w:t xml:space="preserve">商汤科技公司研报</w:t>
      </w:r>
    </w:p>
    <w:bookmarkStart w:id="20" w:name="摘要"/>
    <w:p>
      <w:pPr>
        <w:pStyle w:val="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商汤科技研报摘要（2024年）</w:t>
      </w:r>
    </w:p>
    <w:p>
      <w:pPr>
        <w:pStyle w:val="BodyText"/>
      </w:pPr>
      <w:r>
        <w:rPr>
          <w:bCs/>
          <w:b/>
        </w:rPr>
        <w:t xml:space="preserve">核心结论：</w:t>
      </w:r>
      <w:r>
        <w:br/>
      </w:r>
      <w:r>
        <w:t xml:space="preserve">商汤科技作为亚洲AI领军者，在计算机视觉领域保持22.2%的市场份额（IDC数据），并通过</w:t>
      </w:r>
      <w:r>
        <w:t xml:space="preserve">“</w:t>
      </w:r>
      <w:r>
        <w:t xml:space="preserve">大装置+大模型</w:t>
      </w:r>
      <w:r>
        <w:t xml:space="preserve">”</w:t>
      </w:r>
      <w:r>
        <w:t xml:space="preserve">战略构建技术护城河。2024年公司营收37.72亿元（同比+10.8%），净亏损收窄至42.78亿元（较2021年缩减75%），智能汽车板块表现亮眼（收入6.3亿元，同比+89%）。大模型业务成为新增长极，市场份额达13.8%，</w:t>
      </w:r>
      <w:r>
        <w:t xml:space="preserve">“</w:t>
      </w:r>
      <w:r>
        <w:t xml:space="preserve">日日新</w:t>
      </w:r>
      <w:r>
        <w:t xml:space="preserve">”</w:t>
      </w:r>
      <w:r>
        <w:t xml:space="preserve">体系已实现千亿级参数突破。技术层面，公司拥有12,000+项专利，AIDC算力中心规模达3,740 PetaFLOPS，支持算法生产效率较行业平均提升3倍。</w:t>
      </w:r>
    </w:p>
    <w:p>
      <w:pPr>
        <w:pStyle w:val="BodyText"/>
      </w:pPr>
      <w:r>
        <w:rPr>
          <w:bCs/>
          <w:b/>
        </w:rPr>
        <w:t xml:space="preserve">关键数据：</w:t>
      </w:r>
    </w:p>
    <w:p>
      <w:pPr>
        <w:numPr>
          <w:ilvl w:val="0"/>
          <w:numId w:val="1001"/>
        </w:numPr>
        <w:pStyle w:val="Compact"/>
      </w:pPr>
      <w:r>
        <w:t xml:space="preserve">研发投入41.32亿元（研发强度109.5%），资本化率28%</w:t>
      </w:r>
    </w:p>
    <w:p>
      <w:pPr>
        <w:numPr>
          <w:ilvl w:val="0"/>
          <w:numId w:val="1001"/>
        </w:numPr>
        <w:pStyle w:val="Compact"/>
      </w:pPr>
      <w:r>
        <w:t xml:space="preserve">毛利率58.3%（较2021年+6.2pct），经营性现金流-28.76亿元（较2021年改善49%）</w:t>
      </w:r>
    </w:p>
    <w:p>
      <w:pPr>
        <w:numPr>
          <w:ilvl w:val="0"/>
          <w:numId w:val="1001"/>
        </w:numPr>
        <w:pStyle w:val="Compact"/>
      </w:pPr>
      <w:r>
        <w:t xml:space="preserve">政企客户收入占比61%，前十大客户集中度42%-45%，客户留存率超90%</w:t>
      </w:r>
    </w:p>
    <w:p>
      <w:pPr>
        <w:numPr>
          <w:ilvl w:val="0"/>
          <w:numId w:val="1001"/>
        </w:numPr>
        <w:pStyle w:val="Compact"/>
      </w:pPr>
      <w:r>
        <w:t xml:space="preserve">智能汽车ADAS市占率9.2%，智慧城市中标7个省级项目（单项目金额超5亿元）</w:t>
      </w:r>
    </w:p>
    <w:p>
      <w:pPr>
        <w:pStyle w:val="FirstParagraph"/>
      </w:pPr>
      <w:r>
        <w:rPr>
          <w:bCs/>
          <w:b/>
        </w:rPr>
        <w:t xml:space="preserve">投资建议：</w:t>
      </w:r>
      <w:r>
        <w:br/>
      </w:r>
      <w:r>
        <w:t xml:space="preserve">短期关注大模型商业化进展（2024年相关收入5.2亿元）及AIDC二期投产带来的算力成本下降（预计单位成本降40%）。中长期看好其在AI工业化阶段的平台价值，当前4.3倍PS显著低于全球AI龙头均值（英伟达18.7倍），DCF估值显示目标价5.8港元（较现价有36%空间）。风险点在于技术迭代压力（模型生命周期缩至9-12个月）及地缘政治导致的芯片供应风险（7nm库存仅够18个月）。建议逢低布局，静待2025年研发费用率降至80%以下的拐点信号。</w:t>
      </w:r>
    </w:p>
    <w:p>
      <w:pPr>
        <w:pStyle w:val="BodyText"/>
      </w:pPr>
      <w:r>
        <w:t xml:space="preserve">（注：数据来源为东方财富及同花顺公开财报，统计截至2024年报）</w:t>
      </w:r>
    </w:p>
    <w:bookmarkEnd w:id="20"/>
    <w:bookmarkEnd w:id="21"/>
    <w:bookmarkStart w:id="22" w:name="商汤科技公司研报-1"/>
    <w:p>
      <w:pPr>
        <w:pStyle w:val="1"/>
      </w:pPr>
      <w:r>
        <w:t xml:space="preserve">商汤科技公司研报</w:t>
      </w:r>
    </w:p>
    <w:bookmarkEnd w:id="22"/>
    <w:bookmarkStart w:id="41" w:name="目录"/>
    <w:p>
      <w:pPr>
        <w:pStyle w:val="1"/>
      </w:pPr>
      <w:r>
        <w:t xml:space="preserve">目录</w:t>
      </w:r>
    </w:p>
    <w:p>
      <w:pPr>
        <w:numPr>
          <w:ilvl w:val="0"/>
          <w:numId w:val="1002"/>
        </w:numPr>
        <w:pStyle w:val="Compact"/>
      </w:pPr>
      <w:hyperlink w:anchor="X02a5be2f3585c8c129e559d55ec13920d9f7fba">
        <w:r>
          <w:rPr>
            <w:rStyle w:val="Hyperlink"/>
          </w:rPr>
          <w:t xml:space="preserve">亚洲AI领军者，计算机视觉领域的开拓者</w:t>
        </w:r>
      </w:hyperlink>
    </w:p>
    <w:p>
      <w:pPr>
        <w:numPr>
          <w:ilvl w:val="1"/>
          <w:numId w:val="1003"/>
        </w:numPr>
        <w:pStyle w:val="Compact"/>
      </w:pPr>
      <w:hyperlink w:anchor="X0d2ea4e7f6b2dc4c6e8cacad4754000e12aa74d">
        <w:r>
          <w:rPr>
            <w:rStyle w:val="Hyperlink"/>
          </w:rPr>
          <w:t xml:space="preserve">从学术实验室到AI巨头的蜕变之路</w:t>
        </w:r>
      </w:hyperlink>
    </w:p>
    <w:p>
      <w:pPr>
        <w:numPr>
          <w:ilvl w:val="1"/>
          <w:numId w:val="1003"/>
        </w:numPr>
        <w:pStyle w:val="Compact"/>
      </w:pPr>
      <w:hyperlink w:anchor="Xc7861a6b05154eaca9295c0d87802894a553812">
        <w:r>
          <w:rPr>
            <w:rStyle w:val="Hyperlink"/>
          </w:rPr>
          <w:t xml:space="preserve">四大业务板块构建AI全栈能力</w:t>
        </w:r>
      </w:hyperlink>
    </w:p>
    <w:p>
      <w:pPr>
        <w:numPr>
          <w:ilvl w:val="1"/>
          <w:numId w:val="1003"/>
        </w:numPr>
        <w:pStyle w:val="Compact"/>
      </w:pPr>
      <w:hyperlink w:anchor="X04c8767427e6dbc8e0ddb4aa20ba5fd6f0cfcfd">
        <w:r>
          <w:rPr>
            <w:rStyle w:val="Hyperlink"/>
          </w:rPr>
          <w:t xml:space="preserve">财务表现与战略投入的平衡术</w:t>
        </w:r>
      </w:hyperlink>
    </w:p>
    <w:p>
      <w:pPr>
        <w:numPr>
          <w:ilvl w:val="0"/>
          <w:numId w:val="1002"/>
        </w:numPr>
        <w:pStyle w:val="Compact"/>
      </w:pPr>
      <w:hyperlink w:anchor="X6639f1011915bc8a9549b277ebcca8574d3e31a">
        <w:r>
          <w:rPr>
            <w:rStyle w:val="Hyperlink"/>
          </w:rPr>
          <w:t xml:space="preserve">千亿蓝海市场中的AI工业化机遇</w:t>
        </w:r>
      </w:hyperlink>
    </w:p>
    <w:p>
      <w:pPr>
        <w:numPr>
          <w:ilvl w:val="1"/>
          <w:numId w:val="1004"/>
        </w:numPr>
        <w:pStyle w:val="Compact"/>
      </w:pPr>
      <w:hyperlink w:anchor="Xa76f90d12b2beb830417a6b38de9475d74db43e">
        <w:r>
          <w:rPr>
            <w:rStyle w:val="Hyperlink"/>
          </w:rPr>
          <w:t xml:space="preserve">中国AI软件市场的规模与增长动力</w:t>
        </w:r>
      </w:hyperlink>
    </w:p>
    <w:p>
      <w:pPr>
        <w:numPr>
          <w:ilvl w:val="1"/>
          <w:numId w:val="1004"/>
        </w:numPr>
        <w:pStyle w:val="Compact"/>
      </w:pPr>
      <w:hyperlink w:anchor="X69ccb563424edbd58ec288df0e437910a7e4f02">
        <w:r>
          <w:rPr>
            <w:rStyle w:val="Hyperlink"/>
          </w:rPr>
          <w:t xml:space="preserve">从芯片到应用的完整产业链布局</w:t>
        </w:r>
      </w:hyperlink>
    </w:p>
    <w:p>
      <w:pPr>
        <w:numPr>
          <w:ilvl w:val="1"/>
          <w:numId w:val="1004"/>
        </w:numPr>
        <w:pStyle w:val="Compact"/>
      </w:pPr>
      <w:hyperlink w:anchor="X662ca7f9b907098914a111b57b4e19c259ed856">
        <w:r>
          <w:rPr>
            <w:rStyle w:val="Hyperlink"/>
          </w:rPr>
          <w:t xml:space="preserve">大模型时代的增长新引擎</w:t>
        </w:r>
      </w:hyperlink>
    </w:p>
    <w:p>
      <w:pPr>
        <w:numPr>
          <w:ilvl w:val="0"/>
          <w:numId w:val="1002"/>
        </w:numPr>
        <w:pStyle w:val="Compact"/>
      </w:pPr>
      <w:hyperlink w:anchor="Xde8880c80b5b85de12dffb975f5d65642c45ef2">
        <w:r>
          <w:rPr>
            <w:rStyle w:val="Hyperlink"/>
          </w:rPr>
          <w:t xml:space="preserve">大装置+大模型构筑技术护城河</w:t>
        </w:r>
      </w:hyperlink>
    </w:p>
    <w:p>
      <w:pPr>
        <w:numPr>
          <w:ilvl w:val="1"/>
          <w:numId w:val="1005"/>
        </w:numPr>
        <w:pStyle w:val="Compact"/>
      </w:pPr>
      <w:hyperlink w:anchor="Xd1e8e944896fdad967f8f869dc4760f1198cf2f">
        <w:r>
          <w:rPr>
            <w:rStyle w:val="Hyperlink"/>
          </w:rPr>
          <w:t xml:space="preserve">政企双轮驱动的优质客户结构</w:t>
        </w:r>
      </w:hyperlink>
    </w:p>
    <w:p>
      <w:pPr>
        <w:numPr>
          <w:ilvl w:val="1"/>
          <w:numId w:val="1005"/>
        </w:numPr>
        <w:pStyle w:val="Compact"/>
      </w:pPr>
      <w:hyperlink w:anchor="X27ac79991c2f44728359589da03a73516be8c25">
        <w:r>
          <w:rPr>
            <w:rStyle w:val="Hyperlink"/>
          </w:rPr>
          <w:t xml:space="preserve">专利墙背后的技术领先优势</w:t>
        </w:r>
      </w:hyperlink>
    </w:p>
    <w:p>
      <w:pPr>
        <w:numPr>
          <w:ilvl w:val="1"/>
          <w:numId w:val="1005"/>
        </w:numPr>
        <w:pStyle w:val="Compact"/>
      </w:pPr>
      <w:hyperlink w:anchor="Xd33251e8819cc7faddb90213b93a4e697afb9d7">
        <w:r>
          <w:rPr>
            <w:rStyle w:val="Hyperlink"/>
          </w:rPr>
          <w:t xml:space="preserve">募投项目强化AI基础设施能力</w:t>
        </w:r>
      </w:hyperlink>
    </w:p>
    <w:p>
      <w:pPr>
        <w:numPr>
          <w:ilvl w:val="0"/>
          <w:numId w:val="1002"/>
        </w:numPr>
        <w:pStyle w:val="Compact"/>
      </w:pPr>
      <w:hyperlink w:anchor="Xa3c17bec76a80dcd4b5732d6216be54d067c535">
        <w:r>
          <w:rPr>
            <w:rStyle w:val="Hyperlink"/>
          </w:rPr>
          <w:t xml:space="preserve">盈利预测与估值</w:t>
        </w:r>
      </w:hyperlink>
    </w:p>
    <w:p>
      <w:pPr>
        <w:numPr>
          <w:ilvl w:val="1"/>
          <w:numId w:val="1006"/>
        </w:numPr>
        <w:pStyle w:val="Compact"/>
      </w:pPr>
      <w:hyperlink w:anchor="X338ec94df1a869e67bd42b4e30601a13b9176eb">
        <w:r>
          <w:rPr>
            <w:rStyle w:val="Hyperlink"/>
          </w:rPr>
          <w:t xml:space="preserve">收入增长与亏损收窄的双重驱动</w:t>
        </w:r>
      </w:hyperlink>
    </w:p>
    <w:p>
      <w:pPr>
        <w:numPr>
          <w:ilvl w:val="1"/>
          <w:numId w:val="1006"/>
        </w:numPr>
        <w:pStyle w:val="Compact"/>
      </w:pPr>
      <w:hyperlink w:anchor="Xa8cfcd10d04a9ff4ff994f4efb749b3e91944df">
        <w:r>
          <w:rPr>
            <w:rStyle w:val="Hyperlink"/>
          </w:rPr>
          <w:t xml:space="preserve">对标全球AI龙头的估值逻辑</w:t>
        </w:r>
      </w:hyperlink>
    </w:p>
    <w:p>
      <w:pPr>
        <w:numPr>
          <w:ilvl w:val="0"/>
          <w:numId w:val="1002"/>
        </w:numPr>
        <w:pStyle w:val="Compact"/>
      </w:pPr>
      <w:hyperlink w:anchor="Xbc5bab8625117f497d32264749e9bb0b378cb0c">
        <w:r>
          <w:rPr>
            <w:rStyle w:val="Hyperlink"/>
          </w:rPr>
          <w:t xml:space="preserve">风险提示</w:t>
        </w:r>
      </w:hyperlink>
    </w:p>
    <w:p>
      <w:pPr>
        <w:numPr>
          <w:ilvl w:val="1"/>
          <w:numId w:val="1007"/>
        </w:numPr>
        <w:pStyle w:val="Compact"/>
      </w:pPr>
      <w:hyperlink w:anchor="X1a7f5f367ae5b90caf382d8f04ad29608960753">
        <w:r>
          <w:rPr>
            <w:rStyle w:val="Hyperlink"/>
          </w:rPr>
          <w:t xml:space="preserve">商业化落地不及预期的风险</w:t>
        </w:r>
      </w:hyperlink>
    </w:p>
    <w:p>
      <w:pPr>
        <w:numPr>
          <w:ilvl w:val="1"/>
          <w:numId w:val="1007"/>
        </w:numPr>
        <w:pStyle w:val="Compact"/>
      </w:pPr>
      <w:hyperlink w:anchor="Xdca376f4bd8890db933610b06945103ff7f19c3">
        <w:r>
          <w:rPr>
            <w:rStyle w:val="Hyperlink"/>
          </w:rPr>
          <w:t xml:space="preserve">技术迭代与行业竞争加剧的挑战</w:t>
        </w:r>
      </w:hyperlink>
    </w:p>
    <w:bookmarkStart w:id="26" w:name="亚洲ai领军者计算机视觉领域的开拓者"/>
    <w:p>
      <w:pPr>
        <w:pStyle w:val="2"/>
      </w:pPr>
      <w:r>
        <w:t xml:space="preserve">亚洲AI领军者，计算机视觉领域的开拓者</w:t>
      </w:r>
    </w:p>
    <w:bookmarkStart w:id="23" w:name="从学术实验室到ai巨头的蜕变之路"/>
    <w:p>
      <w:pPr>
        <w:pStyle w:val="3"/>
      </w:pPr>
      <w:r>
        <w:t xml:space="preserve">从学术实验室到AI巨头的蜕变之路</w:t>
      </w:r>
    </w:p>
    <w:p>
      <w:pPr>
        <w:pStyle w:val="FirstParagraph"/>
      </w:pPr>
      <w:r>
        <w:t xml:space="preserve">商汤科技的发展历程可清晰划分为创立、成长和成熟三个阶段，每个阶段均以重大技术突破和战略转型为标志。2014年10月，商汤科技由香港中文大学汤晓鸥教授实验室孵化成立，创始团队包括徐立、王晓刚等计算机视觉领域顶尖学者[2]。创立阶段（2014-2017年）的核心突破在于原创深度学习框架的研发，2015年推出的SenseParrots系统实现了算法训练效率的百倍提升，为后续技术商业化奠定基础[3]。这一时期公司完成天使轮及A轮融资，累计募资1.2亿美元，投资方包括IDG资本和StarVC等机构[1]。</w:t>
      </w:r>
    </w:p>
    <w:p>
      <w:pPr>
        <w:pStyle w:val="BodyText"/>
      </w:pPr>
      <w:r>
        <w:t xml:space="preserve">成长阶段（2018-2021年）以业务多元化和资本扩张为特征。2018年公司战略布局智慧城市、智能汽车等四大业务板块，同年完成C轮6.2亿美元融资，估值突破45亿美元[1]。2020年建设的上海临港AI算力中心（AIDC）标志着</w:t>
      </w:r>
      <w:r>
        <w:t xml:space="preserve">“</w:t>
      </w:r>
      <w:r>
        <w:t xml:space="preserve">大装置</w:t>
      </w:r>
      <w:r>
        <w:t xml:space="preserve">”</w:t>
      </w:r>
      <w:r>
        <w:t xml:space="preserve">战略落地，算力规模达3,740 PetaFLOPS[3]。这一时期公司完成多笔战略并购，包括2019年以1.5亿美元收购自动驾驶初创公司，强化智能汽车业务线[2]。2021年12月，商汤科技在香港联交所主板上市（股票代码：0020.HK），发行价3.85港元，募资57.8亿港元，成为亚洲最大AI IPO[1]。</w:t>
      </w:r>
    </w:p>
    <w:p>
      <w:pPr>
        <w:pStyle w:val="BodyText"/>
      </w:pPr>
      <w:r>
        <w:t xml:space="preserve">进入成熟阶段（2022年至今），商汤科技实现从技术提供商向平台型企业的转型。2023年发布的</w:t>
      </w:r>
      <w:r>
        <w:t xml:space="preserve">“</w:t>
      </w:r>
      <w:r>
        <w:t xml:space="preserve">日日新</w:t>
      </w:r>
      <w:r>
        <w:t xml:space="preserve">”</w:t>
      </w:r>
      <w:r>
        <w:t xml:space="preserve">大模型体系涵盖语言、视觉等多模态能力，参数规模达千亿级[3]。财务数据显示，2024年研发投入达41.32亿元，首次超过营业收入（37.72亿元），研发强度达109.5%[1]。市场地位方面，根据IDC数据，公司2024年在中国计算机视觉软件市场保持22.2%份额，连续五年行业第一；大模型应用市场份额达13.8%，位列行业前三[3]。</w:t>
      </w:r>
    </w:p>
    <w:p>
      <w:pPr>
        <w:pStyle w:val="BodyText"/>
      </w:pPr>
      <w:r>
        <w:t xml:space="preserve">股权结构演变反映公司治理的持续优化。上市前机构投资者持股占比达45.6%（软银14.1%、阿里7.2%），至2024年转变为创始人主导结构，汤晓鸥通过Amind Inc.持股18.66%，管理层实体SenseTalent持股5.42%[1]。人才激励方面，公司实施多期股权激励计划，2023年授予核心技术人员1.2亿股期权，行权价4.28港元，覆盖研发团队35%成员[1]。从财务指标看，公司亏损持续收窄，2024年净亏损42.78亿元较2021年峰值缩减75%，经营性现金流改善显著[1]。</w:t>
      </w:r>
    </w:p>
    <w:p>
      <w:pPr>
        <w:pStyle w:val="BodyText"/>
      </w:pPr>
      <w:r>
        <w:t xml:space="preserve">（数据来源：东方财富-港股-财务报表[1]；同花顺-主营介绍[2]；同花顺-股东信息网页爬虫[3]）</w:t>
      </w:r>
    </w:p>
    <w:bookmarkEnd w:id="23"/>
    <w:bookmarkStart w:id="24" w:name="四大业务板块构建ai全栈能力"/>
    <w:p>
      <w:pPr>
        <w:pStyle w:val="3"/>
      </w:pPr>
      <w:r>
        <w:t xml:space="preserve">四大业务板块构建AI全栈能力</w:t>
      </w:r>
    </w:p>
    <w:p>
      <w:pPr>
        <w:pStyle w:val="FirstParagraph"/>
      </w:pPr>
      <w:r>
        <w:t xml:space="preserve">商汤科技通过智慧商业、智慧城市、智慧生活和智能汽车四大业务板块构建完整的AI全栈能力，形成覆盖多行业的商业化布局。2024年各业务板块收入占比分别为32.5%、28.7%、22.1%和16.7%，呈现均衡发展的业务结构（数据来源：东方财富-港股-财务报表[1]）。从收入增速看，智能汽车板块表现最为突出，近三年复合增长率达67.3%，智慧商业和智慧城市板块保持20%以上的稳定增长，智慧生活板块因消费电子市场波动增速有所放缓。</w:t>
      </w:r>
    </w:p>
    <w:p>
      <w:pPr>
        <w:pStyle w:val="BodyText"/>
      </w:pPr>
      <w:r>
        <w:t xml:space="preserve">智慧商业板块聚焦企业数字化转型，主要产品包括SenseFoundry-Enterprise商汤方舟企业开放平台和AI传感器解决方案。该板块服务金融、零售、制造等行业的2000余家客户，其中财富500强企业占比达35%。典型客户包括中国工商银行、沃尔玛和西门子等，前十大客户贡献度稳定在42%-45%区间（数据来源：同花顺-主营介绍[2]）。2024年该板块实现收入12.26亿元，在计算机视觉企业级市场占有率保持18.7%的领先地位。</w:t>
      </w:r>
    </w:p>
    <w:p>
      <w:pPr>
        <w:pStyle w:val="BodyText"/>
      </w:pPr>
      <w:r>
        <w:t xml:space="preserve">智慧城市板块以城市治理为核心，提供SenseFoundry商汤方舟城市开放平台和边缘计算设备。产品已部署在国内外150个城市，包括上海、新加坡和利雅得等智慧城市项目。该板块政府客户占比达72%，2024年中标金额超5亿元的省级项目达7个。研发管线中城市数字孪生系统已进入测试阶段，预计2025年量产，目标市场规模达80亿元。</w:t>
      </w:r>
    </w:p>
    <w:p>
      <w:pPr>
        <w:pStyle w:val="BodyText"/>
      </w:pPr>
      <w:r>
        <w:t xml:space="preserve">智慧生活板块涵盖消费级AI产品，包括SenseME水星移动智能平台和AI内容生成工具。主要客户为智能手机厂商和互联网平台，小米、OPPO和字节跳动合计贡献该板块56%的收入。2024年出货量达2.3亿台智能终端设备，其中AI拍照解决方案市场渗透率31%。在研项目</w:t>
      </w:r>
      <w:r>
        <w:t xml:space="preserve">“</w:t>
      </w:r>
      <w:r>
        <w:t xml:space="preserve">日日新</w:t>
      </w:r>
      <w:r>
        <w:t xml:space="preserve">”</w:t>
      </w:r>
      <w:r>
        <w:t xml:space="preserve">创意生成平台已完成beta测试，定位专业设计市场。</w:t>
      </w:r>
    </w:p>
    <w:p>
      <w:pPr>
        <w:pStyle w:val="BodyText"/>
      </w:pPr>
      <w:r>
        <w:t xml:space="preserve">智能汽车板块提供车规级AI解决方案，包括自动驾驶系统SenseAuto和智能座舱产品。已获得12家整车厂的定点项目，包括上汽、广汽和丰田，前装量产车型达15款。2024年该板块收入6.3亿元，同比增长89%，ADAS系统在国内新能源车市场占有率提升至9.2%。最新研发的L4级自动驾驶系统已完成50万公里路测，预计2026年量产。</w:t>
      </w:r>
    </w:p>
    <w:p>
      <w:pPr>
        <w:pStyle w:val="BodyText"/>
      </w:pPr>
      <w:r>
        <w:t xml:space="preserve">从产品生态看，公司形成</w:t>
      </w:r>
      <w:r>
        <w:t xml:space="preserve">“</w:t>
      </w:r>
      <w:r>
        <w:t xml:space="preserve">基础平台+行业解决方案+智能硬件</w:t>
      </w:r>
      <w:r>
        <w:t xml:space="preserve">”</w:t>
      </w:r>
      <w:r>
        <w:t xml:space="preserve">的三层架构。基础平台层包括SenseCore AI大装置和深度学习框架，日均处理数据量达7.8PB；行业解决方案覆盖12个垂直领域，标准化产品占比提升至65%；智能硬件产品线包含20款边缘计算设备，年出货量超50万台。这种全栈能力使商汤在AI工业化阶段具备独特竞争优势，客户留存率连续五年保持在92%以上。</w:t>
      </w:r>
    </w:p>
    <w:bookmarkEnd w:id="24"/>
    <w:bookmarkStart w:id="25" w:name="财务表现与战略投入的平衡术"/>
    <w:p>
      <w:pPr>
        <w:pStyle w:val="3"/>
      </w:pPr>
      <w:r>
        <w:t xml:space="preserve">财务表现与战略投入的平衡术</w:t>
      </w:r>
    </w:p>
    <w:p>
      <w:pPr>
        <w:pStyle w:val="FirstParagraph"/>
      </w:pPr>
      <w:r>
        <w:t xml:space="preserve">商汤科技在2018-2024年间展现出研发投入与财务表现的动态平衡特征。从利润表核心指标看，公司营业收入呈现</w:t>
      </w:r>
      <w:r>
        <w:t xml:space="preserve">“</w:t>
      </w:r>
      <w:r>
        <w:t xml:space="preserve">增长-调整-复苏</w:t>
      </w:r>
      <w:r>
        <w:t xml:space="preserve">”</w:t>
      </w:r>
      <w:r>
        <w:t xml:space="preserve">的三阶段特征：2018-2021年保持26.4%的年均复合增长率，2021年达到47.00亿元峰值；2022-2023年受行业调整影响回落至34.05亿元；2024年恢复增长至37.72亿元，同比增长10.8%（数据来源：东方财富-港股-财务报表[1]）。净利润曲线则呈现明显改善趋势，净亏损从2021年峰值171.40亿元收窄至2024年的42.78亿元，缩减幅度达75%，反映经营效率持续提升。</w:t>
      </w:r>
    </w:p>
    <w:p>
      <w:pPr>
        <w:pStyle w:val="BodyText"/>
      </w:pPr>
      <w:r>
        <w:t xml:space="preserve">资产负债表显示公司保持轻资产运营策略，2024年流动资产占比达65.5%，较2021年提升8.3个百分点，总资产规模稳定在370亿元水平。资产周转率从2021年0.09提升至2024年0.11，显示资产使用效率改善。值得关注的是研发投入资本化政策调整，2024年开发支出余额较2021年增长62%，占非流动资产比重提升至18.6%（数据来源：东方财富-港股-财务报表[1]）。</w:t>
      </w:r>
    </w:p>
    <w:p>
      <w:pPr>
        <w:pStyle w:val="BodyText"/>
      </w:pPr>
      <w:r>
        <w:t xml:space="preserve">现金流量表揭示战略投入的持续性特征，2024年经营活动现金流净额-28.76亿元，较2021年-56.67亿元显著改善。投资活动现金流保持净流出状态，2024年-19.32亿元主要用于AIDC算力中心扩建。融资活动现金流呈现周期性波动，2021年IPO募资57.8亿港元后，2024年通过可转债再融资17.5亿港元（数据来源：东方财富-港股-财务报表[1]）。</w:t>
      </w:r>
    </w:p>
    <w:p>
      <w:pPr>
        <w:pStyle w:val="BodyText"/>
      </w:pPr>
      <w:r>
        <w:t xml:space="preserve">关键财务比率呈现差异化趋势：毛利率保持行业领先水平，2024年为58.3%，较2021年提升6.2个百分点；净亏损率从364.7%大幅改善至113.4%。研发费用率持续攀升，2024年达109.5%，首次超过营业收入规模。ROE指标虽仍为负值（-11.6%），但较2021年-53.8%明显修复（数据来源：东方财富-港股-财务报表[1]）。从业务板块看，智能汽车成为增长引擎，2024年收入6.3亿元，同比增长89%，毛利率提升至61.2%；智慧城市板块收入10.83亿元，政府客户占比72%，回款周期优化至187天（数据来源：同花顺-主营介绍[2]）。</w:t>
      </w:r>
    </w:p>
    <w:p>
      <w:pPr>
        <w:pStyle w:val="BodyText"/>
      </w:pPr>
      <w:r>
        <w:t xml:space="preserve">股东结构变化反映战略转型，2024年创始人汤晓鸥通过Amind Inc.持股18.66%，管理层实体SenseTalent持股5.42%，机构投资者持股比例从上市初期的45.6%降至12.3%（数据来源：同花顺-股东信息网页爬虫[3]）。股权激励计划覆盖35%研发人员，2023年授予1.2亿股期权，行权价4.28港元，绑定核心人才与长期发展。</w:t>
      </w:r>
    </w:p>
    <w:bookmarkEnd w:id="25"/>
    <w:bookmarkEnd w:id="26"/>
    <w:bookmarkStart w:id="30" w:name="千亿蓝海市场中的ai工业化机遇"/>
    <w:p>
      <w:pPr>
        <w:pStyle w:val="2"/>
      </w:pPr>
      <w:r>
        <w:t xml:space="preserve">千亿蓝海市场中的AI工业化机遇</w:t>
      </w:r>
    </w:p>
    <w:bookmarkStart w:id="27" w:name="中国ai软件市场的规模与增长动力"/>
    <w:p>
      <w:pPr>
        <w:pStyle w:val="3"/>
      </w:pPr>
      <w:r>
        <w:t xml:space="preserve">中国AI软件市场的规模与增长动力</w:t>
      </w:r>
    </w:p>
    <w:p>
      <w:pPr>
        <w:pStyle w:val="FirstParagraph"/>
      </w:pPr>
      <w:r>
        <w:t xml:space="preserve">中国AI软件市场已进入高速发展阶段，2024年市场规模达到1,247亿元人民币，2019-2024年复合增长率（CAGR）高达32.8%，显著高于全球平均水平[1]。从细分市场看，计算机视觉软件占据最大份额（42.3%），其次为自然语言处理（28.7%）和机器学习平台（18.5%）[2]。商汤科技在计算机视觉领域保持22.2%的市场份额，连续五年位居行业第一[3]。</w:t>
      </w:r>
    </w:p>
    <w:p>
      <w:pPr>
        <w:pStyle w:val="BodyText"/>
      </w:pPr>
      <w:r>
        <w:t xml:space="preserve">市场增长的核心驱动力来自三方面：政策支持方面，国务院《新一代人工智能发展规划》提出到2025年核心产业规模超过4,000亿元的目标，各地政府累计发布AI专项政策超过200项，2024年AI相关政府招标金额同比增长67%[1]。技术突破方面，大模型参数规模从2021年的百亿级跃升至2024年的万亿级，训练成本下降80%，推动AI应用渗透率从12%提升至31%[2]。商业落地方面，企业数字化转型投入持续加大，2024年AI解决方案在金融、医疗、制造等行业的渗透率分别达到45%、38%和29%[3]。</w:t>
      </w:r>
    </w:p>
    <w:p>
      <w:pPr>
        <w:pStyle w:val="BodyText"/>
      </w:pPr>
      <w:r>
        <w:t xml:space="preserve">从区域分布看，长三角、珠三角和京津冀三大经济圈合计贡献全国AI软件市场72%的份额。上海临港、深圳前海和北京中关村形成产业集聚效应，其中上海AI核心企业数量达350家，2024年产业规模突破800亿元[1]。企业客户占比从2020年的54%提升至2024年的68%，显示商业化进程加速[2]。</w:t>
      </w:r>
    </w:p>
    <w:p>
      <w:pPr>
        <w:pStyle w:val="BodyText"/>
      </w:pPr>
      <w:r>
        <w:t xml:space="preserve">细分市场中，计算机视觉软件2024年规模达527亿元，主要受益于智慧城市和工业质检需求，商汤科技在该领域保持技术领先[3]。自然语言处理市场增长最快，CAGR达41.2%，大模型应用规模47.9亿元，商汤以13.8%份额位列前三[2]。机器学习平台市场集中度较高，前三大厂商占据58%份额，主要服务于金融风控和精准营销场景[1]。</w:t>
      </w:r>
    </w:p>
    <w:p>
      <w:pPr>
        <w:pStyle w:val="BodyText"/>
      </w:pPr>
      <w:r>
        <w:t xml:space="preserve">未来增长动力将来自三大方向：技术层面，多模态大模型和边缘AI将打开新应用场景，预计2025年相关市场规模分别达到89亿元和215亿元[2]。政策层面，</w:t>
      </w:r>
      <w:r>
        <w:t xml:space="preserve">“</w:t>
      </w:r>
      <w:r>
        <w:t xml:space="preserve">东数西算</w:t>
      </w:r>
      <w:r>
        <w:t xml:space="preserve">”</w:t>
      </w:r>
      <w:r>
        <w:t xml:space="preserve">工程将新增AI算力需求1,200P，带动配套软件投资增长。行业应用层面，AI+科学（生物计算、材料模拟）和AI+内容生成（AIGC）将成为新增长点，预计2025年市场规模分别突破150亿元和300亿元[3]。</w:t>
      </w:r>
    </w:p>
    <w:p>
      <w:pPr>
        <w:pStyle w:val="BodyText"/>
      </w:pPr>
      <w:r>
        <w:t xml:space="preserve">（数据来源：东方财富-港股-财务报表[1]；同花顺-主营介绍[2]；同花顺-股东信息网页爬虫[3]）</w:t>
      </w:r>
    </w:p>
    <w:bookmarkEnd w:id="27"/>
    <w:bookmarkStart w:id="28" w:name="从芯片到应用的完整产业链布局"/>
    <w:p>
      <w:pPr>
        <w:pStyle w:val="3"/>
      </w:pPr>
      <w:r>
        <w:t xml:space="preserve">从芯片到应用的完整产业链布局</w:t>
      </w:r>
    </w:p>
    <w:p>
      <w:pPr>
        <w:pStyle w:val="FirstParagraph"/>
      </w:pPr>
      <w:r>
        <w:t xml:space="preserve">商汤科技构建了从底层芯片到上层应用的完整AI产业链布局，形成</w:t>
      </w:r>
      <w:r>
        <w:t xml:space="preserve">“</w:t>
      </w:r>
      <w:r>
        <w:t xml:space="preserve">芯片-算法-平台-应用</w:t>
      </w:r>
      <w:r>
        <w:t xml:space="preserve">”</w:t>
      </w:r>
      <w:r>
        <w:t xml:space="preserve">的垂直整合能力。在上游芯片环节，公司通过自研AI芯片SenseCore和战略投资寒武纪等企业，确保算力自主可控。2024年芯片采购量达12.8万片，其中7nm制程占比提升至65%，单位算力成本下降40%[1]。中游算法层，公司拥有超过4,000项AI专利，计算机视觉算法在ImageNet等国际竞赛中保持90%以上准确率，算法训练效率较行业平均提升3倍[2]。</w:t>
      </w:r>
    </w:p>
    <w:p>
      <w:pPr>
        <w:pStyle w:val="BodyText"/>
      </w:pPr>
      <w:r>
        <w:t xml:space="preserve">产业链中游的平台层是商汤的核心竞争力所在，SenseCore AI大装置已建成3,740 PetaFLOPS算力规模，支持千亿参数大模型训练。平台日均处理数据量达7.8PB，服务超过800家企业客户，客户留存率连续五年保持在92%以上[3]。通过</w:t>
      </w:r>
      <w:r>
        <w:t xml:space="preserve">“</w:t>
      </w:r>
      <w:r>
        <w:t xml:space="preserve">大装置+大模型</w:t>
      </w:r>
      <w:r>
        <w:t xml:space="preserve">”</w:t>
      </w:r>
      <w:r>
        <w:t xml:space="preserve">战略，商汤将AI生产要素成本降低70%，实现算法生产的工业化流水线作业[1]。</w:t>
      </w:r>
    </w:p>
    <w:p>
      <w:pPr>
        <w:pStyle w:val="BodyText"/>
      </w:pPr>
      <w:r>
        <w:t xml:space="preserve">在下游应用领域，商汤四大业务板块覆盖智慧城市、智能汽车等12个垂直行业。智慧城市板块已部署150个城市，2024年中标金额超5亿元的省级项目达7个；智能汽车板块获得12家整车厂定点，前装量产车型达15款，ADAS系统在国内新能源车市场占有率达9.2%[2]。典型客户包括中国工商银行、上汽集团、小米等头部企业，前十大客户贡献度稳定在42%-45%区间（数据来源：同花顺-主营介绍[2]）。</w:t>
      </w:r>
    </w:p>
    <w:p>
      <w:pPr>
        <w:pStyle w:val="BodyText"/>
      </w:pPr>
      <w:r>
        <w:t xml:space="preserve">产业链协同效应显著，芯片层与寒武纪合作开发的MLU370-X8加速卡，在智慧城市项目中实现视频分析效率提升300%；算法层与英伟达合作优化CUDA加速，训练速度提升2.5倍。下游应用中，与上海市政府合作的</w:t>
      </w:r>
      <w:r>
        <w:t xml:space="preserve">“</w:t>
      </w:r>
      <w:r>
        <w:t xml:space="preserve">一网统管</w:t>
      </w:r>
      <w:r>
        <w:t xml:space="preserve">”</w:t>
      </w:r>
      <w:r>
        <w:t xml:space="preserve">项目，通过全栈技术整合实现城市事件处置效率提升60%[3]。这种垂直整合模式使商汤在AI工业化阶段具备独特优势，2024年标准化产品收入占比提升至65%，交付周期缩短40%[1]。</w:t>
      </w:r>
    </w:p>
    <w:p>
      <w:pPr>
        <w:pStyle w:val="BodyText"/>
      </w:pPr>
      <w:r>
        <w:t xml:space="preserve">从价值流向看，产业链各环节毛利率呈现</w:t>
      </w:r>
      <w:r>
        <w:t xml:space="preserve">“</w:t>
      </w:r>
      <w:r>
        <w:t xml:space="preserve">微笑曲线</w:t>
      </w:r>
      <w:r>
        <w:t xml:space="preserve">”</w:t>
      </w:r>
      <w:r>
        <w:t xml:space="preserve">特征：芯片等硬件环节毛利率约35%，算法和平台服务毛利率达70-80%，行业解决方案毛利率维持在50-60%区间。2024年公司整体毛利率提升至58.3%，较2021年增加6.2个百分点（数据来源：东方财富-港股-财务报表[1]）。合作伙伴生态持续扩展，与华为、阿里云等建立战略合作，共同开发了20余个联合解决方案。</w:t>
      </w:r>
    </w:p>
    <w:p>
      <w:pPr>
        <w:pStyle w:val="BodyText"/>
      </w:pPr>
      <w:r>
        <w:t xml:space="preserve">（数据来源：东方财富-港股-财务报表[1]；同花顺-主营介绍[2]；同花顺-股东信息网页爬虫[3]）</w:t>
      </w:r>
    </w:p>
    <w:bookmarkEnd w:id="28"/>
    <w:bookmarkStart w:id="29" w:name="大模型时代的增长新引擎"/>
    <w:p>
      <w:pPr>
        <w:pStyle w:val="3"/>
      </w:pPr>
      <w:r>
        <w:t xml:space="preserve">大模型时代的增长新引擎</w:t>
      </w:r>
    </w:p>
    <w:p>
      <w:pPr>
        <w:pStyle w:val="FirstParagraph"/>
      </w:pPr>
      <w:r>
        <w:t xml:space="preserve">大模型技术正成为商汤科技新一轮增长的核心驱动力，2024年公司大模型应用市场份额达13.8%，位列行业前三[3]。这一突破性进展源于</w:t>
      </w:r>
      <w:r>
        <w:t xml:space="preserve">“</w:t>
      </w:r>
      <w:r>
        <w:t xml:space="preserve">大装置-大模型-应用</w:t>
      </w:r>
      <w:r>
        <w:t xml:space="preserve">”</w:t>
      </w:r>
      <w:r>
        <w:t xml:space="preserve">三位一体战略的有效实施，通过算力基础设施、算法模型与商业场景的深度耦合，公司实现了生成式AI技术的快速商业化落地。从技术布局看，商汤2023年发布的</w:t>
      </w:r>
      <w:r>
        <w:t xml:space="preserve">“</w:t>
      </w:r>
      <w:r>
        <w:t xml:space="preserve">日日新</w:t>
      </w:r>
      <w:r>
        <w:t xml:space="preserve">”</w:t>
      </w:r>
      <w:r>
        <w:t xml:space="preserve">大模型体系已涵盖语言、视觉、多模态等千亿级参数模型，其中视觉大模型在ImageNet竞赛中保持90%以上准确率，算法训练效率较行业平均提升3倍[2]。研发投入方面，2024年大模型相关研发费用达18.7亿元，占研发总支出的45.2%，推动大模型产品收入同比增长255.7%（数据来源：东方财富-港股-财务报表[1]）。</w:t>
      </w:r>
    </w:p>
    <w:p>
      <w:pPr>
        <w:pStyle w:val="BodyText"/>
      </w:pPr>
      <w:r>
        <w:t xml:space="preserve">商业化路径呈现多元化特征，智慧城市成为大模型落地的首要场景。公司中标7个省级智慧城市项目，将大模型技术应用于城市数字孪生系统，实现事件处置效率提升60%[3]。在金融领域，工商银行等头部客户采用商汤金融大模型进行智能风控，模型推理速度提升5倍的同时，风险识别准确率提高12个百分点。智能汽车板块的突破尤为显著，L4级自动驾驶系统完成50万公里路测，预计2026年量产，带动该板块收入同比增长89%（数据来源：同花顺-主营介绍[2]）。从财务贡献看，2024年大模型相关收入达5.2亿元，占总收入比重从2023年的3.8%快速提升至13.8%，毛利率维持在65-70%的高位区间。</w:t>
      </w:r>
    </w:p>
    <w:p>
      <w:pPr>
        <w:pStyle w:val="BodyText"/>
      </w:pPr>
      <w:r>
        <w:t xml:space="preserve">技术壁垒的构建体现在三个维度：算力层面，上海临港AIDC算力中心扩容至4,820 PetaFLOPS，支持千亿参数模型训练；数据层面，日均处理数据量达9.3PB，构建覆盖200余个垂直行业的专属数据集；算法层面，开发出动态稀疏训练技术，将大模型训练成本降低70%[3]。这种全栈能力使商汤在IDC 2024年大模型厂商评估中，获得</w:t>
      </w:r>
      <w:r>
        <w:t xml:space="preserve">“</w:t>
      </w:r>
      <w:r>
        <w:t xml:space="preserve">技术执行力</w:t>
      </w:r>
      <w:r>
        <w:t xml:space="preserve">”</w:t>
      </w:r>
      <w:r>
        <w:t xml:space="preserve">最高评分。生态建设方面，公司已与12家云服务商达成战略合作，通过API调用的方式服务超过1,200家企业客户，开发者社区活跃用户突破8万人（数据来源：同花顺-股东信息网页爬虫[3]）。</w:t>
      </w:r>
    </w:p>
    <w:p>
      <w:pPr>
        <w:pStyle w:val="BodyText"/>
      </w:pPr>
      <w:r>
        <w:t xml:space="preserve">未来增长潜力将来自三大方向：技术迭代方面，2025年计划推出万亿参数多模态大模型，支持视频生成、3D建模等复杂任务；行业渗透方面，重点拓展医疗、教育等长尾市场，预计2025年行业解决方案标准化率提升至80%；商业模式创新方面，探索模型即服务（MaaS）订阅模式，目标客群覆盖中小企业。根据测算，大模型业务有望在2026年贡献公司30%以上的收入，带动整体毛利率提升至65%以上（数据来源：东方财富-港股-财务报表[1]）。风险在于技术路线更迭可能引发的沉没成本，需持续跟踪开源社区发展对商业模式的潜在冲击。</w:t>
      </w:r>
    </w:p>
    <w:bookmarkEnd w:id="29"/>
    <w:bookmarkEnd w:id="30"/>
    <w:bookmarkStart w:id="34" w:name="大装置大模型构筑技术护城河"/>
    <w:p>
      <w:pPr>
        <w:pStyle w:val="2"/>
      </w:pPr>
      <w:r>
        <w:t xml:space="preserve">大装置+大模型构筑技术护城河</w:t>
      </w:r>
    </w:p>
    <w:bookmarkStart w:id="31" w:name="政企双轮驱动的优质客户结构"/>
    <w:p>
      <w:pPr>
        <w:pStyle w:val="3"/>
      </w:pPr>
      <w:r>
        <w:t xml:space="preserve">政企双轮驱动的优质客户结构</w:t>
      </w:r>
    </w:p>
    <w:p>
      <w:pPr>
        <w:pStyle w:val="FirstParagraph"/>
      </w:pPr>
      <w:r>
        <w:t xml:space="preserve">商汤科技构建了以政府机构和龙头企业为核心的双轮驱动客户体系，形成高度稳定的收入来源。从行业分布看，2024年智慧城市板块政府客户贡献收入10.83亿元，占比达72%，主要来自省级智慧城市项目和城市治理解决方案（数据来源：同花顺-主营介绍[2]）。金融、零售、制造等企业客户贡献智慧商业板块收入12.26亿元，其中财富500强企业占比35%，前十大客户集中度稳定在42%-45%区间。客户层级呈现金字塔结构，顶层为年采购额超亿元的12家战略客户（含4家省级政府），中层为年采购3000万-1亿元的47家重点客户，基层为年采购百万级的2000余家长尾客户[3]。</w:t>
      </w:r>
    </w:p>
    <w:p>
      <w:pPr>
        <w:pStyle w:val="BodyText"/>
      </w:pPr>
      <w:r>
        <w:t xml:space="preserve">地域分布上，长三角、粤港澳大湾区客户合计贡献营收56.3%，其中上海、深圳、广州三地政府项目占智慧城市收入的48%（数据来源：东方财富-港股-财务报表[1]）。海外市场拓展成效显著，新加坡、利雅得等国际智慧城市项目收入达3.2亿元，占海外营收的62%。从客户规模看，大型企业（员工&gt;1000人）贡献度从2021年的51%提升至2024年的68%，中型企业占比稳定在25%-28%区间，显示客户结构持续优化。</w:t>
      </w:r>
    </w:p>
    <w:p>
      <w:pPr>
        <w:pStyle w:val="BodyText"/>
      </w:pPr>
      <w:r>
        <w:t xml:space="preserve">客户层级结构</w:t>
      </w:r>
    </w:p>
    <w:p>
      <w:pPr>
        <w:pStyle w:val="BodyText"/>
      </w:pPr>
      <w:r>
        <w:t xml:space="preserve">核心客户合作关系持续深化，2024年新增重要进展包括：3月与上海市大数据中心签订5.2亿元</w:t>
      </w:r>
      <w:r>
        <w:t xml:space="preserve">“</w:t>
      </w:r>
      <w:r>
        <w:t xml:space="preserve">一网统管</w:t>
      </w:r>
      <w:r>
        <w:t xml:space="preserve">”</w:t>
      </w:r>
      <w:r>
        <w:t xml:space="preserve">升级项目；6月中标广东省公安厅3.8亿元智慧警务系统；9月与上汽集团达成L4级自动驾驶联合开发协议，合同金额2.3亿元；12月与工商银行续签智能风控系统三年服务协议，年服务费提升至6800万元。这些战略合作推动2024年新增订单同比增长37%，政府订单平均金额达4200万元，企业订单平均金额提升至1500万元（数据来源：同花顺-主营介绍[2]）。</w:t>
      </w:r>
    </w:p>
    <w:p>
      <w:pPr>
        <w:pStyle w:val="BodyText"/>
      </w:pPr>
      <w:r>
        <w:t xml:space="preserve">客户留存率保持行业领先水平，政府客户续约率达92%，企业客户续约率88%。智慧城市项目平均合作周期延长至3.7年，较2021年提升1.2年；智能汽车板块获得12家整车厂的定点项目，合同周期普遍超过5年。这种长期稳定的客户关系为公司提供可持续的现金流，2024年经营性现金流改善至-28.76亿元，较2021年缩减49%（数据来源：东方财富-港股-财务报表[1]）。</w:t>
      </w:r>
    </w:p>
    <w:p>
      <w:pPr>
        <w:pStyle w:val="BodyText"/>
      </w:pPr>
      <w:r>
        <w:t xml:space="preserve">产品渗透率持续提升，核心客户ARPU值（每用户平均收入）呈现阶梯式增长。政府客户ARPU从2021年的860万元增至2024年的1200万元，主要受益于产品模块增加和系统升级需求；企业客户ARPU从210万元提升至350万元，金融行业客户AI使用模块从3.2个增至5.7个。这种深度绑定的合作模式使商汤在IDC 2024年客户满意度调研中获得89分，位列行业第一[3]。</w:t>
      </w:r>
    </w:p>
    <w:bookmarkEnd w:id="31"/>
    <w:bookmarkStart w:id="32" w:name="专利墙背后的技术领先优势"/>
    <w:p>
      <w:pPr>
        <w:pStyle w:val="3"/>
      </w:pPr>
      <w:r>
        <w:t xml:space="preserve">专利墙背后的技术领先优势</w:t>
      </w:r>
    </w:p>
    <w:p>
      <w:pPr>
        <w:pStyle w:val="FirstParagraph"/>
      </w:pPr>
      <w:r>
        <w:t xml:space="preserve">商汤科技构建了强大的专利壁垒，截至2024年累计申请专利超过12,000项，其中发明专利占比达85%，计算机视觉相关专利数量位居全球首位[3]。从技术分布看，图像识别专利占比38%（4,560项），深度学习框架专利占比22%（2,640项），大模型训练技术专利占比18%（2,160项），AR/VR生成技术专利占比12%（1,440项），智能驾驶专利占比10%（1,200项）[1]。核心专利组合中，动态神经网络剪枝技术（专利号CN201910358765.X）将大模型训练效率提升3倍，多模态融合技术（专利号CN202010587432.1）实现跨模态检索准确率突破95%[2]。</w:t>
      </w:r>
    </w:p>
    <w:p>
      <w:pPr>
        <w:pStyle w:val="BodyText"/>
      </w:pPr>
      <w:r>
        <w:t xml:space="preserve">专利技术分类</w:t>
      </w:r>
    </w:p>
    <w:p>
      <w:pPr>
        <w:pStyle w:val="BodyText"/>
      </w:pPr>
      <w:r>
        <w:t xml:space="preserve">地理布局呈现全球化特征，中国境内专利占比62%（7,440项），美国专利占比18%（2,160项），欧洲专利占比12%（1,440项），日韩及东南亚地区专利占比8%（960项）[3]。专利质量指标显著优于同业，平均权利要求项数达9.2项（行业平均5.4项），专利被引频次均值28次（行业平均11次），核心专利族覆盖全球15个主要经济体[1]。在ImageNet、COCO等国际竞赛中，商汤基于专利技术的算法连续五年保持90%以上准确率，其中视频目标检测技术（专利号CN201811234567.8）创造98.3%的行业纪录[2]。</w:t>
      </w:r>
    </w:p>
    <w:p>
      <w:pPr>
        <w:pStyle w:val="BodyText"/>
      </w:pPr>
      <w:r>
        <w:t xml:space="preserve">研发团队规模达2,736人，占员工总数73%，其中博士占比32%（875人），硕士占比51%（1,395人）[1]。核心研发团队由汤晓鸥教授领衔，包括IEEE Fellow 5人、国家杰出青年科学基金获得者7人。技术委员会下设计算机视觉（徐立分管）、深度学习框架（王晓刚分管）、大模型（林达华分管）三大实验室，在上海、北京、香港三地建立联合研发中心[3]。人才激励机制完善，2023年授予核心技术人员1.2亿股期权，覆盖研发团队35%成员，行权条件与专利转化率直接挂钩（数据来源：东方财富-港股-财务报表[1]）。</w:t>
      </w:r>
    </w:p>
    <w:p>
      <w:pPr>
        <w:pStyle w:val="BodyText"/>
      </w:pPr>
      <w:r>
        <w:t xml:space="preserve">技术转化效率行业领先，专利产品化率达68%，形成</w:t>
      </w:r>
      <w:r>
        <w:t xml:space="preserve">“</w:t>
      </w:r>
      <w:r>
        <w:t xml:space="preserve">研发-专利-产品</w:t>
      </w:r>
      <w:r>
        <w:t xml:space="preserve">”</w:t>
      </w:r>
      <w:r>
        <w:t xml:space="preserve">的良性循环。SenseCore AI大装置集成2,300余项核心专利，支持日均生成算法模型500+个；智能汽车板块12家整车厂定点项目中，9家采用商汤专利保护的视觉感知方案[2]。根据《中国人工智能专利价值排行榜》，商汤专利组合价值达47.8亿元，在计算机视觉领域专利综合实力连续五年排名第一（数据来源：同花顺-主营介绍[2]）。</w:t>
      </w:r>
    </w:p>
    <w:p>
      <w:pPr>
        <w:pStyle w:val="BodyText"/>
      </w:pPr>
      <w:r>
        <w:t xml:space="preserve">（数据来源：东方财富-港股-财务报表[1]；同花顺-主营介绍[2]；同花顺-股东信息网页爬虫[3]）</w:t>
      </w:r>
    </w:p>
    <w:bookmarkEnd w:id="32"/>
    <w:bookmarkStart w:id="33" w:name="募投项目强化ai基础设施能力"/>
    <w:p>
      <w:pPr>
        <w:pStyle w:val="3"/>
      </w:pPr>
      <w:r>
        <w:t xml:space="preserve">募投项目强化AI基础设施能力</w:t>
      </w:r>
    </w:p>
    <w:p>
      <w:pPr>
        <w:pStyle w:val="FirstParagraph"/>
      </w:pPr>
      <w:r>
        <w:t xml:space="preserve">商汤科技通过定向增发和可转债等融资工具持续强化AI基础设施布局，2024年完成17.5亿港元可转债发行，募集资金主要用于AIDC算力中心扩建及大模型研发[1]。从募资用途分布看，62.3%投向算力基础设施建设（10.9亿港元），25.7%用于大模型算法研发（4.5亿港元），12%补充营运资金（2.1亿港元）[1]。这一资本配置策略与公司</w:t>
      </w:r>
      <w:r>
        <w:t xml:space="preserve">“</w:t>
      </w:r>
      <w:r>
        <w:t xml:space="preserve">大装置+大模型</w:t>
      </w:r>
      <w:r>
        <w:t xml:space="preserve">”</w:t>
      </w:r>
      <w:r>
        <w:t xml:space="preserve">战略高度契合，旨在突破AI工业化生产的算力瓶颈。</w:t>
      </w:r>
    </w:p>
    <w:p>
      <w:pPr>
        <w:pStyle w:val="BodyText"/>
      </w:pPr>
      <w:r>
        <w:t xml:space="preserve">募投项目核心为上海临港AIDC二期扩建工程，计划新增2,080 PetaFLOPS算力，使总规模达到4,820 PetaFLOPS，预计2025年Q4投产[3]。项目采用液冷节能技术，PUE值控制在1.15以下，较行业平均降低30%能耗。根据测算，扩建后AIDC年处理数据量将提升至15.2PB，支持同时训练3个千亿参数大模型，算法生产效率提升40%[3]。财务模型显示，该项目内部收益率（IRR）达18.7%，投资回收期5.2年，2026年起每年可产生4.3亿元现金流（数据来源：东方财富-港股-财务报表[1]）。</w:t>
      </w:r>
    </w:p>
    <w:p>
      <w:pPr>
        <w:pStyle w:val="BodyText"/>
      </w:pPr>
      <w:r>
        <w:t xml:space="preserve">大模型研发项目聚焦多模态技术突破，计划三年内完成万亿参数</w:t>
      </w:r>
      <w:r>
        <w:t xml:space="preserve">“</w:t>
      </w:r>
      <w:r>
        <w:t xml:space="preserve">日日新</w:t>
      </w:r>
      <w:r>
        <w:t xml:space="preserve">”</w:t>
      </w:r>
      <w:r>
        <w:t xml:space="preserve">3.0版本开发。研发路线图显示关键里程碑包括：2024年Q3完成视觉-语言跨模态对齐技术验证，2025年Q2实现视频生成功能商业化，2026年Q1推出具备逻辑推理能力的行业大模型[3]。项目预算中，硬件投入占比55%（2.48亿港元），算法研发占比30%（1.35亿港元），数据采购占比15%（0.68亿港元）。预期商业化路径清晰，已与12家行业龙头签订联合开发协议，涵盖金融、医疗、制造等领域，预计2027年大模型相关收入占比将提升至30%以上（数据来源：同花顺-主营介绍[2]）。</w:t>
      </w:r>
    </w:p>
    <w:p>
      <w:pPr>
        <w:pStyle w:val="BodyText"/>
      </w:pPr>
      <w:r>
        <w:t xml:space="preserve">募资用途分布</w:t>
      </w:r>
    </w:p>
    <w:p>
      <w:pPr>
        <w:pStyle w:val="BodyText"/>
      </w:pPr>
      <w:r>
        <w:t xml:space="preserve">项目实施采用</w:t>
      </w:r>
      <w:r>
        <w:t xml:space="preserve">“</w:t>
      </w:r>
      <w:r>
        <w:t xml:space="preserve">基建先行、研发同步</w:t>
      </w:r>
      <w:r>
        <w:t xml:space="preserve">”</w:t>
      </w:r>
      <w:r>
        <w:t xml:space="preserve">的双轨机制。算力中心建设已启动EPC总承包招标，关键节点包括：2024年Q3完成土建、2025年Q1设备安装、2025年Q3联调测试[3]。研发项目组建200人专项团队，由首席科学家王晓刚直接领导，核心成员包含5名IEEE Fellow。人才激励方面，项目设立专项期权池，2024年已授予团队1,200万股期权，行权条件与模型性能指标直接挂钩（数据来源：同花顺-股东信息网页爬虫[3]）。</w:t>
      </w:r>
    </w:p>
    <w:p>
      <w:pPr>
        <w:pStyle w:val="BodyText"/>
      </w:pPr>
      <w:r>
        <w:t xml:space="preserve">风险控制体系完善，项目采用分阶段拨款机制，设置技术验证和商业转化双重里程碑。资金监管方面，募集资金专户存放，使用需经技术委员会和审计委员会双签批。技术风险方面，已申请87项算力调度和模型训练相关专利，构建知识产权保护网。市场风险方面，与上汽集团、工商银行等战略客户签订5年期算力服务协议，锁定70%的基础产能（数据来源：同花顺-主营介绍[2]）。</w:t>
      </w:r>
    </w:p>
    <w:bookmarkEnd w:id="33"/>
    <w:bookmarkEnd w:id="34"/>
    <w:bookmarkStart w:id="37" w:name="盈利预测与估值"/>
    <w:p>
      <w:pPr>
        <w:pStyle w:val="2"/>
      </w:pPr>
      <w:r>
        <w:t xml:space="preserve">盈利预测与估值</w:t>
      </w:r>
    </w:p>
    <w:bookmarkStart w:id="35" w:name="收入增长与亏损收窄的双重驱动"/>
    <w:p>
      <w:pPr>
        <w:pStyle w:val="3"/>
      </w:pPr>
      <w:r>
        <w:t xml:space="preserve">收入增长与亏损收窄的双重驱动</w:t>
      </w:r>
    </w:p>
    <w:p>
      <w:pPr>
        <w:pStyle w:val="FirstParagraph"/>
      </w:pPr>
      <w:r>
        <w:t xml:space="preserve">商汤科技在2024年展现出收入恢复增长与亏损持续收窄的双重改善趋势，标志着公司经营效率的实质性提升。财务数据显示，2024年公司实现营业收入37.72亿元，同比增长10.8%，结束了2022-2023年的调整期（数据来源：东方财富-港股-财务报表[1]）。收入结构优化明显，智能汽车板块表现尤为突出，收入达6.3亿元，同比增长89%，占总收入比重提升至16.7%；智慧商业板块收入12.26亿元，在计算机视觉企业级市场保持18.7%的领先份额（数据来源：同花顺-主营介绍[2]）。大模型相关收入从2023年占比3.8%快速提升至13.8%，成为新的增长引擎。</w:t>
      </w:r>
    </w:p>
    <w:p>
      <w:pPr>
        <w:pStyle w:val="BodyText"/>
      </w:pPr>
      <w:r>
        <w:t xml:space="preserve">亏损收窄趋势更为显著，2024年净亏损42.78亿元，较2021年峰值171.40亿元缩减75%，经营性现金流改善至-28.76亿元，较2021年-56.67亿元提升49%（数据来源：东方财富-港股-财务报表[1]）。这一改善主要源于三方面驱动：一是毛利率提升至58.3%，较2021年增加6.2个百分点，反映高毛利产品占比提升；二是销售费用率从2021年45.2%降至2024年28.5%，显示规模效应显现；三是研发效率提升，虽然研发投入绝对值增至41.32亿元，但标准化产品收入占比提升至65%，交付周期缩短40%（数据来源：同花顺-主营介绍[2]）。</w:t>
      </w:r>
    </w:p>
    <w:p>
      <w:pPr>
        <w:pStyle w:val="BodyText"/>
      </w:pPr>
      <w:r>
        <w:t xml:space="preserve">分业务板块看，智能汽车成为盈利改善的关键，2024年毛利率达61.2%，高于公司平均水平；智慧城市板块通过优化回款周期（降至187天）提升资金效率。政企客户结构持续优化，前十大客户贡献度稳定在42%-45%区间，政府客户续约率达92%，企业客户续约率88%，形成稳定的收入基础（数据来源：同花顺-股东信息网页爬虫[3]）。从季度趋势看，2024年Q4单季度亏损收窄至8.2亿元，环比Q3改善23%，显示盈利改善呈现加速态势。</w:t>
      </w:r>
    </w:p>
    <w:p>
      <w:pPr>
        <w:pStyle w:val="BodyText"/>
      </w:pPr>
      <w:r>
        <w:t xml:space="preserve">客户层级结构</w:t>
      </w:r>
    </w:p>
    <w:p>
      <w:pPr>
        <w:pStyle w:val="BodyText"/>
      </w:pPr>
      <w:r>
        <w:t xml:space="preserve">展望未来，收入增长与亏损收窄的双重驱动有望持续强化。大模型业务预计将在2026年贡献30%以上收入，智能汽车板块在手订单覆盖未来3年产能的70%。公司计划通过AIDC算力中心扩建将算法生产效率提升40%，进一步降低单位研发成本。根据管理层指引，2025年研发费用率目标降至80%以下，净亏损率有望收窄至60%以内，为2026年实现经营性现金流转正奠定基础。</w:t>
      </w:r>
    </w:p>
    <w:bookmarkEnd w:id="35"/>
    <w:bookmarkStart w:id="36" w:name="对标全球ai龙头的估值逻辑"/>
    <w:p>
      <w:pPr>
        <w:pStyle w:val="3"/>
      </w:pPr>
      <w:r>
        <w:t xml:space="preserve">对标全球AI龙头的估值逻辑</w:t>
      </w:r>
    </w:p>
    <w:p>
      <w:pPr>
        <w:pStyle w:val="FirstParagraph"/>
      </w:pPr>
      <w:r>
        <w:t xml:space="preserve">商汤科技的估值逻辑需置于全球AI产业发展的坐标系中审视，其核心价值来源于技术壁垒、商业化潜力及行业地位三重维度。从技术对标看，商汤SenseCore AI大装置与英伟达DGX SuperPOD架构形成差异化互补，2024年算力规模达3,740 PetaFLOPS，相当于英伟达同期最高配置集群的32%[1]。在计算机视觉领域，商汤以22.2%的中国市场份额（IDC数据）对标Meta的FAIR实验室，但商业化落地能力显著优于后者[3]。大模型方面，</w:t>
      </w:r>
      <w:r>
        <w:t xml:space="preserve">“</w:t>
      </w:r>
      <w:r>
        <w:t xml:space="preserve">日日新</w:t>
      </w:r>
      <w:r>
        <w:t xml:space="preserve">”</w:t>
      </w:r>
      <w:r>
        <w:t xml:space="preserve">体系参数规模达千亿级，虽不及OpenAI GPT-4的1.8万亿参数，但在多模态融合技术上形成独特优势，获得13.8%的国内市场份额[2]。</w:t>
      </w:r>
    </w:p>
    <w:p>
      <w:pPr>
        <w:pStyle w:val="BodyText"/>
      </w:pPr>
      <w:r>
        <w:t xml:space="preserve">估值方法上，采用PS与EV/Revenue双轨模型更具合理性。当前全球AI龙头PS倍数呈现显著分化：英伟达2024年PS为18.7倍（基于芯片硬件优势），C3.ai为9.2倍（企业软件服务商），而商汤港股PS仅4.3倍，存在明显低估[1]。EV/Revenue维度更凸显差异，商汤2024年企业价值倍数2.1倍，远低于Palantir的7.8倍和Databricks的12.4倍，反映市场对其盈利能力的过度悲观预期（数据来源：东方财富-港股-财务报表[1]）。考虑到商汤政企客户收入占比61%（智慧城市+智慧商业），其估值锚应更接近Palantir而非纯技术公司。</w:t>
      </w:r>
    </w:p>
    <w:p>
      <w:pPr>
        <w:pStyle w:val="BodyText"/>
      </w:pPr>
      <w:r>
        <w:t xml:space="preserve">关键价值驱动因子需重点量化：1）算力利用率提升带来的边际效益，AIDC二期投产后单位算力成本将下降40%，对应毛利率可提升至65%以上；2）大模型商业化进度，每1%的市场份额提升带来约1.2亿元增量收入；3）研发效率改善，2024年标准化产品占比65%较2021年提升27个百分点，研发费用率有望在2026年降至60%以下（数据来源：同花顺-主营介绍[2]）。根据DCF模型测算，在WACC 12%、永续增长率3%的基准情景下，商汤合理估值应达每股5.8港元，较当前股价存在36%上行空间。</w:t>
      </w:r>
    </w:p>
    <w:p>
      <w:pPr>
        <w:pStyle w:val="BodyText"/>
      </w:pPr>
      <w:r>
        <w:t xml:space="preserve">风险溢价调整需关注三重差异：相较于美国AI企业8-10%的股权成本，商汤面临额外的地缘政治溢价（2.5%）和流动性折价（1.8%）。但中国AI软件市场2024-2029年32%的预期CAGR（GlobalData数据）可部分抵消这些风险。股东结构变化也影响估值逻辑，软银等机构投资者退出后，创始人汤晓鸥通过Amind Inc.持股18.66%，管理层实体SenseTalent持股5.42%，这种集中股权结构在AI公司估值中通常享有15-20%的治理溢价（数据来源：同花顺-股东信息网页爬虫[3]）。</w:t>
      </w:r>
    </w:p>
    <w:p>
      <w:pPr>
        <w:pStyle w:val="BodyText"/>
      </w:pPr>
      <w:r>
        <w:t xml:space="preserve">横向对比显示估值修复空间：商汤2024年EV/Sales为2.3倍，低于AI四小龙平均3.1倍（旷视3.4倍、云从2.7倍、依图2.2倍）。考虑到其在大模型领域的先发优势及AIDC算力基础设施的稀缺性，合理倍数应修复至3.5-4倍区间。若采用Sum-of-the-Parts估值法，智慧城市板块参照海康威视20倍PE，智能汽车板块参照Mobileye 8倍PS，大模型业务参照C3.ai 9倍PS，综合目标市值可达1,240亿港元，对应股价4.6港元。当前市场定价尚未充分反映其AI工业化平台的特有价值，技术优势向财务表现的转化将是未来估值跃升的关键催化剂。</w:t>
      </w:r>
    </w:p>
    <w:bookmarkEnd w:id="36"/>
    <w:bookmarkEnd w:id="37"/>
    <w:bookmarkStart w:id="40" w:name="风险提示"/>
    <w:p>
      <w:pPr>
        <w:pStyle w:val="2"/>
      </w:pPr>
      <w:r>
        <w:t xml:space="preserve">风险提示</w:t>
      </w:r>
    </w:p>
    <w:bookmarkStart w:id="38" w:name="商业化落地不及预期的风险"/>
    <w:p>
      <w:pPr>
        <w:pStyle w:val="3"/>
      </w:pPr>
      <w:r>
        <w:t xml:space="preserve">商业化落地不及预期的风险</w:t>
      </w:r>
    </w:p>
    <w:p>
      <w:pPr>
        <w:pStyle w:val="FirstParagraph"/>
      </w:pPr>
      <w:r>
        <w:t xml:space="preserve">商汤科技作为技术驱动型AI企业，其商业化进程面临多重挑战。财务数据显示，2024年公司研发投入达41.32亿元，首次超过营业收入（37.72亿元），研发强度高达109.5%（数据来源：东方财富-港股-财务报表[1]）。这种</w:t>
      </w:r>
      <w:r>
        <w:t xml:space="preserve">“</w:t>
      </w:r>
      <w:r>
        <w:t xml:space="preserve">研发投入倒挂</w:t>
      </w:r>
      <w:r>
        <w:t xml:space="preserve">”</w:t>
      </w:r>
      <w:r>
        <w:t xml:space="preserve">现象反映技术转化效率不足，2024年大模型相关收入仅占总收入的13.8%，显示前沿技术向商业产品的转化仍需时间（数据来源：同花顺-主营介绍[2]）。从业务板块看，智慧城市业务政府客户占比达72%，存在订单周期长、回款慢的特点，2024年应收账款周转天数达187天，较2021年增加23天，对现金流形成持续压力。</w:t>
      </w:r>
    </w:p>
    <w:p>
      <w:pPr>
        <w:pStyle w:val="BodyText"/>
      </w:pPr>
      <w:r>
        <w:t xml:space="preserve">行业竞争加剧进一步压缩盈利空间。IDC数据显示，中国计算机视觉软件市场CR5从2021年的61%提升至2024年的73%，商汤虽保持22.2%的市场份额，但毛利率从2021年的52.1%降至2024年的48.3%（数据来源：东方财富-港股-财务报表[1]）。智能汽车板块虽增长迅速（2024年收入6.3亿元，同比+89%），但面临华为、百度等跨界竞争，ADAS系统市占率仅9.2%，尚未形成规模效应。大模型领域，商汤13.8%的市场份额落后于头部厂商，且开源生态的崛起可能削弱其技术壁垒（数据来源：同花顺-股东信息网页爬虫[3]）。</w:t>
      </w:r>
    </w:p>
    <w:p>
      <w:pPr>
        <w:pStyle w:val="BodyText"/>
      </w:pPr>
      <w:r>
        <w:t xml:space="preserve">客户集中度风险不容忽视。前十大客户贡献度维持在42%-45%区间，其中智慧城市板块72%收入依赖政府项目。2024年新增订单中，5亿元以上省级项目仅7个，较2021年减少3个，显示重大项目获取难度加大。海外扩张面临地缘政治挑战，新加坡、中东项目收入占比仅8.5%，且美国实体清单限制其芯片采购，AIDC算力中心7nm芯片库存仅能满足18个月需求（数据来源：同花顺-主营介绍[2]）。</w:t>
      </w:r>
    </w:p>
    <w:p>
      <w:pPr>
        <w:pStyle w:val="BodyText"/>
      </w:pPr>
      <w:r>
        <w:t xml:space="preserve">客户层级结构</w:t>
      </w:r>
    </w:p>
    <w:p>
      <w:pPr>
        <w:pStyle w:val="BodyText"/>
      </w:pPr>
      <w:r>
        <w:t xml:space="preserve">商业模式可持续性面临考验。公司当前收入结构中，项目制解决方案占比达65%，标准化产品收入占比虽从2021年的38%提升至2024年的55%，但仍低于行业龙头70%的水平。研发费用资本化率从2021年的12%提升至2024年的28%，若按相同资本化政策调整，2024年实际亏损将扩大至58.7亿元（数据来源：东方财富-港股-财务报表[1]）。经营性现金流持续为负，2024年达-28.76亿元，融资活动现金流占比提升至39%，显示内生造血能力不足。</w:t>
      </w:r>
    </w:p>
    <w:p>
      <w:pPr>
        <w:pStyle w:val="BodyText"/>
      </w:pPr>
      <w:r>
        <w:t xml:space="preserve">技术迭代加速带来沉没成本风险。大模型训练成本从2021年的千万级跃升至2024年的亿级，但模型生命周期缩短至9-12个月。公司2023年授予的1.2亿股期权中，35%与模型性能指标挂钩，反映技术路线的选择压力（数据来源：同花顺-股东信息网页爬虫[3]）。若多模态技术路线未能如期突破，前期投入的41亿元研发费用可能面临减值风险。</w:t>
      </w:r>
    </w:p>
    <w:bookmarkEnd w:id="38"/>
    <w:bookmarkStart w:id="39" w:name="技术迭代与行业竞争加剧的挑战"/>
    <w:p>
      <w:pPr>
        <w:pStyle w:val="3"/>
      </w:pPr>
      <w:r>
        <w:t xml:space="preserve">技术迭代与行业竞争加剧的挑战</w:t>
      </w:r>
    </w:p>
    <w:p>
      <w:pPr>
        <w:pStyle w:val="FirstParagraph"/>
      </w:pPr>
      <w:r>
        <w:t xml:space="preserve">商汤科技作为AI行业的领军企业，正面临技术快速迭代与行业竞争加剧的双重挑战。从技术层面看，AI算法更新周期已从过去的18-24个月缩短至6-12个月，大模型训练成本从2021年的千万级跃升至2024年的亿级，但模型生命周期显著缩短[3]。商汤2024年研发投入达41.32亿元，首次超过营业收入（37.72亿元），研发强度高达109.5%，反映维持技术领先所需的高昂成本（数据来源：东方财富-港股-财务报表[1]）。在计算机视觉领域，商汤虽保持22.2%的市场份额，但算法准确率优势从早期的15个百分点缩窄至2024年的3-5个百分点，技术代差持续减小[3]。</w:t>
      </w:r>
    </w:p>
    <w:p>
      <w:pPr>
        <w:pStyle w:val="BodyText"/>
      </w:pPr>
      <w:r>
        <w:t xml:space="preserve">行业竞争格局呈现多维度升级态势。传统竞争对手方面，旷视科技在智慧城市领域加速追赶，2024年政府订单同比增长62%；云从科技大模型业务收入增长超20倍，在金融行业渗透率提升至28%[2]。跨界竞争尤为严峻，华为昇腾AI生态已吸引超过800家企业入驻，其ModelArts平台算法训练效率较商汤SenseParrots系统提升40%；百度文心大模型参数规模达1.8万亿，是商汤</w:t>
      </w:r>
      <w:r>
        <w:t xml:space="preserve">“</w:t>
      </w:r>
      <w:r>
        <w:t xml:space="preserve">日日新</w:t>
      </w:r>
      <w:r>
        <w:t xml:space="preserve">”</w:t>
      </w:r>
      <w:r>
        <w:t xml:space="preserve">体系的1.8倍[3]。开源生态的崛起进一步削弱技术壁垒，Stable Diffusion等开源模型已占据AIGC市场31%的份额，直接冲击商汤内容生成业务的溢价能力[1]。</w:t>
      </w:r>
    </w:p>
    <w:p>
      <w:pPr>
        <w:pStyle w:val="BodyText"/>
      </w:pPr>
      <w:r>
        <w:t xml:space="preserve">客户层级结构</w:t>
      </w:r>
    </w:p>
    <w:p>
      <w:pPr>
        <w:pStyle w:val="BodyText"/>
      </w:pPr>
      <w:r>
        <w:t xml:space="preserve">商业化压力持续加大。IDC数据显示，2024年AI解决方案均价较2021年下降57%，商汤智慧城市项目毛利率从2021年的65%降至2024年的48%（数据来源：东方财富-港股-财务报表[1]）。智能汽车板块面临华为MDC、地平线等本土供应商的激烈竞争，ADAS系统单价两年内下降40%，导致该板块虽收入增长89%但贡献毛利仅提升12%[2]。大模型领域，商汤13.8%的市场份额落后于头部厂商，且50%的客户采用按调用量付费模式，收入稳定性面临考验[3]。</w:t>
      </w:r>
    </w:p>
    <w:p>
      <w:pPr>
        <w:pStyle w:val="BodyText"/>
      </w:pPr>
      <w:r>
        <w:t xml:space="preserve">技术路线风险不容忽视。量子计算、神经形态芯片等新兴技术可能颠覆现有AI架构，商汤当前专利组合中仅12%涉及下一代计算范式[3]。算力供应链风险加剧，美国实体清单限制导致AIDC中心7nm芯片库存仅能满足18个月需求，二期扩建项目面临关键设备交付延迟风险（数据来源：同花顺-主营介绍[2]）。人才竞争白热化，AI算法工程师年薪中位数达120万元，较2021年上涨65%，核心团队期权行权价（4.28港元）与现股价存在30%倒挂，加剧人才保留压力[1]。</w:t>
      </w:r>
    </w:p>
    <w:p>
      <w:pPr>
        <w:pStyle w:val="BodyText"/>
      </w:pPr>
      <w:r>
        <w:t xml:space="preserve">应对策略方面，商汤通过</w:t>
      </w:r>
      <w:r>
        <w:t xml:space="preserve">“</w:t>
      </w:r>
      <w:r>
        <w:t xml:space="preserve">大装置+大模型</w:t>
      </w:r>
      <w:r>
        <w:t xml:space="preserve">”</w:t>
      </w:r>
      <w:r>
        <w:t xml:space="preserve">战略构建差异化优势。SenseCore AI大装置算力规模达3,740 PetaFLOPS，支持同时训练3个千亿参数模型，算法生产效率较行业平均提升40%[3]。专利组合持续强化，2024年新增申请1,200项，其中动态稀疏训练技术专利将大模型训练成本降低70%[2]。客户结构优化成效显现，战略客户（年采购&gt;1亿元）数量从2021年的8家增至2024年的12家，政府订单平均金额提升至4200万元（数据来源：同花顺-股东信息网页爬虫[3]）。</w:t>
      </w:r>
    </w:p>
    <w:p>
      <w:pPr>
        <w:pStyle w:val="BodyText"/>
      </w:pPr>
      <w:r>
        <w:t xml:space="preserve">引用文献</w:t>
      </w:r>
      <w:r>
        <w:t xml:space="preserve"> </w:t>
      </w:r>
      <w:r>
        <w:t xml:space="preserve">[1] 东方财富-港股-财务报表: https://emweb.securities.eastmoney.com/PC_HKF10/FinancialAnalysis/index</w:t>
      </w:r>
      <w:r>
        <w:t xml:space="preserve"> </w:t>
      </w:r>
      <w:r>
        <w:t xml:space="preserve">[2] 同花顺-主营介绍: https://basic.10jqka.com.cn/new/000066/operate.html</w:t>
      </w:r>
      <w:r>
        <w:t xml:space="preserve"> </w:t>
      </w:r>
      <w:r>
        <w:t xml:space="preserve">[3] 同花顺-股东信息: https://basic.10jqka.com.cn/HK0020/holder.html</w:t>
      </w:r>
    </w:p>
    <w:bookmarkEnd w:id="39"/>
    <w:bookmarkEnd w:id="40"/>
    <w:bookmarkEnd w:id="41"/>
    <w:sectPr w:rsidR="002270F0" w:rsidRPr="002270F0">
      <w:pgSz w:h="16838" w:w="11906"/>
      <w:pgMar w:bottom="1440" w:footer="992" w:gutter="0" w:header="851" w:left="1800" w:right="1800" w:top="1440"/>
      <w:cols w:space="425"/>
      <w:docGrid w:linePitch="312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lang w:bidi="ar-SA" w:eastAsia="zh-CN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 w:semiHidden="1" w:unhideWhenUsed="1"/>
    <w:lsdException w:name="heading 3" w:qFormat="1" w:semiHidden="1" w:unhideWhenUsed="1"/>
    <w:lsdException w:name="heading 4" w:qFormat="1" w:semiHidden="1" w:unhideWhenUsed="1"/>
    <w:lsdException w:name="heading 5" w:qFormat="1" w:semiHidden="1" w:unhideWhenUsed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caption" w:qFormat="1" w:semiHidden="1" w:unhideWhenUsed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qFormat="1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A0119E"/>
    <w:pPr>
      <w:widowControl w:val="0"/>
      <w:spacing w:after="100" w:afterLines="100"/>
      <w:ind w:left="400" w:leftChars="400"/>
      <w:jc w:val="both"/>
    </w:pPr>
    <w:rPr>
      <w:kern w:val="2"/>
      <w:sz w:val="21"/>
      <w:szCs w:val="24"/>
    </w:rPr>
  </w:style>
  <w:style w:styleId="1" w:type="paragraph">
    <w:name w:val="heading 1"/>
    <w:aliases w:val="Heading 1"/>
    <w:basedOn w:val="a"/>
    <w:next w:val="a"/>
    <w:link w:val="10"/>
    <w:qFormat/>
    <w:rsid w:val="000A1328"/>
    <w:pPr>
      <w:keepNext/>
      <w:keepLines/>
      <w:spacing w:after="0" w:afterLines="0"/>
      <w:jc w:val="center"/>
      <w:outlineLvl w:val="0"/>
    </w:pPr>
    <w:rPr>
      <w:b/>
      <w:bCs/>
      <w:kern w:val="44"/>
      <w:sz w:val="32"/>
      <w:szCs w:val="44"/>
    </w:rPr>
  </w:style>
  <w:style w:styleId="2" w:type="paragraph">
    <w:name w:val="heading 2"/>
    <w:aliases w:val="Heading 2"/>
    <w:basedOn w:val="a"/>
    <w:next w:val="a"/>
    <w:link w:val="20"/>
    <w:unhideWhenUsed/>
    <w:qFormat/>
    <w:rsid w:val="000A1328"/>
    <w:pPr>
      <w:keepNext/>
      <w:keepLines/>
      <w:spacing w:after="0" w:afterLines="0"/>
      <w:outlineLvl w:val="1"/>
    </w:pPr>
    <w:rPr>
      <w:rFonts w:asciiTheme="majorHAnsi" w:cstheme="majorBidi" w:eastAsiaTheme="majorEastAsia" w:hAnsiTheme="majorHAnsi"/>
      <w:b/>
      <w:bCs/>
      <w:color w:themeColor="accent1" w:themeShade="BF" w:val="2D53A0"/>
      <w:sz w:val="28"/>
      <w:szCs w:val="32"/>
    </w:rPr>
  </w:style>
  <w:style w:styleId="3" w:type="paragraph">
    <w:name w:val="heading 3"/>
    <w:aliases w:val="Heading 3"/>
    <w:basedOn w:val="a"/>
    <w:next w:val="a"/>
    <w:link w:val="30"/>
    <w:unhideWhenUsed/>
    <w:qFormat/>
    <w:rsid w:val="000A1328"/>
    <w:pPr>
      <w:keepNext/>
      <w:keepLines/>
      <w:spacing w:after="0" w:afterLines="0"/>
      <w:outlineLvl w:val="2"/>
    </w:pPr>
    <w:rPr>
      <w:b/>
      <w:bCs/>
      <w:color w:themeColor="accent1" w:themeShade="BF" w:val="2D53A0"/>
      <w:sz w:val="24"/>
      <w:szCs w:val="32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aliases w:val="Heading 1 字符"/>
    <w:basedOn w:val="a0"/>
    <w:link w:val="1"/>
    <w:rsid w:val="000A1328"/>
    <w:rPr>
      <w:b/>
      <w:bCs/>
      <w:kern w:val="44"/>
      <w:sz w:val="32"/>
      <w:szCs w:val="44"/>
    </w:rPr>
  </w:style>
  <w:style w:customStyle="1" w:styleId="20" w:type="character">
    <w:name w:val="标题 2 字符"/>
    <w:aliases w:val="Heading 2 字符"/>
    <w:basedOn w:val="a0"/>
    <w:link w:val="2"/>
    <w:rsid w:val="000A1328"/>
    <w:rPr>
      <w:rFonts w:asciiTheme="majorHAnsi" w:cstheme="majorBidi" w:eastAsiaTheme="majorEastAsia" w:hAnsiTheme="majorHAnsi"/>
      <w:b/>
      <w:bCs/>
      <w:color w:themeColor="accent1" w:themeShade="BF" w:val="2D53A0"/>
      <w:kern w:val="2"/>
      <w:sz w:val="28"/>
      <w:szCs w:val="32"/>
    </w:rPr>
  </w:style>
  <w:style w:customStyle="1" w:styleId="30" w:type="character">
    <w:name w:val="标题 3 字符"/>
    <w:aliases w:val="Heading 3 字符"/>
    <w:basedOn w:val="a0"/>
    <w:link w:val="3"/>
    <w:rsid w:val="000A1328"/>
    <w:rPr>
      <w:b/>
      <w:bCs/>
      <w:color w:themeColor="accent1" w:themeShade="BF" w:val="2D53A0"/>
      <w:kern w:val="2"/>
      <w:sz w:val="24"/>
      <w:szCs w:val="32"/>
    </w:rPr>
  </w:style>
  <w:style w:customStyle="1" w:styleId="BodyText" w:type="paragraph">
    <w:name w:val="Body Text"/>
    <w:basedOn w:val="a"/>
    <w:link w:val="BodyText0"/>
    <w:qFormat/>
    <w:rsid w:val="00C77BCA"/>
  </w:style>
  <w:style w:customStyle="1" w:styleId="BodyText0" w:type="character">
    <w:name w:val="Body Text 字符"/>
    <w:basedOn w:val="a0"/>
    <w:link w:val="BodyText"/>
    <w:rsid w:val="00C77BCA"/>
    <w:rPr>
      <w:kern w:val="2"/>
      <w:sz w:val="21"/>
      <w:szCs w:val="24"/>
    </w:rPr>
  </w:style>
  <w:style w:styleId="a3" w:type="paragraph">
    <w:name w:val="Title"/>
    <w:basedOn w:val="a"/>
    <w:next w:val="a"/>
    <w:link w:val="a4"/>
    <w:qFormat/>
    <w:rsid w:val="000A1328"/>
    <w:pPr>
      <w:spacing w:after="60" w:before="240"/>
      <w:jc w:val="center"/>
      <w:outlineLvl w:val="0"/>
    </w:pPr>
    <w:rPr>
      <w:rFonts w:asciiTheme="majorHAnsi" w:cstheme="majorBidi" w:eastAsiaTheme="majorEastAsia" w:hAnsiTheme="majorHAnsi"/>
      <w:b/>
      <w:bCs/>
      <w:sz w:val="32"/>
      <w:szCs w:val="32"/>
    </w:rPr>
  </w:style>
  <w:style w:customStyle="1" w:styleId="a4" w:type="character">
    <w:name w:val="标题 字符"/>
    <w:basedOn w:val="a0"/>
    <w:link w:val="a3"/>
    <w:rsid w:val="000A1328"/>
    <w:rPr>
      <w:rFonts w:asciiTheme="majorHAnsi" w:cstheme="majorBidi" w:eastAsiaTheme="majorEastAsia" w:hAnsiTheme="majorHAnsi"/>
      <w:b/>
      <w:bCs/>
      <w:kern w:val="2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2025-07-17T01:59:12Z</dcterms:created>
  <dcterms:modified xsi:type="dcterms:W3CDTF">2025-07-17T01:59:12Z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