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="http://schemas.openxmlformats.org/wordprocessingml/2006/main">
  <w:body>
    <w:p>
      <w:pPr>
        <w:pStyle w:val="Title"/>
      </w:pPr>
      <w:r>
        <w:t>30-Day Client Acquisition Strategy</w:t>
      </w:r>
    </w:p>
    <w:p>
      <w:pPr>
        <w:pStyle w:val="Subtitle"/>
      </w:pPr>
      <w:r>
        <w:t>EMC2Ops marketing and sales sprint for landing property-management clients fast</w:t>
      </w:r>
    </w:p>
    <w:p>
      <w:pPr>
        <w:pStyle w:val="Metadata"/>
      </w:pPr>
      <w:r>
        <w:rPr>
          <w:b/>
        </w:rPr>
        <w:t xml:space="preserve">Prepared: </w:t>
      </w:r>
      <w:r>
        <w:t>May 21, 2026</w:t>
      </w:r>
      <w:r>
        <w:rPr>
          <w:b/>
        </w:rPr>
        <w:t xml:space="preserve">  |  Time limit: </w:t>
      </w:r>
      <w:r>
        <w:t>1 month</w:t>
      </w:r>
      <w:r>
        <w:rPr>
          <w:b/>
        </w:rPr>
        <w:t xml:space="preserve">  |  Primary offer: </w:t>
      </w:r>
      <w:r>
        <w:t>7-Day Missed Leasing Call Recovery System</w:t>
      </w:r>
    </w:p>
    <w:tbl>
      <w:tblPr>
        <w:tblW w:w="9360" w:type="dxa"/>
        <w:tblInd w:w="120" w:type="dxa"/>
        <w:tblLayout w:type="fixed"/>
        <w:tblBorders>
          <w:top w:val="single" w:sz="6" w:color="A9C3DA"/>
          <w:left w:val="single" w:sz="6" w:color="A9C3DA"/>
          <w:bottom w:val="single" w:sz="6" w:color="A9C3DA"/>
          <w:right w:val="single" w:sz="6" w:color="A9C3DA"/>
        </w:tblBorders>
        <w:tblCellMar>
          <w:top w:w="110" w:type="dxa"/>
          <w:start w:w="120" w:type="dxa"/>
          <w:bottom w:w="110" w:type="dxa"/>
          <w:end w:w="120" w:type="dxa"/>
        </w:tblCellMar>
      </w:tblPr>
      <w:tblGrid>
        <w:gridCol w:w="1900"/>
        <w:gridCol w:w="7460"/>
      </w:tblGrid>
      <w:tr>
        <w:tc>
          <w:tcPr>
            <w:tcW w:w="1900" w:type="dxa"/>
            <w:shd w:fill="E8EEF5"/>
          </w:tcPr>
          <w:p>
            <w:pPr>
              <w:pStyle w:val="Normal"/>
            </w:pPr>
            <w:r>
              <w:rPr>
                <w:b/>
                <w:color w:val="1F4D78"/>
              </w:rPr>
              <w:t>Core decision</w:t>
            </w:r>
          </w:p>
        </w:tc>
        <w:tc>
          <w:tcPr>
            <w:tcW w:w="7460" w:type="dxa"/>
            <w:shd w:fill="F4F6F9"/>
          </w:tcPr>
          <w:p>
            <w:pPr>
              <w:pStyle w:val="Normal"/>
            </w:pPr>
            <w:r>
              <w:t>For the next 30 days, optimize for qualified sales conversations rather than broad website traffic. Lead with one urgent property-management workflow: missed leasing call recovery and follow-up.</w:t>
            </w:r>
          </w:p>
        </w:tc>
      </w:tr>
    </w:tbl>
    <w:p>
      <w:pPr>
        <w:pStyle w:val="Heading1"/>
        <w:keepNext/>
      </w:pPr>
      <w:r>
        <w:t>1. Strategy Focus</w:t>
      </w:r>
    </w:p>
    <w:p>
      <w:pPr>
        <w:pStyle w:val="Normal"/>
      </w:pPr>
      <w:r>
        <w:t>The current website already has a useful wedge: property managers, missed leasing calls, faster follow-up, and a 7-day implementation. The one-month strategy should convert that positioning into direct outreach, short audits, fast proposals, and proof from the first delivery.</w:t>
      </w:r>
    </w:p>
    <w:p>
      <w:pPr>
        <w:pStyle w:val="ListBullet"/>
        <w:numPr>
          <w:ilvl w:val="0"/>
          <w:numId w:val="1"/>
        </w:numPr>
      </w:pPr>
      <w:r>
        <w:t>Niche: residential property managers.</w:t>
      </w:r>
    </w:p>
    <w:p>
      <w:pPr>
        <w:pStyle w:val="ListBullet"/>
        <w:numPr>
          <w:ilvl w:val="0"/>
          <w:numId w:val="1"/>
        </w:numPr>
      </w:pPr>
      <w:r>
        <w:t>Pain: missed leasing calls, slow response, stale lead follow-up, and admin handoffs.</w:t>
      </w:r>
    </w:p>
    <w:p>
      <w:pPr>
        <w:pStyle w:val="ListBullet"/>
        <w:numPr>
          <w:ilvl w:val="0"/>
          <w:numId w:val="1"/>
        </w:numPr>
      </w:pPr>
      <w:r>
        <w:t>Offer: AI missed-call text-back, qualification, routing, and CRM or team notification installed in 7 days.</w:t>
      </w:r>
    </w:p>
    <w:p>
      <w:pPr>
        <w:pStyle w:val="ListBullet"/>
        <w:numPr>
          <w:ilvl w:val="0"/>
          <w:numId w:val="1"/>
        </w:numPr>
      </w:pPr>
      <w:r>
        <w:t>Primary CTA: book a 15-minute workflow audit.</w:t>
      </w:r>
    </w:p>
    <w:p>
      <w:pPr>
        <w:pStyle w:val="Heading1"/>
        <w:keepNext/>
      </w:pPr>
      <w:r>
        <w:t>2. One-Month Targets</w:t>
      </w:r>
    </w:p>
    <w:tbl>
      <w:tblPr>
        <w:tblW w:w="9360" w:type="dxa"/>
        <w:tblInd w:w="120" w:type="dxa"/>
        <w:tblLayout w:type="fixed"/>
        <w:tblBorders>
          <w:top w:val="single" w:sz="4" w:color="B7C9DB"/>
          <w:left w:val="single" w:sz="4" w:color="B7C9DB"/>
          <w:bottom w:val="single" w:sz="4" w:color="B7C9DB"/>
          <w:right w:val="single" w:sz="4" w:color="B7C9DB"/>
          <w:insideH w:val="single" w:sz="4" w:color="D8E2EC"/>
          <w:insideV w:val="single" w:sz="4" w:color="D8E2EC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200"/>
        <w:gridCol w:w="1700"/>
        <w:gridCol w:w="5460"/>
      </w:tblGrid>
      <w:tr>
        <w:tc>
          <w:tcPr>
            <w:tcW w:w="2200" w:type="dxa"/>
            <w:shd w:fill="E8EEF5"/>
          </w:tcPr>
          <w:p>
            <w:pPr>
              <w:pStyle w:val="Normal"/>
            </w:pPr>
            <w:r>
              <w:rPr>
                <w:b/>
              </w:rPr>
              <w:t>Metric</w:t>
            </w:r>
          </w:p>
        </w:tc>
        <w:tc>
          <w:tcPr>
            <w:tcW w:w="1700" w:type="dxa"/>
            <w:shd w:fill="E8EEF5"/>
          </w:tcPr>
          <w:p>
            <w:pPr>
              <w:pStyle w:val="Normal"/>
            </w:pPr>
            <w:r>
              <w:rPr>
                <w:b/>
              </w:rPr>
              <w:t>Target</w:t>
            </w:r>
          </w:p>
        </w:tc>
        <w:tc>
          <w:tcPr>
            <w:tcW w:w="5460" w:type="dxa"/>
            <w:shd w:fill="E8EEF5"/>
          </w:tcPr>
          <w:p>
            <w:pPr>
              <w:pStyle w:val="Normal"/>
            </w:pPr>
            <w:r>
              <w:rPr>
                <w:b/>
              </w:rPr>
              <w:t>Why it matters</w:t>
            </w:r>
          </w:p>
        </w:tc>
      </w:tr>
      <w:tr>
        <w:tc>
          <w:tcPr>
            <w:tcW w:w="2200" w:type="dxa"/>
          </w:tcPr>
          <w:p>
            <w:pPr>
              <w:pStyle w:val="Normal"/>
            </w:pPr>
            <w:r>
              <w:t>Paying clients</w:t>
            </w:r>
          </w:p>
        </w:tc>
        <w:tc>
          <w:tcPr>
            <w:tcW w:w="1700" w:type="dxa"/>
          </w:tcPr>
          <w:p>
            <w:pPr>
              <w:pStyle w:val="Normal"/>
            </w:pPr>
            <w:r>
              <w:t>1-3</w:t>
            </w:r>
          </w:p>
        </w:tc>
        <w:tc>
          <w:tcPr>
            <w:tcW w:w="5460" w:type="dxa"/>
          </w:tcPr>
          <w:p>
            <w:pPr>
              <w:pStyle w:val="Normal"/>
            </w:pPr>
            <w:r>
              <w:t>Fast revenue and proof assets.</w:t>
            </w:r>
          </w:p>
        </w:tc>
      </w:tr>
      <w:tr>
        <w:tc>
          <w:tcPr>
            <w:tcW w:w="2200" w:type="dxa"/>
          </w:tcPr>
          <w:p>
            <w:pPr>
              <w:pStyle w:val="Normal"/>
            </w:pPr>
            <w:r>
              <w:t>Qualified calls</w:t>
            </w:r>
          </w:p>
        </w:tc>
        <w:tc>
          <w:tcPr>
            <w:tcW w:w="1700" w:type="dxa"/>
          </w:tcPr>
          <w:p>
            <w:pPr>
              <w:pStyle w:val="Normal"/>
            </w:pPr>
            <w:r>
              <w:t>10-20</w:t>
            </w:r>
          </w:p>
        </w:tc>
        <w:tc>
          <w:tcPr>
            <w:tcW w:w="5460" w:type="dxa"/>
          </w:tcPr>
          <w:p>
            <w:pPr>
              <w:pStyle w:val="Normal"/>
            </w:pPr>
            <w:r>
              <w:t>Enough sales conversations to learn and close.</w:t>
            </w:r>
          </w:p>
        </w:tc>
      </w:tr>
      <w:tr>
        <w:tc>
          <w:tcPr>
            <w:tcW w:w="2200" w:type="dxa"/>
          </w:tcPr>
          <w:p>
            <w:pPr>
              <w:pStyle w:val="Normal"/>
            </w:pPr>
            <w:r>
              <w:t>Targeted outbound touches</w:t>
            </w:r>
          </w:p>
        </w:tc>
        <w:tc>
          <w:tcPr>
            <w:tcW w:w="1700" w:type="dxa"/>
          </w:tcPr>
          <w:p>
            <w:pPr>
              <w:pStyle w:val="Normal"/>
            </w:pPr>
            <w:r>
              <w:t>500-800</w:t>
            </w:r>
          </w:p>
        </w:tc>
        <w:tc>
          <w:tcPr>
            <w:tcW w:w="5460" w:type="dxa"/>
          </w:tcPr>
          <w:p>
            <w:pPr>
              <w:pStyle w:val="Normal"/>
            </w:pPr>
            <w:r>
              <w:t>Volume for a founder-led sprint.</w:t>
            </w:r>
          </w:p>
        </w:tc>
      </w:tr>
      <w:tr>
        <w:tc>
          <w:tcPr>
            <w:tcW w:w="2200" w:type="dxa"/>
          </w:tcPr>
          <w:p>
            <w:pPr>
              <w:pStyle w:val="Normal"/>
            </w:pPr>
            <w:r>
              <w:t>Partner conversations</w:t>
            </w:r>
          </w:p>
        </w:tc>
        <w:tc>
          <w:tcPr>
            <w:tcW w:w="1700" w:type="dxa"/>
          </w:tcPr>
          <w:p>
            <w:pPr>
              <w:pStyle w:val="Normal"/>
            </w:pPr>
            <w:r>
              <w:t>3-5</w:t>
            </w:r>
          </w:p>
        </w:tc>
        <w:tc>
          <w:tcPr>
            <w:tcW w:w="5460" w:type="dxa"/>
          </w:tcPr>
          <w:p>
            <w:pPr>
              <w:pStyle w:val="Normal"/>
            </w:pPr>
            <w:r>
              <w:t>Referral leverage inside the niche.</w:t>
            </w:r>
          </w:p>
        </w:tc>
      </w:tr>
    </w:tbl>
    <w:p>
      <w:pPr>
        <w:pStyle w:val="Heading1"/>
        <w:keepNext/>
      </w:pPr>
      <w:r>
        <w:t>3. Channel Mix</w:t>
      </w:r>
    </w:p>
    <w:tbl>
      <w:tblPr>
        <w:tblW w:w="9360" w:type="dxa"/>
        <w:tblInd w:w="120" w:type="dxa"/>
        <w:tblLayout w:type="fixed"/>
        <w:tblBorders>
          <w:top w:val="single" w:sz="4" w:color="B7C9DB"/>
          <w:left w:val="single" w:sz="4" w:color="B7C9DB"/>
          <w:bottom w:val="single" w:sz="4" w:color="B7C9DB"/>
          <w:right w:val="single" w:sz="4" w:color="B7C9DB"/>
          <w:insideH w:val="single" w:sz="4" w:color="D8E2EC"/>
          <w:insideV w:val="single" w:sz="4" w:color="D8E2EC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350"/>
        <w:gridCol w:w="1200"/>
        <w:gridCol w:w="5810"/>
      </w:tblGrid>
      <w:tr>
        <w:tc>
          <w:tcPr>
            <w:tcW w:w="2350" w:type="dxa"/>
            <w:shd w:fill="E8EEF5"/>
          </w:tcPr>
          <w:p>
            <w:pPr>
              <w:pStyle w:val="Normal"/>
            </w:pPr>
            <w:r>
              <w:rPr>
                <w:b/>
              </w:rPr>
              <w:t>Channel</w:t>
            </w:r>
          </w:p>
        </w:tc>
        <w:tc>
          <w:tcPr>
            <w:tcW w:w="1200" w:type="dxa"/>
            <w:shd w:fill="E8EEF5"/>
          </w:tcPr>
          <w:p>
            <w:pPr>
              <w:pStyle w:val="Normal"/>
            </w:pPr>
            <w:r>
              <w:rPr>
                <w:b/>
              </w:rPr>
              <w:t>Share</w:t>
            </w:r>
          </w:p>
        </w:tc>
        <w:tc>
          <w:tcPr>
            <w:tcW w:w="5810" w:type="dxa"/>
            <w:shd w:fill="E8EEF5"/>
          </w:tcPr>
          <w:p>
            <w:pPr>
              <w:pStyle w:val="Normal"/>
            </w:pPr>
            <w:r>
              <w:rPr>
                <w:b/>
              </w:rPr>
              <w:t>Execution</w:t>
            </w:r>
          </w:p>
        </w:tc>
      </w:tr>
      <w:tr>
        <w:tc>
          <w:tcPr>
            <w:tcW w:w="2350" w:type="dxa"/>
          </w:tcPr>
          <w:p>
            <w:pPr>
              <w:pStyle w:val="Normal"/>
            </w:pPr>
            <w:r>
              <w:t>Founder-led outbound</w:t>
            </w:r>
          </w:p>
        </w:tc>
        <w:tc>
          <w:tcPr>
            <w:tcW w:w="1200" w:type="dxa"/>
          </w:tcPr>
          <w:p>
            <w:pPr>
              <w:pStyle w:val="Normal"/>
            </w:pPr>
            <w:r>
              <w:t>70%</w:t>
            </w:r>
          </w:p>
        </w:tc>
        <w:tc>
          <w:tcPr>
            <w:tcW w:w="5810" w:type="dxa"/>
          </w:tcPr>
          <w:p>
            <w:pPr>
              <w:pStyle w:val="Normal"/>
            </w:pPr>
            <w:r>
              <w:t>Cold email, phone calls, LinkedIn, and personalized Loom audits.</w:t>
            </w:r>
          </w:p>
        </w:tc>
      </w:tr>
      <w:tr>
        <w:tc>
          <w:tcPr>
            <w:tcW w:w="2350" w:type="dxa"/>
          </w:tcPr>
          <w:p>
            <w:pPr>
              <w:pStyle w:val="Normal"/>
            </w:pPr>
            <w:r>
              <w:t>Partnerships</w:t>
            </w:r>
          </w:p>
        </w:tc>
        <w:tc>
          <w:tcPr>
            <w:tcW w:w="1200" w:type="dxa"/>
          </w:tcPr>
          <w:p>
            <w:pPr>
              <w:pStyle w:val="Normal"/>
            </w:pPr>
            <w:r>
              <w:t>20%</w:t>
            </w:r>
          </w:p>
        </w:tc>
        <w:tc>
          <w:tcPr>
            <w:tcW w:w="5810" w:type="dxa"/>
          </w:tcPr>
          <w:p>
            <w:pPr>
              <w:pStyle w:val="Normal"/>
            </w:pPr>
            <w:r>
              <w:t>PM consultants, software consultants, marketing agencies, and process firms.</w:t>
            </w:r>
          </w:p>
        </w:tc>
      </w:tr>
      <w:tr>
        <w:tc>
          <w:tcPr>
            <w:tcW w:w="2350" w:type="dxa"/>
          </w:tcPr>
          <w:p>
            <w:pPr>
              <w:pStyle w:val="Normal"/>
            </w:pPr>
            <w:r>
              <w:t>Credibility content</w:t>
            </w:r>
          </w:p>
        </w:tc>
        <w:tc>
          <w:tcPr>
            <w:tcW w:w="1200" w:type="dxa"/>
          </w:tcPr>
          <w:p>
            <w:pPr>
              <w:pStyle w:val="Normal"/>
            </w:pPr>
            <w:r>
              <w:t>10%</w:t>
            </w:r>
          </w:p>
        </w:tc>
        <w:tc>
          <w:tcPr>
            <w:tcW w:w="5810" w:type="dxa"/>
          </w:tcPr>
          <w:p>
            <w:pPr>
              <w:pStyle w:val="Normal"/>
            </w:pPr>
            <w:r>
              <w:t>Short demo clips, workflow breakdowns, and proof posts.</w:t>
            </w:r>
          </w:p>
        </w:tc>
      </w:tr>
    </w:tbl>
    <w:p>
      <w:pPr>
        <w:pStyle w:val="Heading1"/>
        <w:keepNext/>
      </w:pPr>
      <w:r>
        <w:t>4. Sell One Offer</w:t>
      </w:r>
    </w:p>
    <w:p>
      <w:pPr>
        <w:pStyle w:val="Normal"/>
      </w:pPr>
      <w:r>
        <w:rPr>
          <w:b/>
        </w:rPr>
        <w:t xml:space="preserve">Lead offer: </w:t>
      </w:r>
      <w:r>
        <w:t>7-Day Missed Leasing Call Recovery System.</w:t>
      </w:r>
    </w:p>
    <w:p>
      <w:pPr>
        <w:pStyle w:val="ListBullet"/>
        <w:numPr>
          <w:ilvl w:val="0"/>
          <w:numId w:val="1"/>
        </w:numPr>
      </w:pPr>
      <w:r>
        <w:t>Missed call triggers a fast SMS reply.</w:t>
      </w:r>
    </w:p>
    <w:p>
      <w:pPr>
        <w:pStyle w:val="ListBullet"/>
        <w:numPr>
          <w:ilvl w:val="0"/>
          <w:numId w:val="1"/>
        </w:numPr>
      </w:pPr>
      <w:r>
        <w:t>Prospect is qualified for intent, move timing, budget, or property fit.</w:t>
      </w:r>
    </w:p>
    <w:p>
      <w:pPr>
        <w:pStyle w:val="ListBullet"/>
        <w:numPr>
          <w:ilvl w:val="0"/>
          <w:numId w:val="1"/>
        </w:numPr>
      </w:pPr>
      <w:r>
        <w:t>Showing request or next step is routed to the team.</w:t>
      </w:r>
    </w:p>
    <w:p>
      <w:pPr>
        <w:pStyle w:val="ListBullet"/>
        <w:numPr>
          <w:ilvl w:val="0"/>
          <w:numId w:val="1"/>
        </w:numPr>
      </w:pPr>
      <w:r>
        <w:t>CRM or team notification receives a usable summary.</w:t>
      </w:r>
    </w:p>
    <w:p>
      <w:pPr>
        <w:pStyle w:val="Normal"/>
      </w:pPr>
      <w:r>
        <w:rPr>
          <w:b/>
        </w:rPr>
        <w:t xml:space="preserve">Primary promise: </w:t>
      </w:r>
      <w:r>
        <w:t>Recover leasing opportunities your team misses after hours, during tours, or during busy periods.</w:t>
      </w:r>
    </w:p>
    <w:p>
      <w:pPr>
        <w:pStyle w:val="Note"/>
      </w:pPr>
      <w:r>
        <w:t>Do not lead with broad AI automation, owner updates, vendor dispatching, or every possible tenant workflow this month. Those are expansion paths after the first workflow earns attention.</w:t>
      </w:r>
    </w:p>
    <w:p>
      <w:pPr>
        <w:pStyle w:val="Heading1"/>
        <w:keepNext/>
      </w:pPr>
      <w:r>
        <w:t>5. Ideal Customer Profile</w:t>
      </w:r>
    </w:p>
    <w:p>
      <w:pPr>
        <w:pStyle w:val="ListBullet"/>
        <w:numPr>
          <w:ilvl w:val="0"/>
          <w:numId w:val="1"/>
        </w:numPr>
      </w:pPr>
      <w:r>
        <w:t>Residential property management companies with roughly 100-2,000 doors.</w:t>
      </w:r>
    </w:p>
    <w:p>
      <w:pPr>
        <w:pStyle w:val="ListBullet"/>
        <w:numPr>
          <w:ilvl w:val="0"/>
          <w:numId w:val="1"/>
        </w:numPr>
      </w:pPr>
      <w:r>
        <w:t>Leasing inquiries arrive through phone, SMS, forms, and active rental listings.</w:t>
      </w:r>
    </w:p>
    <w:p>
      <w:pPr>
        <w:pStyle w:val="ListBullet"/>
        <w:numPr>
          <w:ilvl w:val="0"/>
          <w:numId w:val="1"/>
        </w:numPr>
      </w:pPr>
      <w:r>
        <w:t>Small operations or leasing teams that can buy quickly.</w:t>
      </w:r>
    </w:p>
    <w:p>
      <w:pPr>
        <w:pStyle w:val="ListBullet"/>
        <w:numPr>
          <w:ilvl w:val="0"/>
          <w:numId w:val="1"/>
        </w:numPr>
      </w:pPr>
      <w:r>
        <w:t>Public phone number, active listings, and a visible lead-response path.</w:t>
      </w:r>
    </w:p>
    <w:p>
      <w:pPr>
        <w:pStyle w:val="ListBullet"/>
        <w:numPr>
          <w:ilvl w:val="0"/>
          <w:numId w:val="1"/>
        </w:numPr>
      </w:pPr>
      <w:r>
        <w:t>Existing PM system or CRM they want kept current.</w:t>
      </w:r>
    </w:p>
    <w:p>
      <w:pPr>
        <w:pStyle w:val="Normal"/>
      </w:pPr>
      <w:r>
        <w:rPr>
          <w:b/>
        </w:rPr>
        <w:t xml:space="preserve">Buying signals: </w:t>
      </w:r>
      <w:r>
        <w:t>multiple live listings, call-to-schedule language, after-hours calls, slow lead-response clues, admin or leasing hiring, and reviews mentioning communication delays.</w:t>
      </w:r>
    </w:p>
    <w:p>
      <w:pPr>
        <w:pStyle w:val="Heading1"/>
        <w:keepNext/>
      </w:pPr>
      <w:r>
        <w:t>6. Website Fixes Before Outreach</w:t>
      </w:r>
    </w:p>
    <w:p>
      <w:pPr>
        <w:pStyle w:val="ListNumber"/>
        <w:numPr>
          <w:ilvl w:val="0"/>
          <w:numId w:val="2"/>
        </w:numPr>
      </w:pPr>
      <w:r>
        <w:t>Add a real booking calendar. Keep email as a secondary path.</w:t>
      </w:r>
    </w:p>
    <w:p>
      <w:pPr>
        <w:pStyle w:val="ListNumber"/>
        <w:numPr>
          <w:ilvl w:val="0"/>
          <w:numId w:val="2"/>
        </w:numPr>
      </w:pPr>
      <w:r>
        <w:t>Record a 60-90 second missed-call workflow demo.</w:t>
      </w:r>
    </w:p>
    <w:p>
      <w:pPr>
        <w:pStyle w:val="ListNumber"/>
        <w:numPr>
          <w:ilvl w:val="0"/>
          <w:numId w:val="2"/>
        </w:numPr>
      </w:pPr>
      <w:r>
        <w:t>Add one proof asset: a real mini case study or a clearly labeled demo walkthrough.</w:t>
      </w:r>
    </w:p>
    <w:p>
      <w:pPr>
        <w:pStyle w:val="ListNumber"/>
        <w:numPr>
          <w:ilvl w:val="0"/>
          <w:numId w:val="2"/>
        </w:numPr>
      </w:pPr>
      <w:r>
        <w:t>Use two above-the-fold CTAs: Book Free Workflow Audit and Watch Missed-Call Demo.</w:t>
      </w:r>
    </w:p>
    <w:p>
      <w:pPr>
        <w:pStyle w:val="ListNumber"/>
        <w:numPr>
          <w:ilvl w:val="0"/>
          <w:numId w:val="2"/>
        </w:numPr>
      </w:pPr>
      <w:r>
        <w:t>Label or replace any dashboard metric that looks like client proof if it is only illustrative.</w:t>
      </w:r>
    </w:p>
    <w:p>
      <w:pPr>
        <w:pStyle w:val="Heading1"/>
        <w:keepNext/>
      </w:pPr>
      <w:r>
        <w:t>7. Prospect List and Daily Cadence</w:t>
      </w:r>
    </w:p>
    <w:p>
      <w:pPr>
        <w:pStyle w:val="Normal"/>
      </w:pPr>
      <w:r>
        <w:t>Build the first 100-account list from property-management directories, local association chapters, Google Maps, and LinkedIn decision-maker searches. Track company, market, website, decision maker, email, phone, software clues, pain signal, last touch, and follow-up date.</w:t>
      </w:r>
    </w:p>
    <w:tbl>
      <w:tblPr>
        <w:tblW w:w="9360" w:type="dxa"/>
        <w:tblInd w:w="120" w:type="dxa"/>
        <w:tblLayout w:type="fixed"/>
        <w:tblBorders>
          <w:top w:val="single" w:sz="4" w:color="B7C9DB"/>
          <w:left w:val="single" w:sz="4" w:color="B7C9DB"/>
          <w:bottom w:val="single" w:sz="4" w:color="B7C9DB"/>
          <w:right w:val="single" w:sz="4" w:color="B7C9DB"/>
          <w:insideH w:val="single" w:sz="4" w:color="D8E2EC"/>
          <w:insideV w:val="single" w:sz="4" w:color="D8E2EC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6500"/>
        <w:gridCol w:w="2860"/>
      </w:tblGrid>
      <w:tr>
        <w:tc>
          <w:tcPr>
            <w:tcW w:w="6500" w:type="dxa"/>
            <w:shd w:fill="E8EEF5"/>
          </w:tcPr>
          <w:p>
            <w:pPr>
              <w:pStyle w:val="Normal"/>
            </w:pPr>
            <w:r>
              <w:rPr>
                <w:b/>
              </w:rPr>
              <w:t>Daily action</w:t>
            </w:r>
          </w:p>
        </w:tc>
        <w:tc>
          <w:tcPr>
            <w:tcW w:w="2860" w:type="dxa"/>
            <w:shd w:fill="E8EEF5"/>
          </w:tcPr>
          <w:p>
            <w:pPr>
              <w:pStyle w:val="Normal"/>
            </w:pPr>
            <w:r>
              <w:rPr>
                <w:b/>
              </w:rPr>
              <w:t>Quantity</w:t>
            </w:r>
          </w:p>
        </w:tc>
      </w:tr>
      <w:tr>
        <w:tc>
          <w:tcPr>
            <w:tcW w:w="6500" w:type="dxa"/>
          </w:tcPr>
          <w:p>
            <w:pPr>
              <w:pStyle w:val="Normal"/>
            </w:pPr>
            <w:r>
              <w:t>Targeted cold emails</w:t>
            </w:r>
          </w:p>
        </w:tc>
        <w:tc>
          <w:tcPr>
            <w:tcW w:w="2860" w:type="dxa"/>
          </w:tcPr>
          <w:p>
            <w:pPr>
              <w:pStyle w:val="Normal"/>
            </w:pPr>
            <w:r>
              <w:t>30-40</w:t>
            </w:r>
          </w:p>
        </w:tc>
      </w:tr>
      <w:tr>
        <w:tc>
          <w:tcPr>
            <w:tcW w:w="6500" w:type="dxa"/>
          </w:tcPr>
          <w:p>
            <w:pPr>
              <w:pStyle w:val="Normal"/>
            </w:pPr>
            <w:r>
              <w:t>Follow-up emails</w:t>
            </w:r>
          </w:p>
        </w:tc>
        <w:tc>
          <w:tcPr>
            <w:tcW w:w="2860" w:type="dxa"/>
          </w:tcPr>
          <w:p>
            <w:pPr>
              <w:pStyle w:val="Normal"/>
            </w:pPr>
            <w:r>
              <w:t>10</w:t>
            </w:r>
          </w:p>
        </w:tc>
      </w:tr>
      <w:tr>
        <w:tc>
          <w:tcPr>
            <w:tcW w:w="6500" w:type="dxa"/>
          </w:tcPr>
          <w:p>
            <w:pPr>
              <w:pStyle w:val="Normal"/>
            </w:pPr>
            <w:r>
              <w:t>Phone calls</w:t>
            </w:r>
          </w:p>
        </w:tc>
        <w:tc>
          <w:tcPr>
            <w:tcW w:w="2860" w:type="dxa"/>
          </w:tcPr>
          <w:p>
            <w:pPr>
              <w:pStyle w:val="Normal"/>
            </w:pPr>
            <w:r>
              <w:t>10</w:t>
            </w:r>
          </w:p>
        </w:tc>
      </w:tr>
      <w:tr>
        <w:tc>
          <w:tcPr>
            <w:tcW w:w="6500" w:type="dxa"/>
          </w:tcPr>
          <w:p>
            <w:pPr>
              <w:pStyle w:val="Normal"/>
            </w:pPr>
            <w:r>
              <w:t>LinkedIn touches</w:t>
            </w:r>
          </w:p>
        </w:tc>
        <w:tc>
          <w:tcPr>
            <w:tcW w:w="2860" w:type="dxa"/>
          </w:tcPr>
          <w:p>
            <w:pPr>
              <w:pStyle w:val="Normal"/>
            </w:pPr>
            <w:r>
              <w:t>10-15</w:t>
            </w:r>
          </w:p>
        </w:tc>
      </w:tr>
      <w:tr>
        <w:tc>
          <w:tcPr>
            <w:tcW w:w="6500" w:type="dxa"/>
          </w:tcPr>
          <w:p>
            <w:pPr>
              <w:pStyle w:val="Normal"/>
            </w:pPr>
            <w:r>
              <w:t>Personalized Loom audits</w:t>
            </w:r>
          </w:p>
        </w:tc>
        <w:tc>
          <w:tcPr>
            <w:tcW w:w="2860" w:type="dxa"/>
          </w:tcPr>
          <w:p>
            <w:pPr>
              <w:pStyle w:val="Normal"/>
            </w:pPr>
            <w:r>
              <w:t>2-3</w:t>
            </w:r>
          </w:p>
        </w:tc>
      </w:tr>
    </w:tbl>
    <w:p>
      <w:pPr>
        <w:pStyle w:val="Heading1"/>
        <w:keepNext/>
      </w:pPr>
      <w:r>
        <w:t>8. Outreach Scripts</w:t>
      </w:r>
    </w:p>
    <w:p>
      <w:pPr>
        <w:pStyle w:val="Heading2"/>
        <w:keepNext/>
      </w:pPr>
      <w:r>
        <w:t>Cold email</w:t>
      </w:r>
    </w:p>
    <w:p>
      <w:pPr>
        <w:pStyle w:val="Script"/>
      </w:pPr>
      <w:r>
        <w:t>Subject: missed leasing calls at {{company}}
Hi {{first_name}},
I noticed {{company}} is actively leasing in {{market}}.
Quick question: when a prospect calls after hours or while your team is busy, do missed callers get an immediate text-back and booking path?
I build a 7-day missed-call recovery workflow for property managers: instant SMS reply, lead qualification, showing request routing, and CRM or team notification.
I can map your current lead-response flow and show the first automation I would install in a 15-minute audit.
Open to that this week?
Diaoune
EMC2Ops</w:t>
      </w:r>
    </w:p>
    <w:p>
      <w:pPr>
        <w:pStyle w:val="Heading2"/>
        <w:keepNext/>
      </w:pPr>
      <w:r>
        <w:t>Follow-up</w:t>
      </w:r>
    </w:p>
    <w:p>
      <w:pPr>
        <w:pStyle w:val="Script"/>
      </w:pPr>
      <w:r>
        <w:t>Hi {{first_name}},
Following up because missed leasing calls are usually a small workflow problem with a direct revenue impact.
Would it be useful if I sent a 2-minute teardown of how I would handle missed call -&gt; text-back -&gt; qualification -&gt; showing request?</w:t>
      </w:r>
    </w:p>
    <w:p>
      <w:pPr>
        <w:pStyle w:val="Heading2"/>
        <w:keepNext/>
      </w:pPr>
      <w:r>
        <w:t>Call opener</w:t>
      </w:r>
    </w:p>
    <w:p>
      <w:pPr>
        <w:pStyle w:val="Script"/>
      </w:pPr>
      <w:r>
        <w:t>Hi, quick question. Who owns leasing lead follow-up when a prospect call is missed after hours or while the team is busy?</w:t>
      </w:r>
    </w:p>
    <w:p>
      <w:pPr>
        <w:pStyle w:val="Heading1"/>
        <w:keepNext/>
      </w:pPr>
      <w:r>
        <w:t>9. Weekly Execution Plan</w:t>
      </w:r>
    </w:p>
    <w:tbl>
      <w:tblPr>
        <w:tblW w:w="9360" w:type="dxa"/>
        <w:tblInd w:w="120" w:type="dxa"/>
        <w:tblLayout w:type="fixed"/>
        <w:tblBorders>
          <w:top w:val="single" w:sz="4" w:color="B7C9DB"/>
          <w:left w:val="single" w:sz="4" w:color="B7C9DB"/>
          <w:bottom w:val="single" w:sz="4" w:color="B7C9DB"/>
          <w:right w:val="single" w:sz="4" w:color="B7C9DB"/>
          <w:insideH w:val="single" w:sz="4" w:color="D8E2EC"/>
          <w:insideV w:val="single" w:sz="4" w:color="D8E2EC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300"/>
        <w:gridCol w:w="1800"/>
        <w:gridCol w:w="6260"/>
      </w:tblGrid>
      <w:tr>
        <w:tc>
          <w:tcPr>
            <w:tcW w:w="1300" w:type="dxa"/>
            <w:shd w:fill="E8EEF5"/>
          </w:tcPr>
          <w:p>
            <w:pPr>
              <w:pStyle w:val="Normal"/>
            </w:pPr>
            <w:r>
              <w:rPr>
                <w:b/>
              </w:rPr>
              <w:t>Week</w:t>
            </w:r>
          </w:p>
        </w:tc>
        <w:tc>
          <w:tcPr>
            <w:tcW w:w="1800" w:type="dxa"/>
            <w:shd w:fill="E8EEF5"/>
          </w:tcPr>
          <w:p>
            <w:pPr>
              <w:pStyle w:val="Normal"/>
            </w:pPr>
            <w:r>
              <w:rPr>
                <w:b/>
              </w:rPr>
              <w:t>Focus</w:t>
            </w:r>
          </w:p>
        </w:tc>
        <w:tc>
          <w:tcPr>
            <w:tcW w:w="6260" w:type="dxa"/>
            <w:shd w:fill="E8EEF5"/>
          </w:tcPr>
          <w:p>
            <w:pPr>
              <w:pStyle w:val="Normal"/>
            </w:pPr>
            <w:r>
              <w:rPr>
                <w:b/>
              </w:rPr>
              <w:t>Deliverables</w:t>
            </w:r>
          </w:p>
        </w:tc>
      </w:tr>
      <w:tr>
        <w:tc>
          <w:tcPr>
            <w:tcW w:w="1300" w:type="dxa"/>
          </w:tcPr>
          <w:p>
            <w:pPr>
              <w:pStyle w:val="Normal"/>
            </w:pPr>
            <w:r>
              <w:t>Week 1</w:t>
            </w:r>
          </w:p>
        </w:tc>
        <w:tc>
          <w:tcPr>
            <w:tcW w:w="1800" w:type="dxa"/>
          </w:tcPr>
          <w:p>
            <w:pPr>
              <w:pStyle w:val="Normal"/>
            </w:pPr>
            <w:r>
              <w:t>Launch</w:t>
            </w:r>
          </w:p>
        </w:tc>
        <w:tc>
          <w:tcPr>
            <w:tcW w:w="6260" w:type="dxa"/>
          </w:tcPr>
          <w:p>
            <w:pPr>
              <w:pStyle w:val="Normal"/>
            </w:pPr>
            <w:r>
              <w:t>Fix booking flow, create demo, build first 100 prospects, send first 100-150 touches, book first audits.</w:t>
            </w:r>
          </w:p>
        </w:tc>
      </w:tr>
      <w:tr>
        <w:tc>
          <w:tcPr>
            <w:tcW w:w="1300" w:type="dxa"/>
          </w:tcPr>
          <w:p>
            <w:pPr>
              <w:pStyle w:val="Normal"/>
            </w:pPr>
            <w:r>
              <w:t>Week 2</w:t>
            </w:r>
          </w:p>
        </w:tc>
        <w:tc>
          <w:tcPr>
            <w:tcW w:w="1800" w:type="dxa"/>
          </w:tcPr>
          <w:p>
            <w:pPr>
              <w:pStyle w:val="Normal"/>
            </w:pPr>
            <w:r>
              <w:t>Learn</w:t>
            </w:r>
          </w:p>
        </w:tc>
        <w:tc>
          <w:tcPr>
            <w:tcW w:w="6260" w:type="dxa"/>
          </w:tcPr>
          <w:p>
            <w:pPr>
              <w:pStyle w:val="Normal"/>
            </w:pPr>
            <w:r>
              <w:t>Review replies, refine ICP and subject lines, add Loom audits, call blocks, and partner outreach.</w:t>
            </w:r>
          </w:p>
        </w:tc>
      </w:tr>
      <w:tr>
        <w:tc>
          <w:tcPr>
            <w:tcW w:w="1300" w:type="dxa"/>
          </w:tcPr>
          <w:p>
            <w:pPr>
              <w:pStyle w:val="Normal"/>
            </w:pPr>
            <w:r>
              <w:t>Week 3</w:t>
            </w:r>
          </w:p>
        </w:tc>
        <w:tc>
          <w:tcPr>
            <w:tcW w:w="1800" w:type="dxa"/>
          </w:tcPr>
          <w:p>
            <w:pPr>
              <w:pStyle w:val="Normal"/>
            </w:pPr>
            <w:r>
              <w:t>Close</w:t>
            </w:r>
          </w:p>
        </w:tc>
        <w:tc>
          <w:tcPr>
            <w:tcW w:w="6260" w:type="dxa"/>
          </w:tcPr>
          <w:p>
            <w:pPr>
              <w:pStyle w:val="Normal"/>
            </w:pPr>
            <w:r>
              <w:t>Send proposals within 24 hours of calls, follow up, publish one workflow breakdown.</w:t>
            </w:r>
          </w:p>
        </w:tc>
      </w:tr>
      <w:tr>
        <w:tc>
          <w:tcPr>
            <w:tcW w:w="1300" w:type="dxa"/>
          </w:tcPr>
          <w:p>
            <w:pPr>
              <w:pStyle w:val="Normal"/>
            </w:pPr>
            <w:r>
              <w:t>Week 4</w:t>
            </w:r>
          </w:p>
        </w:tc>
        <w:tc>
          <w:tcPr>
            <w:tcW w:w="1800" w:type="dxa"/>
          </w:tcPr>
          <w:p>
            <w:pPr>
              <w:pStyle w:val="Normal"/>
            </w:pPr>
            <w:r>
              <w:t>Compound</w:t>
            </w:r>
          </w:p>
        </w:tc>
        <w:tc>
          <w:tcPr>
            <w:tcW w:w="6260" w:type="dxa"/>
          </w:tcPr>
          <w:p>
            <w:pPr>
              <w:pStyle w:val="Normal"/>
            </w:pPr>
            <w:r>
              <w:t>Re-engage non-responders, ask for referrals, turn delivery into proof, offer optimization.</w:t>
            </w:r>
          </w:p>
        </w:tc>
      </w:tr>
    </w:tbl>
    <w:p>
      <w:pPr>
        <w:pStyle w:val="Heading1"/>
        <w:keepNext/>
      </w:pPr>
      <w:r>
        <w:t>10. Sales Call Flow</w:t>
      </w:r>
    </w:p>
    <w:p>
      <w:pPr>
        <w:pStyle w:val="ListNumber"/>
        <w:numPr>
          <w:ilvl w:val="0"/>
          <w:numId w:val="2"/>
        </w:numPr>
      </w:pPr>
      <w:r>
        <w:t>Map how leasing leads arrive today.</w:t>
      </w:r>
    </w:p>
    <w:p>
      <w:pPr>
        <w:pStyle w:val="ListNumber"/>
        <w:numPr>
          <w:ilvl w:val="0"/>
          <w:numId w:val="2"/>
        </w:numPr>
      </w:pPr>
      <w:r>
        <w:t>Ask what happens when a call is missed.</w:t>
      </w:r>
    </w:p>
    <w:p>
      <w:pPr>
        <w:pStyle w:val="ListNumber"/>
        <w:numPr>
          <w:ilvl w:val="0"/>
          <w:numId w:val="2"/>
        </w:numPr>
      </w:pPr>
      <w:r>
        <w:t>Measure response speed and stale lead handling.</w:t>
      </w:r>
    </w:p>
    <w:p>
      <w:pPr>
        <w:pStyle w:val="ListNumber"/>
        <w:numPr>
          <w:ilvl w:val="0"/>
          <w:numId w:val="2"/>
        </w:numPr>
      </w:pPr>
      <w:r>
        <w:t>Identify the system that stores lead status.</w:t>
      </w:r>
    </w:p>
    <w:p>
      <w:pPr>
        <w:pStyle w:val="ListNumber"/>
        <w:numPr>
          <w:ilvl w:val="0"/>
          <w:numId w:val="2"/>
        </w:numPr>
      </w:pPr>
      <w:r>
        <w:t>Estimate how many missed or stale leads matter each week.</w:t>
      </w:r>
    </w:p>
    <w:p>
      <w:pPr>
        <w:pStyle w:val="ListNumber"/>
        <w:numPr>
          <w:ilvl w:val="0"/>
          <w:numId w:val="2"/>
        </w:numPr>
      </w:pPr>
      <w:r>
        <w:t>Recommend one first workflow and send the proposal the same day.</w:t>
      </w:r>
    </w:p>
    <w:p>
      <w:pPr>
        <w:pStyle w:val="Normal"/>
      </w:pPr>
      <w:r>
        <w:rPr>
          <w:b/>
        </w:rPr>
        <w:t xml:space="preserve">Close line: </w:t>
      </w:r>
      <w:r>
        <w:t>The first workflow I would install is missed-call recovery plus qualification and routing. I can scope that as a 7-day implementation and send the proposal today.</w:t>
      </w:r>
    </w:p>
    <w:p>
      <w:pPr>
        <w:pStyle w:val="Heading1"/>
        <w:keepNext/>
      </w:pPr>
      <w:r>
        <w:t>11. Measurement Rules</w:t>
      </w:r>
    </w:p>
    <w:p>
      <w:pPr>
        <w:pStyle w:val="ListBullet"/>
        <w:numPr>
          <w:ilvl w:val="0"/>
          <w:numId w:val="1"/>
        </w:numPr>
      </w:pPr>
      <w:r>
        <w:t>Track accounts contacted, reply rate, positive replies, calls booked, calls held, proposals sent, deals closed, and days from first touch to call.</w:t>
      </w:r>
    </w:p>
    <w:p>
      <w:pPr>
        <w:pStyle w:val="ListBullet"/>
        <w:numPr>
          <w:ilvl w:val="0"/>
          <w:numId w:val="1"/>
        </w:numPr>
      </w:pPr>
      <w:r>
        <w:t>After 10 business days, low replies mean targeting or first-line relevance needs work.</w:t>
      </w:r>
    </w:p>
    <w:p>
      <w:pPr>
        <w:pStyle w:val="ListBullet"/>
        <w:numPr>
          <w:ilvl w:val="0"/>
          <w:numId w:val="1"/>
        </w:numPr>
      </w:pPr>
      <w:r>
        <w:t>Calls without closes mean the offer, proof, or urgency needs tightening.</w:t>
      </w:r>
    </w:p>
    <w:p>
      <w:pPr>
        <w:pStyle w:val="ListBullet"/>
        <w:numPr>
          <w:ilvl w:val="0"/>
          <w:numId w:val="1"/>
        </w:numPr>
      </w:pPr>
      <w:r>
        <w:t>Polite interest without urgency usually means the ICP or pain level is wrong.</w:t>
      </w:r>
    </w:p>
    <w:p>
      <w:pPr>
        <w:pStyle w:val="Heading1"/>
        <w:keepNext/>
      </w:pPr>
      <w:r>
        <w:t>12. Start Today</w:t>
      </w:r>
    </w:p>
    <w:p>
      <w:pPr>
        <w:pStyle w:val="ListNumber"/>
        <w:numPr>
          <w:ilvl w:val="0"/>
          <w:numId w:val="2"/>
        </w:numPr>
      </w:pPr>
      <w:r>
        <w:t>Add the booking calendar to the site.</w:t>
      </w:r>
    </w:p>
    <w:p>
      <w:pPr>
        <w:pStyle w:val="ListNumber"/>
        <w:numPr>
          <w:ilvl w:val="0"/>
          <w:numId w:val="2"/>
        </w:numPr>
      </w:pPr>
      <w:r>
        <w:t>Record the missed-call workflow demo.</w:t>
      </w:r>
    </w:p>
    <w:p>
      <w:pPr>
        <w:pStyle w:val="ListNumber"/>
        <w:numPr>
          <w:ilvl w:val="0"/>
          <w:numId w:val="2"/>
        </w:numPr>
      </w:pPr>
      <w:r>
        <w:t>Build a list of 50 property management companies.</w:t>
      </w:r>
    </w:p>
    <w:p>
      <w:pPr>
        <w:pStyle w:val="ListNumber"/>
        <w:numPr>
          <w:ilvl w:val="0"/>
          <w:numId w:val="2"/>
        </w:numPr>
      </w:pPr>
      <w:r>
        <w:t>Send 20 cold emails.</w:t>
      </w:r>
    </w:p>
    <w:p>
      <w:pPr>
        <w:pStyle w:val="ListNumber"/>
        <w:numPr>
          <w:ilvl w:val="0"/>
          <w:numId w:val="2"/>
        </w:numPr>
      </w:pPr>
      <w:r>
        <w:t>Call 5 companies.</w:t>
      </w:r>
    </w:p>
    <w:p>
      <w:pPr>
        <w:pStyle w:val="ListNumber"/>
        <w:numPr>
          <w:ilvl w:val="0"/>
          <w:numId w:val="2"/>
        </w:numPr>
      </w:pPr>
      <w:r>
        <w:t>Record 2 Loom audits for the best-fit accounts.</w:t>
      </w:r>
    </w:p>
    <w:p>
      <w:pPr>
        <w:pStyle w:val="ListNumber"/>
        <w:numPr>
          <w:ilvl w:val="0"/>
          <w:numId w:val="2"/>
        </w:numPr>
      </w:pPr>
      <w:r>
        <w:t>Post one LinkedIn breakdown: What should happen after a leasing call is missed?</w:t>
      </w:r>
    </w:p>
    <w:tbl>
      <w:tblPr>
        <w:tblW w:w="9360" w:type="dxa"/>
        <w:tblInd w:w="120" w:type="dxa"/>
        <w:tblLayout w:type="fixed"/>
        <w:tblBorders>
          <w:top w:val="single" w:sz="6" w:color="A9C3DA"/>
          <w:left w:val="single" w:sz="6" w:color="A9C3DA"/>
          <w:bottom w:val="single" w:sz="6" w:color="A9C3DA"/>
          <w:right w:val="single" w:sz="6" w:color="A9C3DA"/>
        </w:tblBorders>
        <w:tblCellMar>
          <w:top w:w="110" w:type="dxa"/>
          <w:start w:w="120" w:type="dxa"/>
          <w:bottom w:w="110" w:type="dxa"/>
          <w:end w:w="120" w:type="dxa"/>
        </w:tblCellMar>
      </w:tblPr>
      <w:tblGrid>
        <w:gridCol w:w="1900"/>
        <w:gridCol w:w="7460"/>
      </w:tblGrid>
      <w:tr>
        <w:tc>
          <w:tcPr>
            <w:tcW w:w="1900" w:type="dxa"/>
            <w:shd w:fill="E8EEF5"/>
          </w:tcPr>
          <w:p>
            <w:pPr>
              <w:pStyle w:val="Normal"/>
            </w:pPr>
            <w:r>
              <w:rPr>
                <w:b/>
                <w:color w:val="1F4D78"/>
              </w:rPr>
              <w:t>Bottom line</w:t>
            </w:r>
          </w:p>
        </w:tc>
        <w:tc>
          <w:tcPr>
            <w:tcW w:w="7460" w:type="dxa"/>
            <w:shd w:fill="F4F6F9"/>
          </w:tcPr>
          <w:p>
            <w:pPr>
              <w:pStyle w:val="Normal"/>
            </w:pPr>
            <w:r>
              <w:t>The fastest route to clients within one month is one urgent offer, one narrow property-management ICP, targeted outbound volume, short workflow audits, fast proposals, and proof created from the first delivery.</w:t>
            </w:r>
          </w:p>
        </w:tc>
      </w:tr>
    </w:tbl>
    <w:p>
      <w:pPr>
        <w:pStyle w:val="Heading1"/>
        <w:keepNext/>
      </w:pPr>
      <w:r>
        <w:t>Sources to Revisit</w:t>
      </w:r>
    </w:p>
    <w:p>
      <w:pPr>
        <w:pStyle w:val="ListBullet"/>
        <w:numPr>
          <w:ilvl w:val="0"/>
          <w:numId w:val="1"/>
        </w:numPr>
      </w:pPr>
      <w:r>
        <w:t>NARPM and IREM directories or local chapters for prospect and relationship discovery.</w:t>
      </w:r>
    </w:p>
    <w:p>
      <w:pPr>
        <w:pStyle w:val="ListBullet"/>
        <w:numPr>
          <w:ilvl w:val="0"/>
          <w:numId w:val="1"/>
        </w:numPr>
      </w:pPr>
      <w:r>
        <w:t>AppFolio and Buildium ecosystems for consultants and potential implementation partners.</w:t>
      </w:r>
    </w:p>
    <w:p>
      <w:pPr>
        <w:pStyle w:val="ListBullet"/>
        <w:numPr>
          <w:ilvl w:val="0"/>
          <w:numId w:val="1"/>
        </w:numPr>
      </w:pPr>
      <w:r>
        <w:t>FTC CAN-SPAM guidance before scaling commercial email outreach.</w:t>
      </w:r>
    </w:p>
    <w:sectPr>
      <w:pgSz w:w="12240" w:h="15840"/>
      <w:pgMar w:top="1440" w:right="1440" w:bottom="1440" w:left="1440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1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</w:lvl>
  </w:abstractNum>
  <w:abstractNum w:abstractNumId="2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">
    <w:abstractNumId w:val="1"/>
  </w:num>
  <w:num w:numId="2">
    <w:abstractNumId w:val="2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szCs w:val="22"/>
      </w:rPr>
    </w:rPrDefault>
    <w:pPrDefault>
      <w:pPr>
        <w:spacing w:after="120" w:line="300" w:lineRule="auto"/>
      </w:pPr>
    </w:pPrDefault>
  </w:docDefaults>
  <w:style w:type="paragraph" w:styleId="Normal">
    <w:name w:val="Normal"/>
    <w:pPr>
      <w:spacing w:before="0" w:after="120" w:line="300" w:lineRule="auto"/>
    </w:pPr>
    <w:rPr>
      <w:rFonts w:ascii="Calibri" w:hAnsi="Calibri"/>
      <w:sz w:val="22"/>
      <w:szCs w:val="22"/>
    </w:rPr>
  </w:style>
  <w:style w:type="paragraph" w:styleId="Title">
    <w:name w:val="Title"/>
    <w:basedOn w:val="Normal"/>
    <w:pPr>
      <w:spacing w:before="0" w:after="120" w:line="300" w:lineRule="auto"/>
    </w:pPr>
    <w:rPr>
      <w:b/>
      <w:color w:val="0B2545"/>
      <w:sz w:val="52"/>
      <w:szCs w:val="52"/>
    </w:rPr>
  </w:style>
  <w:style w:type="paragraph" w:styleId="Subtitle">
    <w:name w:val="Subtitle"/>
    <w:basedOn w:val="Normal"/>
    <w:pPr>
      <w:spacing w:before="0" w:after="180" w:line="300" w:lineRule="auto"/>
    </w:pPr>
    <w:rPr>
      <w:color w:val="1F4D78"/>
      <w:sz w:val="28"/>
      <w:szCs w:val="28"/>
    </w:rPr>
  </w:style>
  <w:style w:type="paragraph" w:styleId="Metadata">
    <w:name w:val="Metadata"/>
    <w:basedOn w:val="Normal"/>
    <w:pPr>
      <w:spacing w:before="0" w:after="180" w:line="280" w:lineRule="auto"/>
    </w:pPr>
    <w:rPr>
      <w:color w:val="555555"/>
      <w:sz w:val="20"/>
      <w:szCs w:val="20"/>
    </w:rPr>
  </w:style>
  <w:style w:type="paragraph" w:styleId="Heading1">
    <w:name w:val="Heading 1"/>
    <w:basedOn w:val="Normal"/>
    <w:outlineLvl w:val="0"/>
    <w:pPr>
      <w:spacing w:before="360" w:after="200" w:line="300" w:lineRule="auto"/>
    </w:pPr>
    <w:rPr>
      <w:b/>
      <w:color w:val="2E74B5"/>
      <w:sz w:val="32"/>
      <w:szCs w:val="32"/>
    </w:rPr>
  </w:style>
  <w:style w:type="paragraph" w:styleId="Heading2">
    <w:name w:val="Heading 2"/>
    <w:basedOn w:val="Normal"/>
    <w:outlineLvl w:val="1"/>
    <w:pPr>
      <w:spacing w:before="280" w:after="140" w:line="300" w:lineRule="auto"/>
    </w:pPr>
    <w:rPr>
      <w:b/>
      <w:color w:val="2E74B5"/>
      <w:sz w:val="26"/>
      <w:szCs w:val="26"/>
    </w:rPr>
  </w:style>
  <w:style w:type="paragraph" w:styleId="ListBullet">
    <w:name w:val="List Bullet"/>
    <w:basedOn w:val="Normal"/>
    <w:pPr>
      <w:spacing w:before="0" w:after="80" w:line="300" w:lineRule="auto"/>
    </w:pPr>
  </w:style>
  <w:style w:type="paragraph" w:styleId="ListNumber">
    <w:name w:val="List Number"/>
    <w:basedOn w:val="Normal"/>
    <w:pPr>
      <w:spacing w:before="0" w:after="80" w:line="300" w:lineRule="auto"/>
    </w:pPr>
  </w:style>
  <w:style w:type="paragraph" w:styleId="Note">
    <w:name w:val="Note"/>
    <w:basedOn w:val="Normal"/>
    <w:pPr>
      <w:spacing w:before="80" w:after="120" w:line="300" w:lineRule="auto"/>
      <w:ind w:left="240" w:right="240"/>
    </w:pPr>
    <w:rPr>
      <w:i/>
      <w:color w:val="1F4D78"/>
    </w:rPr>
  </w:style>
  <w:style w:type="paragraph" w:styleId="Script">
    <w:name w:val="Script"/>
    <w:basedOn w:val="Normal"/>
    <w:pPr>
      <w:spacing w:before="60" w:after="120" w:line="280" w:lineRule="auto"/>
      <w:ind w:left="240" w:right="240"/>
    </w:pPr>
    <w:rPr>
      <w:rFonts w:ascii="Courier New" w:hAnsi="Courier New"/>
      <w:sz w:val="19"/>
      <w:szCs w:val="19"/>
      <w:color w:val="202A35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
</file>

<file path=docProps/app.xml><?xml version="1.0" encoding="utf-8"?>
<Properties xmlns="http://schemas.openxmlformats.org/officeDocument/2006/extended-properties" xmlns:vt="http://schemas.openxmlformats.org/officeDocument/2006/docPropsVTypes">
  <Application>OpenAI 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EMC2Ops 30-Day Client Acquisition Strategy</dc:title>
  <dc:subject>Marketing strategy and sales sprint</dc:subject>
  <dc:creator>OpenAI Codex</dc:creator>
  <cp:keywords>EMC2Ops, property management, outbound, marketing strategy</cp:keywords>
</cp:coreProperties>
</file>