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2FA8" w14:textId="77777777" w:rsidR="001A478D" w:rsidRDefault="001A478D"/>
    <w:tbl>
      <w:tblPr>
        <w:tblStyle w:val="a"/>
        <w:tblW w:w="9864"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9864"/>
      </w:tblGrid>
      <w:tr w:rsidR="001A478D" w14:paraId="43EBCF79" w14:textId="77777777">
        <w:tc>
          <w:tcPr>
            <w:tcW w:w="9864" w:type="dxa"/>
          </w:tcPr>
          <w:p w14:paraId="19C3300D" w14:textId="77777777" w:rsidR="001A478D" w:rsidRDefault="009D7C7D">
            <w:pPr>
              <w:jc w:val="center"/>
              <w:rPr>
                <w:sz w:val="32"/>
                <w:szCs w:val="32"/>
              </w:rPr>
            </w:pPr>
            <w:r>
              <w:rPr>
                <w:b/>
                <w:sz w:val="32"/>
                <w:szCs w:val="32"/>
              </w:rPr>
              <w:t>College Student Health Survey</w:t>
            </w:r>
          </w:p>
          <w:p w14:paraId="70172B7A" w14:textId="77777777" w:rsidR="001A478D" w:rsidRDefault="001A478D">
            <w:pPr>
              <w:jc w:val="center"/>
              <w:rPr>
                <w:sz w:val="32"/>
                <w:szCs w:val="32"/>
              </w:rPr>
            </w:pPr>
          </w:p>
        </w:tc>
      </w:tr>
    </w:tbl>
    <w:p w14:paraId="48831B04" w14:textId="77777777" w:rsidR="001A478D" w:rsidRDefault="001A478D">
      <w:pPr>
        <w:rPr>
          <w:sz w:val="32"/>
          <w:szCs w:val="32"/>
        </w:rPr>
      </w:pPr>
    </w:p>
    <w:p w14:paraId="68B03BEC" w14:textId="77777777" w:rsidR="001A478D" w:rsidRDefault="009D7C7D">
      <w:r>
        <w:t>The College Student Health Survey (CSHS), developed by Boynton Health Services, is used to collect health information from a random sample of Minnesota post-secondary students. The survey, given annually, provides information on these students’ experiences and behaviors in the areas of health insurance and health care utilization, mental health, tobacco use, alcohol and other drug use, personal safety and financial health, nutrition and physical activity, and sexual health. You will use data collected by Boynton Health Services to answer the following research question:</w:t>
      </w:r>
    </w:p>
    <w:p w14:paraId="4BF7B3E9" w14:textId="77777777" w:rsidR="001A478D" w:rsidRDefault="001A478D"/>
    <w:p w14:paraId="78BDD00D" w14:textId="77777777" w:rsidR="001A478D" w:rsidRDefault="001A478D"/>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1A478D" w14:paraId="465F18A3" w14:textId="77777777">
        <w:tc>
          <w:tcPr>
            <w:tcW w:w="9648" w:type="dxa"/>
            <w:tcBorders>
              <w:top w:val="single" w:sz="12" w:space="0" w:color="000000"/>
              <w:left w:val="single" w:sz="12" w:space="0" w:color="000000"/>
              <w:bottom w:val="single" w:sz="12" w:space="0" w:color="000000"/>
              <w:right w:val="single" w:sz="12" w:space="0" w:color="000000"/>
            </w:tcBorders>
            <w:shd w:val="clear" w:color="auto" w:fill="EAD1DC"/>
            <w:tcMar>
              <w:top w:w="100" w:type="dxa"/>
              <w:left w:w="100" w:type="dxa"/>
              <w:bottom w:w="100" w:type="dxa"/>
              <w:right w:w="100" w:type="dxa"/>
            </w:tcMar>
          </w:tcPr>
          <w:p w14:paraId="24E37DD5" w14:textId="77777777" w:rsidR="001A478D" w:rsidRDefault="009D7C7D">
            <w:pPr>
              <w:widowControl w:val="0"/>
              <w:pBdr>
                <w:top w:val="nil"/>
                <w:left w:val="nil"/>
                <w:bottom w:val="nil"/>
                <w:right w:val="nil"/>
                <w:between w:val="nil"/>
              </w:pBdr>
              <w:jc w:val="center"/>
            </w:pPr>
            <w:r>
              <w:t>What percentage of all Minnesota PSEO students used a vaping device in the past 30 days?</w:t>
            </w:r>
          </w:p>
        </w:tc>
      </w:tr>
    </w:tbl>
    <w:p w14:paraId="49411143" w14:textId="77777777" w:rsidR="001A478D" w:rsidRDefault="001A478D"/>
    <w:p w14:paraId="60400E54" w14:textId="77777777" w:rsidR="001A478D" w:rsidRDefault="001A478D"/>
    <w:p w14:paraId="1472A84D" w14:textId="77777777" w:rsidR="001A478D" w:rsidRDefault="009D7C7D">
      <w:r>
        <w:t>Each question is worth 1point unless otherwise indicated.</w:t>
      </w:r>
    </w:p>
    <w:p w14:paraId="0DAF4826" w14:textId="77777777" w:rsidR="001A478D" w:rsidRDefault="001A478D"/>
    <w:p w14:paraId="186F99CC" w14:textId="77777777" w:rsidR="001A478D" w:rsidRDefault="001A478D"/>
    <w:p w14:paraId="0C6BDF3C" w14:textId="77777777" w:rsidR="001A478D" w:rsidRDefault="009D7C7D">
      <w:pPr>
        <w:rPr>
          <w:b/>
        </w:rPr>
      </w:pPr>
      <w:r>
        <w:rPr>
          <w:b/>
        </w:rPr>
        <w:t>Explore the Observed Data</w:t>
      </w:r>
    </w:p>
    <w:p w14:paraId="215FB626" w14:textId="77777777" w:rsidR="001A478D" w:rsidRDefault="001A478D">
      <w:pPr>
        <w:rPr>
          <w:b/>
        </w:rPr>
      </w:pPr>
    </w:p>
    <w:p w14:paraId="6FDB8FDE" w14:textId="77777777" w:rsidR="001A478D" w:rsidRDefault="009D7C7D">
      <w:pPr>
        <w:rPr>
          <w:b/>
        </w:rPr>
      </w:pPr>
      <w:r>
        <w:t>One of the reported findings from the 2015 CSHS was that 3 of the 56 sampled Minnesota PSEO students used a vaping device in the past 30 days.</w:t>
      </w:r>
    </w:p>
    <w:p w14:paraId="552B1D1A" w14:textId="77777777" w:rsidR="001A478D" w:rsidRDefault="001A478D"/>
    <w:p w14:paraId="7208462F" w14:textId="77777777" w:rsidR="001A478D" w:rsidRDefault="009D7C7D">
      <w:pPr>
        <w:numPr>
          <w:ilvl w:val="0"/>
          <w:numId w:val="1"/>
        </w:numPr>
      </w:pPr>
      <w:r>
        <w:t xml:space="preserve">What percentage </w:t>
      </w:r>
      <w:proofErr w:type="gramStart"/>
      <w:r>
        <w:t>of  Minnesota</w:t>
      </w:r>
      <w:proofErr w:type="gramEnd"/>
      <w:r>
        <w:t xml:space="preserve"> PSEO students sampled used a vaping device in the past 30 days? </w:t>
      </w:r>
    </w:p>
    <w:p w14:paraId="42796DD0" w14:textId="77777777" w:rsidR="001A478D" w:rsidRDefault="001A478D"/>
    <w:p w14:paraId="47769E67" w14:textId="77777777" w:rsidR="001A478D" w:rsidRDefault="001A478D"/>
    <w:p w14:paraId="2CA7A717" w14:textId="77777777" w:rsidR="001A478D" w:rsidRDefault="009D7C7D">
      <w:r>
        <w:rPr>
          <w:b/>
        </w:rPr>
        <w:t>Bootstrapping</w:t>
      </w:r>
    </w:p>
    <w:p w14:paraId="36C1F6BF" w14:textId="77777777" w:rsidR="001A478D" w:rsidRDefault="001A478D"/>
    <w:p w14:paraId="4A23CB9D" w14:textId="77777777" w:rsidR="001A478D" w:rsidRDefault="009D7C7D">
      <w:r>
        <w:t xml:space="preserve">Set up a bootstrap model in </w:t>
      </w:r>
      <w:proofErr w:type="spellStart"/>
      <w:r>
        <w:t>TinkerPlots</w:t>
      </w:r>
      <w:proofErr w:type="spellEnd"/>
      <w:r>
        <w:t xml:space="preserve"> based on the results in the observed data. </w:t>
      </w:r>
    </w:p>
    <w:p w14:paraId="5A4711C9" w14:textId="77777777" w:rsidR="001A478D" w:rsidRDefault="001A478D"/>
    <w:p w14:paraId="73823E5B" w14:textId="77777777" w:rsidR="001A478D" w:rsidRDefault="009D7C7D">
      <w:pPr>
        <w:numPr>
          <w:ilvl w:val="0"/>
          <w:numId w:val="1"/>
        </w:numPr>
      </w:pPr>
      <w:r>
        <w:t xml:space="preserve">Copy-and-paste (or sketch) a picture of the </w:t>
      </w:r>
      <w:proofErr w:type="spellStart"/>
      <w:r>
        <w:t>TinkerPlots</w:t>
      </w:r>
      <w:proofErr w:type="spellEnd"/>
      <w:r>
        <w:t xml:space="preserve"> sampler window into your word-processed document. </w:t>
      </w:r>
    </w:p>
    <w:p w14:paraId="669F304D" w14:textId="77777777" w:rsidR="001A478D" w:rsidRDefault="001A478D"/>
    <w:p w14:paraId="040CF4EF" w14:textId="77777777" w:rsidR="001A478D" w:rsidRDefault="009D7C7D">
      <w:r>
        <w:t xml:space="preserve">Carry out 500 trials of the bootstrap simulation, </w:t>
      </w:r>
      <w:r>
        <w:rPr>
          <w:i/>
        </w:rPr>
        <w:t>collecting the percentage</w:t>
      </w:r>
      <w:r>
        <w:t xml:space="preserve"> of PSEO students who reported they had vaped in the previous 30 days. Plot the 500 bootstrapped percentages. </w:t>
      </w:r>
    </w:p>
    <w:p w14:paraId="001D2B14" w14:textId="77777777" w:rsidR="001A478D" w:rsidRDefault="001A478D"/>
    <w:p w14:paraId="7A0A3EDB" w14:textId="77777777" w:rsidR="001A478D" w:rsidRDefault="001A478D"/>
    <w:p w14:paraId="761A5849" w14:textId="77777777" w:rsidR="001A478D" w:rsidRDefault="009D7C7D">
      <w:pPr>
        <w:numPr>
          <w:ilvl w:val="0"/>
          <w:numId w:val="1"/>
        </w:numPr>
      </w:pPr>
      <w:r>
        <w:t xml:space="preserve">Copy-and-paste the plot of the bootstrap distribution into your word-processed document. </w:t>
      </w:r>
    </w:p>
    <w:p w14:paraId="6BB9D2FE" w14:textId="77777777" w:rsidR="001A478D" w:rsidRDefault="001A478D">
      <w:pPr>
        <w:ind w:left="360"/>
      </w:pPr>
      <w:bookmarkStart w:id="0" w:name="_GoBack"/>
      <w:bookmarkEnd w:id="0"/>
    </w:p>
    <w:p w14:paraId="52E03875" w14:textId="77777777" w:rsidR="001A478D" w:rsidRDefault="009D7C7D">
      <w:pPr>
        <w:numPr>
          <w:ilvl w:val="0"/>
          <w:numId w:val="1"/>
        </w:numPr>
      </w:pPr>
      <w:r>
        <w:lastRenderedPageBreak/>
        <w:t xml:space="preserve">Compute and report the mean of the bootstrap distribution. </w:t>
      </w:r>
    </w:p>
    <w:p w14:paraId="7EE2C6C7" w14:textId="77777777" w:rsidR="001A478D" w:rsidRDefault="001A478D"/>
    <w:p w14:paraId="5CF0BE2C" w14:textId="77777777" w:rsidR="001A478D" w:rsidRDefault="009D7C7D">
      <w:pPr>
        <w:numPr>
          <w:ilvl w:val="0"/>
          <w:numId w:val="1"/>
        </w:numPr>
      </w:pPr>
      <w:r>
        <w:t xml:space="preserve">Explain why the mean of the sampling distribution is close to the sample percentage. Be sure to refer to both the model you included in your </w:t>
      </w:r>
      <w:proofErr w:type="spellStart"/>
      <w:r>
        <w:t>TinkerPlots</w:t>
      </w:r>
      <w:proofErr w:type="spellEnd"/>
      <w:r>
        <w:t xml:space="preserve"> sampler and the sampling process in your response. </w:t>
      </w:r>
      <w:r>
        <w:rPr>
          <w:b/>
        </w:rPr>
        <w:t>(2pts)</w:t>
      </w:r>
    </w:p>
    <w:p w14:paraId="1ABC7DD2" w14:textId="77777777" w:rsidR="001A478D" w:rsidRDefault="001A478D"/>
    <w:p w14:paraId="4C33A0FA" w14:textId="77777777" w:rsidR="001A478D" w:rsidRDefault="009D7C7D">
      <w:pPr>
        <w:numPr>
          <w:ilvl w:val="0"/>
          <w:numId w:val="1"/>
        </w:numPr>
      </w:pPr>
      <w:r>
        <w:t xml:space="preserve">Compute and report the margin of error. </w:t>
      </w:r>
    </w:p>
    <w:p w14:paraId="73B37FCB" w14:textId="77777777" w:rsidR="001A478D" w:rsidRDefault="001A478D"/>
    <w:p w14:paraId="483A7AF1" w14:textId="77777777" w:rsidR="001A478D" w:rsidRDefault="009D7C7D">
      <w:pPr>
        <w:numPr>
          <w:ilvl w:val="0"/>
          <w:numId w:val="1"/>
        </w:numPr>
      </w:pPr>
      <w:r>
        <w:t xml:space="preserve">Compute and report the endpoints of the compatibility interval. Show your work for full credit. </w:t>
      </w:r>
    </w:p>
    <w:p w14:paraId="068B547C" w14:textId="77777777" w:rsidR="001A478D" w:rsidRDefault="001A478D">
      <w:pPr>
        <w:ind w:left="360"/>
      </w:pPr>
    </w:p>
    <w:p w14:paraId="2A34BFDD" w14:textId="77777777" w:rsidR="001A478D" w:rsidRDefault="009D7C7D">
      <w:pPr>
        <w:numPr>
          <w:ilvl w:val="0"/>
          <w:numId w:val="1"/>
        </w:numPr>
      </w:pPr>
      <w:r>
        <w:t xml:space="preserve">Answer the research question posed at the beginning of the assignment. Use evidence from the bootstrap analysis to support your answer. </w:t>
      </w:r>
      <w:r>
        <w:rPr>
          <w:b/>
        </w:rPr>
        <w:t>(2pts)</w:t>
      </w:r>
    </w:p>
    <w:p w14:paraId="44B13835" w14:textId="77777777" w:rsidR="001A478D" w:rsidRDefault="001A478D">
      <w:pPr>
        <w:ind w:left="360"/>
      </w:pPr>
    </w:p>
    <w:p w14:paraId="5DC62890" w14:textId="77777777" w:rsidR="001A478D" w:rsidRDefault="001A478D">
      <w:pPr>
        <w:ind w:left="360"/>
      </w:pPr>
    </w:p>
    <w:p w14:paraId="160EF7F4" w14:textId="77777777" w:rsidR="001A478D" w:rsidRDefault="009D7C7D">
      <w:r>
        <w:rPr>
          <w:b/>
        </w:rPr>
        <w:t>Interpretation</w:t>
      </w:r>
    </w:p>
    <w:p w14:paraId="574B04BC" w14:textId="77777777" w:rsidR="001A478D" w:rsidRDefault="001A478D"/>
    <w:p w14:paraId="740189DE" w14:textId="77777777" w:rsidR="001A478D" w:rsidRDefault="009D7C7D">
      <w:pPr>
        <w:numPr>
          <w:ilvl w:val="0"/>
          <w:numId w:val="1"/>
        </w:numPr>
      </w:pPr>
      <w:r>
        <w:t>Albert Hoffman’s best friend, Zoey Johnson, works for the Health Services at California University of Liberal Arts (</w:t>
      </w:r>
      <w:proofErr w:type="spellStart"/>
      <w:r>
        <w:t>CalU</w:t>
      </w:r>
      <w:proofErr w:type="spellEnd"/>
      <w:r>
        <w:t xml:space="preserve">). A survey of </w:t>
      </w:r>
      <w:r>
        <w:rPr>
          <w:i/>
        </w:rPr>
        <w:t xml:space="preserve">N </w:t>
      </w:r>
      <w:r>
        <w:t xml:space="preserve">= 100 Cal U students found that the sample percentage of </w:t>
      </w:r>
      <w:proofErr w:type="spellStart"/>
      <w:r>
        <w:t>CalU</w:t>
      </w:r>
      <w:proofErr w:type="spellEnd"/>
      <w:r>
        <w:t xml:space="preserve"> students that vape was identical to the sample percentage you computed in Question #1. If Zoey was to carry out a bootstrap simulation and produce a compatibility interval based on the </w:t>
      </w:r>
      <w:proofErr w:type="spellStart"/>
      <w:r>
        <w:t>CalU</w:t>
      </w:r>
      <w:proofErr w:type="spellEnd"/>
      <w:r>
        <w:t xml:space="preserve"> data, how would her interval compare to the interval you computed in Question #7? Explain. </w:t>
      </w:r>
      <w:r>
        <w:rPr>
          <w:b/>
        </w:rPr>
        <w:t>(2pts)</w:t>
      </w:r>
    </w:p>
    <w:p w14:paraId="7A13073A" w14:textId="77777777" w:rsidR="001A478D" w:rsidRDefault="001A478D">
      <w:pPr>
        <w:ind w:left="360"/>
      </w:pPr>
    </w:p>
    <w:p w14:paraId="47092665" w14:textId="77777777" w:rsidR="001A478D" w:rsidRDefault="009D7C7D">
      <w:pPr>
        <w:numPr>
          <w:ilvl w:val="0"/>
          <w:numId w:val="1"/>
        </w:numPr>
      </w:pPr>
      <w:r>
        <w:t xml:space="preserve">It turns out that the survey study at </w:t>
      </w:r>
      <w:proofErr w:type="spellStart"/>
      <w:r>
        <w:t>CalU</w:t>
      </w:r>
      <w:proofErr w:type="spellEnd"/>
      <w:r>
        <w:t xml:space="preserve"> sampled students from a single student residence hall. Explain why sampling students from a single residence hall would have an impact on the </w:t>
      </w:r>
      <w:r>
        <w:rPr>
          <w:i/>
        </w:rPr>
        <w:t>external validity</w:t>
      </w:r>
      <w:r>
        <w:t xml:space="preserve"> of the study. </w:t>
      </w:r>
      <w:r>
        <w:rPr>
          <w:b/>
        </w:rPr>
        <w:t>(2pts)</w:t>
      </w:r>
    </w:p>
    <w:p w14:paraId="4512C0F1" w14:textId="77777777" w:rsidR="001A478D" w:rsidRDefault="001A478D">
      <w:pPr>
        <w:ind w:left="360"/>
      </w:pPr>
    </w:p>
    <w:p w14:paraId="7B80A5A1" w14:textId="77777777" w:rsidR="001A478D" w:rsidRDefault="009D7C7D">
      <w:pPr>
        <w:numPr>
          <w:ilvl w:val="0"/>
          <w:numId w:val="1"/>
        </w:numPr>
      </w:pPr>
      <w:r>
        <w:t xml:space="preserve">Does sampling students from a single student residence hall have an impact on the </w:t>
      </w:r>
      <w:r>
        <w:rPr>
          <w:i/>
        </w:rPr>
        <w:t>amount of uncertainty</w:t>
      </w:r>
      <w:r>
        <w:t xml:space="preserve"> (range of the compatibility interval) computed in the bootstrap interval? Explain. </w:t>
      </w:r>
    </w:p>
    <w:p w14:paraId="115F07A7" w14:textId="77777777" w:rsidR="001A478D" w:rsidRDefault="001A478D">
      <w:pPr>
        <w:rPr>
          <w:b/>
        </w:rPr>
      </w:pPr>
    </w:p>
    <w:p w14:paraId="05B55662" w14:textId="77777777" w:rsidR="001A478D" w:rsidRDefault="001A478D">
      <w:pPr>
        <w:ind w:left="360"/>
      </w:pPr>
    </w:p>
    <w:p w14:paraId="18BF905F" w14:textId="77777777" w:rsidR="001A478D" w:rsidRDefault="001A478D"/>
    <w:p w14:paraId="08124AC8" w14:textId="77777777" w:rsidR="001A478D" w:rsidRDefault="001A478D"/>
    <w:p w14:paraId="40CB8BF6" w14:textId="77777777" w:rsidR="001A478D" w:rsidRDefault="001A478D"/>
    <w:sectPr w:rsidR="001A478D">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296"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A7D33" w14:textId="77777777" w:rsidR="00625096" w:rsidRDefault="00625096">
      <w:r>
        <w:separator/>
      </w:r>
    </w:p>
  </w:endnote>
  <w:endnote w:type="continuationSeparator" w:id="0">
    <w:p w14:paraId="6328E273" w14:textId="77777777" w:rsidR="00625096" w:rsidRDefault="0062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E9D40" w14:textId="77777777" w:rsidR="001A478D" w:rsidRDefault="009D7C7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7D36ABC" w14:textId="77777777" w:rsidR="001A478D" w:rsidRDefault="001A478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8D964" w14:textId="6ED2BBD4" w:rsidR="00BE77D8" w:rsidRDefault="00BE77D8" w:rsidP="00BE77D8">
    <w:r>
      <w:rPr>
        <w:color w:val="000000"/>
        <w:sz w:val="16"/>
        <w:szCs w:val="16"/>
      </w:rPr>
      <w:t>Copyright EPSY 3264, 2020</w:t>
    </w:r>
    <w:r w:rsidR="00D05AB6">
      <w:rPr>
        <w:color w:val="000000"/>
        <w:sz w:val="16"/>
        <w:szCs w:val="16"/>
      </w:rPr>
      <w:t>. Do not copy or distribute online.</w:t>
    </w:r>
  </w:p>
  <w:p w14:paraId="45895C7B" w14:textId="2BCC864C" w:rsidR="001A478D" w:rsidRDefault="001A478D">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0188" w14:textId="77777777" w:rsidR="001A478D" w:rsidRDefault="001A478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50876" w14:textId="77777777" w:rsidR="00625096" w:rsidRDefault="00625096">
      <w:r>
        <w:separator/>
      </w:r>
    </w:p>
  </w:footnote>
  <w:footnote w:type="continuationSeparator" w:id="0">
    <w:p w14:paraId="02FDC7C4" w14:textId="77777777" w:rsidR="00625096" w:rsidRDefault="00625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703A" w14:textId="77777777" w:rsidR="001A478D" w:rsidRDefault="001A478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4CE87" w14:textId="77777777" w:rsidR="001A478D" w:rsidRDefault="001A478D">
    <w:pPr>
      <w:widowControl w:val="0"/>
      <w:pBdr>
        <w:top w:val="nil"/>
        <w:left w:val="nil"/>
        <w:bottom w:val="nil"/>
        <w:right w:val="nil"/>
        <w:between w:val="nil"/>
      </w:pBdr>
      <w:spacing w:line="276" w:lineRule="auto"/>
      <w:rPr>
        <w:color w:val="000000"/>
      </w:rPr>
    </w:pPr>
  </w:p>
  <w:tbl>
    <w:tblPr>
      <w:tblStyle w:val="a2"/>
      <w:tblW w:w="9863"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1098"/>
      <w:gridCol w:w="5477"/>
      <w:gridCol w:w="3288"/>
    </w:tblGrid>
    <w:tr w:rsidR="001A478D" w14:paraId="50B41AE5" w14:textId="77777777">
      <w:trPr>
        <w:trHeight w:val="918"/>
      </w:trPr>
      <w:tc>
        <w:tcPr>
          <w:tcW w:w="1098" w:type="dxa"/>
        </w:tcPr>
        <w:p w14:paraId="3AB3BDA0" w14:textId="77777777" w:rsidR="001A478D" w:rsidRDefault="009D7C7D">
          <w:pPr>
            <w:pStyle w:val="Heading6"/>
            <w:jc w:val="left"/>
            <w:rPr>
              <w:b w:val="0"/>
              <w:sz w:val="22"/>
              <w:szCs w:val="22"/>
            </w:rPr>
          </w:pPr>
          <w:r>
            <w:rPr>
              <w:noProof/>
            </w:rPr>
            <w:drawing>
              <wp:anchor distT="0" distB="0" distL="0" distR="0" simplePos="0" relativeHeight="251658240" behindDoc="0" locked="0" layoutInCell="1" hidden="0" allowOverlap="1" wp14:anchorId="388DDACC" wp14:editId="350F994E">
                <wp:simplePos x="0" y="0"/>
                <wp:positionH relativeFrom="column">
                  <wp:posOffset>13970</wp:posOffset>
                </wp:positionH>
                <wp:positionV relativeFrom="paragraph">
                  <wp:posOffset>0</wp:posOffset>
                </wp:positionV>
                <wp:extent cx="548005" cy="548640"/>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tc>
      <w:tc>
        <w:tcPr>
          <w:tcW w:w="5478" w:type="dxa"/>
        </w:tcPr>
        <w:p w14:paraId="1C7E7FE4" w14:textId="77777777" w:rsidR="001A478D" w:rsidRDefault="009D7C7D">
          <w:pPr>
            <w:pStyle w:val="Heading6"/>
            <w:jc w:val="left"/>
          </w:pPr>
          <w:proofErr w:type="spellStart"/>
          <w:r>
            <w:t>EPsy</w:t>
          </w:r>
          <w:proofErr w:type="spellEnd"/>
          <w:r>
            <w:t xml:space="preserve"> 3264: Basic and Applied Statistics</w:t>
          </w:r>
        </w:p>
        <w:p w14:paraId="3BFCFC5C" w14:textId="77777777" w:rsidR="001A478D" w:rsidRDefault="009D7C7D">
          <w:r>
            <w:t>Exam #5</w:t>
          </w:r>
        </w:p>
        <w:p w14:paraId="736A278A" w14:textId="77777777" w:rsidR="001A478D" w:rsidRDefault="001A478D"/>
        <w:p w14:paraId="4A7BDC55" w14:textId="77777777" w:rsidR="001A478D" w:rsidRDefault="001A478D"/>
      </w:tc>
      <w:tc>
        <w:tcPr>
          <w:tcW w:w="3288" w:type="dxa"/>
        </w:tcPr>
        <w:p w14:paraId="0CC084D2" w14:textId="77777777" w:rsidR="001A478D" w:rsidRDefault="009D7C7D">
          <w:pPr>
            <w:pStyle w:val="Heading6"/>
            <w:jc w:val="right"/>
            <w:rPr>
              <w:b w:val="0"/>
            </w:rPr>
          </w:pPr>
          <w:r>
            <w:rPr>
              <w:b w:val="0"/>
            </w:rPr>
            <w:t>15 pts.</w:t>
          </w:r>
        </w:p>
      </w:tc>
    </w:tr>
  </w:tbl>
  <w:p w14:paraId="28789C48" w14:textId="77777777" w:rsidR="001A478D" w:rsidRDefault="009D7C7D">
    <w:pPr>
      <w:pStyle w:val="Heading6"/>
      <w:jc w:val="left"/>
      <w:rPr>
        <w:b w:val="0"/>
        <w:sz w:val="22"/>
        <w:szCs w:val="22"/>
      </w:rPr>
    </w:pPr>
    <w:r>
      <w:rPr>
        <w:noProof/>
      </w:rPr>
      <w:drawing>
        <wp:anchor distT="0" distB="0" distL="0" distR="0" simplePos="0" relativeHeight="251659264" behindDoc="0" locked="0" layoutInCell="1" hidden="0" allowOverlap="1" wp14:anchorId="32790CF8" wp14:editId="68F35272">
          <wp:simplePos x="0" y="0"/>
          <wp:positionH relativeFrom="leftMargin">
            <wp:posOffset>-47624</wp:posOffset>
          </wp:positionH>
          <wp:positionV relativeFrom="topMargin">
            <wp:posOffset>-864234</wp:posOffset>
          </wp:positionV>
          <wp:extent cx="548005" cy="5486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B4C7A" w14:textId="77777777" w:rsidR="001A478D" w:rsidRDefault="001A478D">
    <w:pPr>
      <w:widowControl w:val="0"/>
      <w:spacing w:line="276" w:lineRule="auto"/>
    </w:pPr>
  </w:p>
  <w:tbl>
    <w:tblPr>
      <w:tblStyle w:val="a1"/>
      <w:tblW w:w="9863"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1098"/>
      <w:gridCol w:w="5477"/>
      <w:gridCol w:w="3288"/>
    </w:tblGrid>
    <w:tr w:rsidR="001A478D" w14:paraId="4D5C5B94" w14:textId="77777777">
      <w:trPr>
        <w:trHeight w:val="918"/>
      </w:trPr>
      <w:tc>
        <w:tcPr>
          <w:tcW w:w="1098" w:type="dxa"/>
        </w:tcPr>
        <w:p w14:paraId="7501C4D3" w14:textId="77777777" w:rsidR="001A478D" w:rsidRDefault="009D7C7D">
          <w:pPr>
            <w:pStyle w:val="Heading6"/>
            <w:jc w:val="left"/>
            <w:rPr>
              <w:b w:val="0"/>
              <w:sz w:val="22"/>
              <w:szCs w:val="22"/>
            </w:rPr>
          </w:pPr>
          <w:r>
            <w:rPr>
              <w:noProof/>
            </w:rPr>
            <w:drawing>
              <wp:anchor distT="0" distB="0" distL="0" distR="0" simplePos="0" relativeHeight="251660288" behindDoc="0" locked="0" layoutInCell="1" hidden="0" allowOverlap="1" wp14:anchorId="59AEBCC6" wp14:editId="1F8CDE36">
                <wp:simplePos x="0" y="0"/>
                <wp:positionH relativeFrom="column">
                  <wp:posOffset>13970</wp:posOffset>
                </wp:positionH>
                <wp:positionV relativeFrom="paragraph">
                  <wp:posOffset>0</wp:posOffset>
                </wp:positionV>
                <wp:extent cx="548005" cy="54864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tc>
      <w:tc>
        <w:tcPr>
          <w:tcW w:w="5478" w:type="dxa"/>
        </w:tcPr>
        <w:p w14:paraId="5FE8D10E" w14:textId="77777777" w:rsidR="001A478D" w:rsidRDefault="009D7C7D">
          <w:pPr>
            <w:pStyle w:val="Heading6"/>
            <w:jc w:val="left"/>
          </w:pPr>
          <w:proofErr w:type="spellStart"/>
          <w:r>
            <w:t>EPsy</w:t>
          </w:r>
          <w:proofErr w:type="spellEnd"/>
          <w:r>
            <w:t xml:space="preserve"> 3264: Basic and Applied Statistics</w:t>
          </w:r>
        </w:p>
        <w:p w14:paraId="01A8F06A" w14:textId="77777777" w:rsidR="001A478D" w:rsidRDefault="009D7C7D">
          <w:r>
            <w:t>Test 05</w:t>
          </w:r>
        </w:p>
        <w:p w14:paraId="491BBC51" w14:textId="77777777" w:rsidR="001A478D" w:rsidRDefault="001A478D"/>
        <w:p w14:paraId="481456E7" w14:textId="77777777" w:rsidR="001A478D" w:rsidRDefault="001A478D"/>
      </w:tc>
      <w:tc>
        <w:tcPr>
          <w:tcW w:w="3288" w:type="dxa"/>
        </w:tcPr>
        <w:p w14:paraId="4F56BB4D" w14:textId="77777777" w:rsidR="001A478D" w:rsidRDefault="009D7C7D">
          <w:pPr>
            <w:pStyle w:val="Heading6"/>
            <w:jc w:val="right"/>
            <w:rPr>
              <w:b w:val="0"/>
            </w:rPr>
          </w:pPr>
          <w:bookmarkStart w:id="1" w:name="_z95n9y1v34e" w:colFirst="0" w:colLast="0"/>
          <w:bookmarkEnd w:id="1"/>
          <w:r>
            <w:rPr>
              <w:b w:val="0"/>
            </w:rPr>
            <w:t>10 pts.</w:t>
          </w:r>
        </w:p>
      </w:tc>
    </w:tr>
  </w:tbl>
  <w:p w14:paraId="6B32181A" w14:textId="77777777" w:rsidR="001A478D" w:rsidRDefault="001A478D">
    <w:pPr>
      <w:pStyle w:val="Heading6"/>
      <w:jc w:val="left"/>
    </w:pPr>
    <w:bookmarkStart w:id="2" w:name="_d4o5avhpzc0e"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60075"/>
    <w:multiLevelType w:val="multilevel"/>
    <w:tmpl w:val="67FEF414"/>
    <w:lvl w:ilvl="0">
      <w:start w:val="1"/>
      <w:numFmt w:val="decimal"/>
      <w:lvlText w:val="%1."/>
      <w:lvlJc w:val="left"/>
      <w:pPr>
        <w:ind w:left="36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78D"/>
    <w:rsid w:val="001A478D"/>
    <w:rsid w:val="00625096"/>
    <w:rsid w:val="009D7C7D"/>
    <w:rsid w:val="00BE77D8"/>
    <w:rsid w:val="00D0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5B66"/>
  <w15:docId w15:val="{2DD74F07-47A8-BE41-BDEE-5568AB27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ourier New" w:eastAsia="Courier New" w:hAnsi="Courier New" w:cs="Courier New"/>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rPr>
  </w:style>
  <w:style w:type="paragraph" w:styleId="Heading3">
    <w:name w:val="heading 3"/>
    <w:basedOn w:val="Normal"/>
    <w:next w:val="Normal"/>
    <w:uiPriority w:val="9"/>
    <w:unhideWhenUsed/>
    <w:qFormat/>
    <w:pPr>
      <w:keepNext/>
      <w:ind w:firstLine="720"/>
      <w:jc w:val="center"/>
      <w:outlineLvl w:val="2"/>
    </w:pPr>
    <w:rPr>
      <w:rFonts w:ascii="Arial" w:eastAsia="Arial" w:hAnsi="Arial" w:cs="Arial"/>
    </w:rPr>
  </w:style>
  <w:style w:type="paragraph" w:styleId="Heading4">
    <w:name w:val="heading 4"/>
    <w:basedOn w:val="Normal"/>
    <w:next w:val="Normal"/>
    <w:uiPriority w:val="9"/>
    <w:unhideWhenUsed/>
    <w:qFormat/>
    <w:pPr>
      <w:keepNext/>
      <w:outlineLvl w:val="3"/>
    </w:pPr>
    <w:rPr>
      <w:rFonts w:ascii="Arial" w:eastAsia="Arial" w:hAnsi="Arial" w:cs="Arial"/>
    </w:rPr>
  </w:style>
  <w:style w:type="paragraph" w:styleId="Heading5">
    <w:name w:val="heading 5"/>
    <w:basedOn w:val="Normal"/>
    <w:next w:val="Normal"/>
    <w:uiPriority w:val="9"/>
    <w:unhideWhenUsed/>
    <w:qFormat/>
    <w:pPr>
      <w:keepNext/>
      <w:outlineLvl w:val="4"/>
    </w:pPr>
    <w:rPr>
      <w:u w:val="single"/>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Footer">
    <w:name w:val="footer"/>
    <w:basedOn w:val="Normal"/>
    <w:link w:val="FooterChar"/>
    <w:uiPriority w:val="99"/>
    <w:unhideWhenUsed/>
    <w:rsid w:val="00BE77D8"/>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BE77D8"/>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2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3</cp:revision>
  <dcterms:created xsi:type="dcterms:W3CDTF">2020-08-20T12:42:00Z</dcterms:created>
  <dcterms:modified xsi:type="dcterms:W3CDTF">2020-09-07T05:17:00Z</dcterms:modified>
</cp:coreProperties>
</file>