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0E8A7D"/>
          <w:sz w:val="20"/>
        </w:rPr>
        <w:t>2026년 고교교육 기여대학 지원사업 · 자율연구 제안서</w:t>
      </w:r>
    </w:p>
    <w:p>
      <w:pPr>
        <w:jc w:val="center"/>
      </w:pPr>
      <w:r>
        <w:rPr>
          <w:rFonts w:ascii="맑은 고딕" w:hAnsi="맑은 고딕" w:eastAsia="맑은 고딕"/>
          <w:b/>
          <w:color w:val="15294D"/>
          <w:sz w:val="52"/>
        </w:rPr>
        <w:t>자율전공제는 어떻게 성공하는가</w:t>
      </w:r>
    </w:p>
    <w:p>
      <w:pPr>
        <w:jc w:val="center"/>
      </w:pPr>
      <w:r>
        <w:rPr>
          <w:rFonts w:ascii="맑은 고딕" w:hAnsi="맑은 고딕" w:eastAsia="맑은 고딕"/>
          <w:color w:val="1F3A6E"/>
          <w:sz w:val="26"/>
        </w:rPr>
        <w:t>생성형 AI 지식그래프(GATED)로 설계하는 차 의과학대학교 자율전공 평가지표·운영모델 통합 전략</w:t>
      </w:r>
    </w:p>
    <w:p>
      <w:pPr>
        <w:jc w:val="center"/>
      </w:pPr>
      <w:r>
        <w:rPr>
          <w:rFonts w:ascii="맑은 고딕" w:hAnsi="맑은 고딕" w:eastAsia="맑은 고딕"/>
          <w:color w:val="5B6477"/>
          <w:sz w:val="18"/>
        </w:rPr>
        <w:t>소주제 1 · 자율전공 학종 평가지표 개선  |  소주제 2 · 전공자율선택제 운영모델  |  방법 · 혼합연구: 문헌·뉴스·설문·전문가  |  텍스트 종합 엔진 · GATED 지식그래프</w:t>
      </w:r>
    </w:p>
    <w:p>
      <w:pPr>
        <w:jc w:val="center"/>
      </w:pPr>
      <w:r>
        <w:rPr>
          <w:rFonts w:ascii="맑은 고딕" w:hAnsi="맑은 고딕" w:eastAsia="맑은 고딕"/>
          <w:color w:val="1C2230"/>
          <w:sz w:val="19"/>
        </w:rPr>
        <w:t>연구기간 2026.9 ~ 2027.2 (6개월)   대상 글로벌미래인재대학(자율전공)   버전 Draft v0.9 · 2026.06</w:t>
      </w:r>
    </w:p>
    <w:p>
      <w:pPr>
        <w:jc w:val="center"/>
      </w:pPr>
      <w:r>
        <w:rPr>
          <w:rFonts w:ascii="맑은 고딕" w:hAnsi="맑은 고딕" w:eastAsia="맑은 고딕"/>
          <w:color w:val="1C2230"/>
          <w:sz w:val="19"/>
        </w:rPr>
        <w:t>연구진 장정헌(책임·PM) · 박대근(공동) · 입학사정관 · 차상현 · 이규성 · 성봉주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0E8A7D"/>
          </w:tcPr>
          <w:p>
            <w:r>
              <w:rPr>
                <w:color w:val="FFFFFF"/>
              </w:rPr>
              <w:br/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이 문서를 읽는 법</w:t>
            </w:r>
            <w:r>
              <w:rPr>
                <w:color w:val="FFFFFF"/>
              </w:rPr>
              <w:br/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 xml:space="preserve">  이건 </w:t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제안서</w:t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 xml:space="preserve">입니다. 그래서 </w:t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「결과」와 「결론」은 아직 일어나지 않은 일</w:t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이라, 우리가 세운 가설이 맞다면</w:t>
            </w:r>
            <w:r>
              <w:rPr>
                <w:color w:val="FFFFFF"/>
              </w:rPr>
              <w:br/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 xml:space="preserve"> 어떤 그림이 나올지를 </w:t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예상치</w:t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로 적어 두었습니다. 점선 빗금 박스(</w:t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📦 DROP-IN</w:t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>)가 그 자리입니다.</w:t>
            </w:r>
            <w:r>
              <w:rPr>
                <w:color w:val="FFFFFF"/>
              </w:rPr>
              <w:br/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 xml:space="preserve"> 연구가 끝나 실제 수치가 나오면 </w:t>
            </w: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그 박스만 갈아끼우면</w:t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 xml:space="preserve"> 그대로 최종 보고서가 됩니다.</w:t>
            </w:r>
            <w:r>
              <w:rPr>
                <w:color w:val="FFFFFF"/>
              </w:rPr>
              <w:br/>
            </w:r>
            <w:r>
              <w:rPr>
                <w:rFonts w:ascii="맑은 고딕" w:hAnsi="맑은 고딕" w:eastAsia="맑은 고딕"/>
                <w:b w:val="0"/>
                <w:color w:val="FFFFFF"/>
                <w:sz w:val="20"/>
              </w:rPr>
              <w:t xml:space="preserve"> </w:t>
            </w:r>
          </w:p>
        </w:tc>
      </w:tr>
    </w:tbl>
    <w:p/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프롤로그 — 왜 지금, 자율전공인가</w:t>
      </w:r>
    </w:p>
    <w:p>
      <w:r>
        <w:rPr>
          <w:rFonts w:ascii="맑은 고딕" w:hAnsi="맑은 고딕" w:eastAsia="맑은 고딕"/>
          <w:b w:val="0"/>
          <w:color w:val="1F3A6E"/>
          <w:sz w:val="22"/>
        </w:rPr>
        <w:t xml:space="preserve">대학 입시의 판이 동시에 두 번 흔들리고 있다. 하나는 </w:t>
      </w:r>
      <w:r>
        <w:rPr>
          <w:rFonts w:ascii="맑은 고딕" w:hAnsi="맑은 고딕" w:eastAsia="맑은 고딕"/>
          <w:b/>
          <w:color w:val="1F3A6E"/>
          <w:sz w:val="22"/>
        </w:rPr>
        <w:t>전공의 벽이 허물어지는 것</w:t>
      </w:r>
      <w:r>
        <w:rPr>
          <w:rFonts w:ascii="맑은 고딕" w:hAnsi="맑은 고딕" w:eastAsia="맑은 고딕"/>
          <w:b w:val="0"/>
          <w:color w:val="1F3A6E"/>
          <w:sz w:val="22"/>
        </w:rPr>
        <w:t>(무전공·전공자율선택제 확대),</w:t>
      </w:r>
      <w:r>
        <w:br/>
      </w:r>
      <w:r>
        <w:rPr>
          <w:rFonts w:ascii="맑은 고딕" w:hAnsi="맑은 고딕" w:eastAsia="맑은 고딕"/>
          <w:b w:val="0"/>
          <w:color w:val="1F3A6E"/>
          <w:sz w:val="22"/>
        </w:rPr>
        <w:t xml:space="preserve"> 다른 하나는 </w:t>
      </w:r>
      <w:r>
        <w:rPr>
          <w:rFonts w:ascii="맑은 고딕" w:hAnsi="맑은 고딕" w:eastAsia="맑은 고딕"/>
          <w:b/>
          <w:color w:val="1F3A6E"/>
          <w:sz w:val="22"/>
        </w:rPr>
        <w:t>성적의 잣대가 뭉툭해지는 것</w:t>
      </w:r>
      <w:r>
        <w:rPr>
          <w:rFonts w:ascii="맑은 고딕" w:hAnsi="맑은 고딕" w:eastAsia="맑은 고딕"/>
          <w:b w:val="0"/>
          <w:color w:val="1F3A6E"/>
          <w:sz w:val="22"/>
        </w:rPr>
        <w:t>(2028 대입개편의 내신 5등급제·통합형 수능)이다.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교육부는 2025학년도부터 </w:t>
      </w:r>
      <w:r>
        <w:rPr>
          <w:rFonts w:ascii="맑은 고딕" w:hAnsi="맑은 고딕" w:eastAsia="맑은 고딕"/>
          <w:b/>
          <w:color w:val="1C2230"/>
          <w:sz w:val="21"/>
        </w:rPr>
        <w:t>전공자율선택제(무전공)</w:t>
      </w:r>
      <w:r>
        <w:rPr>
          <w:rFonts w:ascii="맑은 고딕" w:hAnsi="맑은 고딕" w:eastAsia="맑은 고딕"/>
          <w:b w:val="0"/>
          <w:color w:val="1C2230"/>
          <w:sz w:val="21"/>
        </w:rPr>
        <w:t>를 본격 확대하며, 모집정원의 일정 비율 이상을 자율전공으로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운영하는 대학에 재정지원사업 인센티브를 연계했다. 제도는 크게 두 갈래다.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유형Ⅰ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— 전공을 정하지 않고 입학해 보건·의료·사범 등 일부를 제외한 </w:t>
      </w:r>
      <w:r>
        <w:rPr>
          <w:rFonts w:ascii="맑은 고딕" w:hAnsi="맑은 고딕" w:eastAsia="맑은 고딕"/>
          <w:b/>
          <w:color w:val="1F3A6E"/>
          <w:sz w:val="21"/>
        </w:rPr>
        <w:t>전 전공을 자유 선택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유형Ⅱ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— 계열·단과대학 단위로 모집한 뒤 </w:t>
      </w:r>
      <w:r>
        <w:rPr>
          <w:rFonts w:ascii="맑은 고딕" w:hAnsi="맑은 고딕" w:eastAsia="맑은 고딕"/>
          <w:b/>
          <w:color w:val="1F3A6E"/>
          <w:sz w:val="21"/>
        </w:rPr>
        <w:t>그 안에서 전공을 선택</w:t>
      </w:r>
      <w:r>
        <w:rPr>
          <w:rFonts w:ascii="맑은 고딕" w:hAnsi="맑은 고딕" w:eastAsia="맑은 고딕"/>
          <w:b w:val="0"/>
          <w:color w:val="1C2230"/>
          <w:sz w:val="21"/>
        </w:rPr>
        <w:t>(쏠림을 구조적으로 완충)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동시에 2028 대입개편으로 </w:t>
      </w:r>
      <w:r>
        <w:rPr>
          <w:rFonts w:ascii="맑은 고딕" w:hAnsi="맑은 고딕" w:eastAsia="맑은 고딕"/>
          <w:b/>
          <w:color w:val="1C2230"/>
          <w:sz w:val="21"/>
        </w:rPr>
        <w:t>내신은 9등급→5등급</w:t>
      </w:r>
      <w:r>
        <w:rPr>
          <w:rFonts w:ascii="맑은 고딕" w:hAnsi="맑은 고딕" w:eastAsia="맑은 고딕"/>
          <w:b w:val="0"/>
          <w:color w:val="1C2230"/>
          <w:sz w:val="21"/>
        </w:rPr>
        <w:t>으로 완화되고 수능은 통합·융합형으로 재편된다.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정량지표의 변별력이 약해질수록, </w:t>
      </w:r>
      <w:r>
        <w:rPr>
          <w:rFonts w:ascii="맑은 고딕" w:hAnsi="맑은 고딕" w:eastAsia="맑은 고딕"/>
          <w:b/>
          <w:color w:val="1F3A6E"/>
          <w:sz w:val="21"/>
        </w:rPr>
        <w:t>"무엇을 보고 뽑을 것인가"</w:t>
      </w:r>
      <w:r>
        <w:rPr>
          <w:rFonts w:ascii="맑은 고딕" w:hAnsi="맑은 고딕" w:eastAsia="맑은 고딕"/>
          <w:b w:val="0"/>
          <w:color w:val="1C2230"/>
          <w:sz w:val="21"/>
        </w:rPr>
        <w:t>라는 정성평가(학생부종합전형)의 책무는 오히려 커진다.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그런데 — 바로 여기서 문제가 생긴다. </w:t>
      </w:r>
      <w:r>
        <w:rPr>
          <w:rFonts w:ascii="맑은 고딕" w:hAnsi="맑은 고딕" w:eastAsia="맑은 고딕"/>
          <w:b/>
          <w:color w:val="1C2230"/>
          <w:sz w:val="21"/>
        </w:rPr>
        <w:t>자율전공에는 아직 "자율전공에 맞는 잣대"가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EF3FB"/>
          </w:tcPr>
          <w:p>
            <w:r>
              <w:rPr>
                <w:rFonts w:ascii="맑은 고딕" w:hAnsi="맑은 고딕" w:eastAsia="맑은 고딕"/>
                <w:b/>
                <w:color w:val="1F3A6E"/>
                <w:sz w:val="20"/>
              </w:rPr>
              <w:t>CHA의 자리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차 의과학대학교는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보건의료 특성화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대학이면서 동시에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글로벌미래인재대학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이라는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자율전공 단위를 운영한다. 즉 "전공을 늦게 정하는 학생"과 "전문성이 강한 보건의료 트랙"을 한 지붕 아래 정합시켜야 하는,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가장 어려우면서도 가장 흥미로운 실험장이다. 이 연구는 그 정합의 설계도를 그린다.</w:t>
            </w:r>
          </w:p>
        </w:tc>
      </w:tr>
    </w:tbl>
    <w:p>
      <w:pPr>
        <w:spacing w:after="20"/>
      </w:pPr>
    </w:p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풀어야 할 문제 — "잘 뽑아도 무너지는" 구조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>자율전공제가 실패하는 방식은 의외로 정형적이다. 좋은 학생을 뽑아도(입구), 운영(과정)이 못 받쳐서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</w:t>
      </w:r>
      <w:r>
        <w:rPr>
          <w:rFonts w:ascii="맑은 고딕" w:hAnsi="맑은 고딕" w:eastAsia="맑은 고딕"/>
          <w:b/>
          <w:color w:val="1F3A6E"/>
          <w:sz w:val="21"/>
        </w:rPr>
        <w:t>인기학과 쏠림 → 부적응 → 중도탈락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의 경로로 무너진다. 우리는 이 문제를 </w:t>
      </w:r>
      <w:r>
        <w:rPr>
          <w:rFonts w:ascii="맑은 고딕" w:hAnsi="맑은 고딕" w:eastAsia="맑은 고딕"/>
          <w:b/>
          <w:color w:val="1C2230"/>
          <w:sz w:val="21"/>
        </w:rPr>
        <w:t>입구–과정–출구의 정합성 붕괴</w:t>
      </w:r>
      <w:r>
        <w:rPr>
          <w:rFonts w:ascii="맑은 고딕" w:hAnsi="맑은 고딕" w:eastAsia="맑은 고딕"/>
          <w:b w:val="0"/>
          <w:color w:val="1C2230"/>
          <w:sz w:val="21"/>
        </w:rPr>
        <w:t>로 정의한다.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5B6477"/>
          <w:sz w:val="18"/>
        </w:rPr>
        <w:t>표 1. 자율전공제 실패의 3대 지점과 본 연구의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전형적 실패 양상</w:t>
            </w:r>
          </w:p>
        </w:tc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질문</w:t>
            </w:r>
          </w:p>
        </w:tc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해당 소주제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입구 (선발)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자율전공에 맞는 인재를 변별할 잣대 부재 → 일반 학종 기준 답습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무엇을 보고 뽑아야 전공탐색에 성공하는가?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소주제 1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과정 (운영)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전공 무제한 선택이 → 인기학과 쏠림 → 비인기 전공 붕괴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어떤 운영장치가 쏠림·부적응을 막는가?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소주제 2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출구 (성과)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전공배정 불만족·중도탈락이 지표로 환류되지 않음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성공을 무엇으로 측정·환류할 것인가?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공통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비유하자면, 이건 우리 연구진이 다뤄 온 </w:t>
      </w:r>
      <w:r>
        <w:rPr>
          <w:rFonts w:ascii="맑은 고딕" w:hAnsi="맑은 고딕" w:eastAsia="맑은 고딕"/>
          <w:b/>
          <w:color w:val="1C2230"/>
          <w:sz w:val="21"/>
        </w:rPr>
        <w:t>단백질 안정성 문제와 똑 닮았다</w:t>
      </w:r>
      <w:r>
        <w:rPr>
          <w:rFonts w:ascii="맑은 고딕" w:hAnsi="맑은 고딕" w:eastAsia="맑은 고딕"/>
          <w:b w:val="0"/>
          <w:color w:val="1C2230"/>
          <w:sz w:val="21"/>
        </w:rPr>
        <w:t>. 고농도 항체에서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분자들이 비정상적으로 뭉치는 </w:t>
      </w:r>
      <w:r>
        <w:rPr>
          <w:rFonts w:ascii="맑은 고딕" w:hAnsi="맑은 고딕" w:eastAsia="맑은 고딕"/>
          <w:b/>
          <w:color w:val="1F3A6E"/>
          <w:sz w:val="21"/>
        </w:rPr>
        <w:t>응집(aggregation)</w:t>
      </w:r>
      <w:r>
        <w:rPr>
          <w:rFonts w:ascii="맑은 고딕" w:hAnsi="맑은 고딕" w:eastAsia="맑은 고딕"/>
          <w:b w:val="0"/>
          <w:color w:val="1C2230"/>
          <w:sz w:val="21"/>
        </w:rPr>
        <w:t>이 약을 망치듯, 자율전공에서는 학생들이 인기학과로 뭉치는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</w:t>
      </w:r>
      <w:r>
        <w:rPr>
          <w:rFonts w:ascii="맑은 고딕" w:hAnsi="맑은 고딕" w:eastAsia="맑은 고딕"/>
          <w:b/>
          <w:color w:val="1F3A6E"/>
          <w:sz w:val="21"/>
        </w:rPr>
        <w:t>"쏠림"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이 제도를 망친다. 무엇이 뭉침을 촉진하고(promote) 무엇이 억제하는지(inhibit), 그 </w:t>
      </w:r>
      <w:r>
        <w:rPr>
          <w:rFonts w:ascii="맑은 고딕" w:hAnsi="맑은 고딕" w:eastAsia="맑은 고딕"/>
          <w:b/>
          <w:color w:val="1C2230"/>
          <w:sz w:val="21"/>
        </w:rPr>
        <w:t>인과 네트워크</w:t>
      </w:r>
      <w:r>
        <w:rPr>
          <w:rFonts w:ascii="맑은 고딕" w:hAnsi="맑은 고딕" w:eastAsia="맑은 고딕"/>
          <w:b w:val="0"/>
          <w:color w:val="1C2230"/>
          <w:sz w:val="21"/>
        </w:rPr>
        <w:t>를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읽어내면 개입 지점이 보인다. 우리는 항체에서 쓰던 그 렌즈를 입시에 들이댄다.</w:t>
      </w:r>
    </w:p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연구질문에서 가설로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위 문제를 검증 가능한 형태로 벼리면 다음 가설이 된다. 모든 가설은 뒤에 설명할 </w:t>
      </w:r>
      <w:r>
        <w:rPr>
          <w:rFonts w:ascii="맑은 고딕" w:hAnsi="맑은 고딕" w:eastAsia="맑은 고딕"/>
          <w:b/>
          <w:color w:val="1C2230"/>
          <w:sz w:val="21"/>
        </w:rPr>
        <w:t>지식그래프(KG)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위에서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엣지(관계)의 방향·강도, 또는 </w:t>
      </w:r>
      <w:r>
        <w:rPr>
          <w:rFonts w:ascii="맑은 고딕" w:hAnsi="맑은 고딕" w:eastAsia="맑은 고딕"/>
          <w:b/>
          <w:color w:val="1C2230"/>
          <w:sz w:val="21"/>
        </w:rPr>
        <w:t>GATED 모델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의 예측력으로 </w:t>
      </w:r>
      <w:r>
        <w:rPr>
          <w:rFonts w:ascii="맑은 고딕" w:hAnsi="맑은 고딕" w:eastAsia="맑은 고딕"/>
          <w:b/>
          <w:color w:val="1F3A6E"/>
          <w:sz w:val="21"/>
        </w:rPr>
        <w:t>증명되거나 반증된다</w:t>
      </w:r>
      <w:r>
        <w:rPr>
          <w:rFonts w:ascii="맑은 고딕" w:hAnsi="맑은 고딕" w:eastAsia="맑은 고딕"/>
          <w:b w:val="0"/>
          <w:color w:val="1C223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7F5F2"/>
          </w:tcPr>
          <w:p>
            <w:r>
              <w:rPr>
                <w:rFonts w:ascii="맑은 고딕" w:hAnsi="맑은 고딕" w:eastAsia="맑은 고딕"/>
                <w:b/>
                <w:color w:val="0E8A7D"/>
                <w:sz w:val="20"/>
              </w:rPr>
              <w:t>H1 · 쏠림 메커니즘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전공 무제한 선택(유형Ⅰ)은 인기학과 쏠림을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촉진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하며, 이는 지식그래프에서 강한 양(+)의 인과 엣지로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나타날 것이다. 반면 계열단위 모집(유형Ⅱ)·정원쿼터는 쏠림을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억제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하는 엣지로 나타난다.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7F5F2"/>
          </w:tcPr>
          <w:p>
            <w:r>
              <w:rPr>
                <w:rFonts w:ascii="맑은 고딕" w:hAnsi="맑은 고딕" w:eastAsia="맑은 고딕"/>
                <w:b/>
                <w:color w:val="0E8A7D"/>
                <w:sz w:val="20"/>
              </w:rPr>
              <w:t>H2 · 완충 장치의 허브성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전공탐색학기·진로설계·멘토링은 부적응·중도탈락을 억제하는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허브(hub) 노드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로 작동할 것이다.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즉 네트워크 중심성(centrality)이 높아, 적은 비용으로 큰 효과를 내는 </w:t>
            </w:r>
            <w:r>
              <w:rPr>
                <w:rFonts w:ascii="맑은 고딕" w:hAnsi="맑은 고딕" w:eastAsia="맑은 고딕"/>
                <w:b/>
                <w:color w:val="1F3A6E"/>
                <w:sz w:val="20"/>
              </w:rPr>
              <w:t>레버리지 지점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이다.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7F5F2"/>
          </w:tcPr>
          <w:p>
            <w:r>
              <w:rPr>
                <w:rFonts w:ascii="맑은 고딕" w:hAnsi="맑은 고딕" w:eastAsia="맑은 고딕"/>
                <w:b/>
                <w:color w:val="0E8A7D"/>
                <w:sz w:val="20"/>
              </w:rPr>
              <w:t>H3 · 선발–성과 연결 (소주제 1의 핵심)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입학단계에서 측정 가능한 특성 —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자기주도성·전공탐색역량·계열적합성·성장지향성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— 은 전공적응·만족과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인과적으로 연결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된다. 따라서 이 특성들이 곧 자율전공 학종 평가지표의 핵심 축이 되어야 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7F5F2"/>
          </w:tcPr>
          <w:p>
            <w:r>
              <w:rPr>
                <w:rFonts w:ascii="맑은 고딕" w:hAnsi="맑은 고딕" w:eastAsia="맑은 고딕"/>
                <w:b/>
                <w:color w:val="0E8A7D"/>
                <w:sz w:val="20"/>
              </w:rPr>
              <w:t>H4 · 예측가능성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GATED 모델은 "선발 특성 + 운영 조건"으로부터 성과(적응/중도탈락) 노드를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기준선(baseline) 대비 유의하게 높은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 xml:space="preserve"> 정확도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로 예측할 것이다. 이 예측력은 평가지표 </w:t>
            </w:r>
            <w:r>
              <w:rPr>
                <w:rFonts w:ascii="맑은 고딕" w:hAnsi="맑은 고딕" w:eastAsia="맑은 고딕"/>
                <w:b/>
                <w:color w:val="1F3A6E"/>
                <w:sz w:val="20"/>
              </w:rPr>
              <w:t>가중치 산정의 정량 근거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가 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7F5F2"/>
          </w:tcPr>
          <w:p>
            <w:r>
              <w:rPr>
                <w:rFonts w:ascii="맑은 고딕" w:hAnsi="맑은 고딕" w:eastAsia="맑은 고딕"/>
                <w:b/>
                <w:color w:val="0E8A7D"/>
                <w:sz w:val="20"/>
              </w:rPr>
              <w:t>H5 · 현장 정합성 (설문)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문헌·뉴스에서 도출된 평가요소는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고교 현장(학생·교사)이 중요하게 보는 요소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와 유의하게 일치할 것이며,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불일치 영역은 평가지표 보정의 단서가 된다.</w:t>
            </w:r>
          </w:p>
        </w:tc>
      </w:tr>
    </w:tbl>
    <w:p>
      <w:pPr>
        <w:spacing w:after="20"/>
      </w:pPr>
    </w:p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선행연구를 보면 — 그리고 그 한계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세 갈래의 선행연구가 있다. 각각 값지지만, 셋 다 </w:t>
      </w:r>
      <w:r>
        <w:rPr>
          <w:rFonts w:ascii="맑은 고딕" w:hAnsi="맑은 고딕" w:eastAsia="맑은 고딕"/>
          <w:b/>
          <w:color w:val="1F3A6E"/>
          <w:sz w:val="21"/>
        </w:rPr>
        <w:t>같은 방 안의 코끼리</w:t>
      </w:r>
      <w:r>
        <w:rPr>
          <w:rFonts w:ascii="맑은 고딕" w:hAnsi="맑은 고딕" w:eastAsia="맑은 고딕"/>
          <w:b w:val="0"/>
          <w:color w:val="1C2230"/>
          <w:sz w:val="21"/>
        </w:rPr>
        <w:t>를 놓치고 있다.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4.1 입학전형·평가지표 연구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>학생부종합전형의 평가요소(학업역량·진로역량·공동체역량)와 타당화 연구는 풍부하다. 그러나 대부분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</w:t>
      </w:r>
      <w:r>
        <w:rPr>
          <w:rFonts w:ascii="맑은 고딕" w:hAnsi="맑은 고딕" w:eastAsia="맑은 고딕"/>
          <w:b/>
          <w:color w:val="1C2230"/>
          <w:sz w:val="21"/>
        </w:rPr>
        <w:t>일반학과 기준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이며, "전공을 아직 안 정한 학생"을 어떻게 평가할지에 대한 </w:t>
      </w:r>
      <w:r>
        <w:rPr>
          <w:rFonts w:ascii="맑은 고딕" w:hAnsi="맑은 고딕" w:eastAsia="맑은 고딕"/>
          <w:b/>
          <w:color w:val="1F3A6E"/>
          <w:sz w:val="21"/>
        </w:rPr>
        <w:t>자율전공 특화 지표는 사실상 공백</w:t>
      </w:r>
      <w:r>
        <w:rPr>
          <w:rFonts w:ascii="맑은 고딕" w:hAnsi="맑은 고딕" w:eastAsia="맑은 고딕"/>
          <w:b w:val="0"/>
          <w:color w:val="1C2230"/>
          <w:sz w:val="21"/>
        </w:rPr>
        <w:t>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4.2 무전공·전공자율선택제 연구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제도 소개와 찬반(쏠림 우려 vs 진로탐색 기회)이 활발하다. 하지만 대개 </w:t>
      </w:r>
      <w:r>
        <w:rPr>
          <w:rFonts w:ascii="맑은 고딕" w:hAnsi="맑은 고딕" w:eastAsia="맑은 고딕"/>
          <w:b/>
          <w:color w:val="1C2230"/>
          <w:sz w:val="21"/>
        </w:rPr>
        <w:t>정책 논평·단면 설문</w:t>
      </w:r>
      <w:r>
        <w:rPr>
          <w:rFonts w:ascii="맑은 고딕" w:hAnsi="맑은 고딕" w:eastAsia="맑은 고딕"/>
          <w:b w:val="0"/>
          <w:color w:val="1C2230"/>
          <w:sz w:val="21"/>
        </w:rPr>
        <w:t>에 머물러,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"무엇이 무엇을 일으키는가"라는 </w:t>
      </w:r>
      <w:r>
        <w:rPr>
          <w:rFonts w:ascii="맑은 고딕" w:hAnsi="맑은 고딕" w:eastAsia="맑은 고딕"/>
          <w:b/>
          <w:color w:val="1F3A6E"/>
          <w:sz w:val="21"/>
        </w:rPr>
        <w:t>인과 구조</w:t>
      </w:r>
      <w:r>
        <w:rPr>
          <w:rFonts w:ascii="맑은 고딕" w:hAnsi="맑은 고딕" w:eastAsia="맑은 고딕"/>
          <w:b w:val="0"/>
          <w:color w:val="1C2230"/>
          <w:sz w:val="21"/>
        </w:rPr>
        <w:t>를 데이터로 규명한 연구는 드물다.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4.3 방법론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입학 연구의 주력은 </w:t>
      </w:r>
      <w:r>
        <w:rPr>
          <w:rFonts w:ascii="맑은 고딕" w:hAnsi="맑은 고딕" w:eastAsia="맑은 고딕"/>
          <w:b/>
          <w:color w:val="1C2230"/>
          <w:sz w:val="21"/>
        </w:rPr>
        <w:t>델파이·소표본 설문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이다. 신뢰도는 있으나 담론 </w:t>
      </w:r>
      <w:r>
        <w:rPr>
          <w:rFonts w:ascii="맑은 고딕" w:hAnsi="맑은 고딕" w:eastAsia="맑은 고딕"/>
          <w:b/>
          <w:color w:val="1F3A6E"/>
          <w:sz w:val="21"/>
        </w:rPr>
        <w:t>전체</w:t>
      </w:r>
      <w:r>
        <w:rPr>
          <w:rFonts w:ascii="맑은 고딕" w:hAnsi="맑은 고딕" w:eastAsia="맑은 고딕"/>
          <w:b w:val="0"/>
          <w:color w:val="1C2230"/>
          <w:sz w:val="21"/>
        </w:rPr>
        <w:t>를 보지 못하고, 연구자 표본의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편향에 갇히며, 시의성이 떨어진다. 수백~수천 건의 뉴스·논문을 </w:t>
      </w:r>
      <w:r>
        <w:rPr>
          <w:rFonts w:ascii="맑은 고딕" w:hAnsi="맑은 고딕" w:eastAsia="맑은 고딕"/>
          <w:b/>
          <w:color w:val="1C2230"/>
          <w:sz w:val="21"/>
        </w:rPr>
        <w:t>구조화된 지식그래프로 종합</w:t>
      </w:r>
      <w:r>
        <w:rPr>
          <w:rFonts w:ascii="맑은 고딕" w:hAnsi="맑은 고딕" w:eastAsia="맑은 고딕"/>
          <w:b w:val="0"/>
          <w:color w:val="1C2230"/>
          <w:sz w:val="21"/>
        </w:rPr>
        <w:t>한 시도는 입학 분야에 거의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9EB"/>
          </w:tcPr>
          <w:p>
            <w:r>
              <w:rPr>
                <w:rFonts w:ascii="맑은 고딕" w:hAnsi="맑은 고딕" w:eastAsia="맑은 고딕"/>
                <w:b/>
                <w:color w:val="B23A48"/>
                <w:sz w:val="20"/>
              </w:rPr>
              <w:t>연구 공백 (GAP)</w:t>
            </w:r>
          </w:p>
          <w:p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① 자율전공 특화 평가지표의 부재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② 자율전공 성패의 인과 구조 미규명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,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③ 대규모 텍스트·지식그래프 방법론의 미적용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. 이 셋을 한 번에 메우는 것이 본 연구의 자리다.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우리의 전략 — 네 갈래 증거를 삼각검증하는 혼합연구</w:t>
      </w:r>
    </w:p>
    <w:p>
      <w:r>
        <w:rPr>
          <w:rFonts w:ascii="맑은 고딕" w:hAnsi="맑은 고딕" w:eastAsia="맑은 고딕"/>
          <w:b w:val="0"/>
          <w:color w:val="1F3A6E"/>
          <w:sz w:val="22"/>
        </w:rPr>
        <w:t xml:space="preserve">자율전공제처럼 이해관계자가 많고 변수가 얽힌 문제는 </w:t>
      </w:r>
      <w:r>
        <w:rPr>
          <w:rFonts w:ascii="맑은 고딕" w:hAnsi="맑은 고딕" w:eastAsia="맑은 고딕"/>
          <w:b/>
          <w:color w:val="1F3A6E"/>
          <w:sz w:val="22"/>
        </w:rPr>
        <w:t>한 가지 방법으로 풀리지 않는다.</w:t>
      </w:r>
      <w:r>
        <w:br/>
      </w:r>
      <w:r>
        <w:rPr>
          <w:rFonts w:ascii="맑은 고딕" w:hAnsi="맑은 고딕" w:eastAsia="맑은 고딕"/>
          <w:b w:val="0"/>
          <w:color w:val="1F3A6E"/>
          <w:sz w:val="22"/>
        </w:rPr>
        <w:t xml:space="preserve"> 본 연구는 </w:t>
      </w:r>
      <w:r>
        <w:rPr>
          <w:rFonts w:ascii="맑은 고딕" w:hAnsi="맑은 고딕" w:eastAsia="맑은 고딕"/>
          <w:b/>
          <w:color w:val="1F3A6E"/>
          <w:sz w:val="22"/>
        </w:rPr>
        <w:t>문헌 · 뉴스 · 현장 설문 · 전문가</w:t>
      </w:r>
      <w:r>
        <w:rPr>
          <w:rFonts w:ascii="맑은 고딕" w:hAnsi="맑은 고딕" w:eastAsia="맑은 고딕"/>
          <w:b w:val="0"/>
          <w:color w:val="1F3A6E"/>
          <w:sz w:val="22"/>
        </w:rPr>
        <w:t xml:space="preserve"> 네 갈래 증거를 모아 교차검증(triangulation)하는</w:t>
      </w:r>
      <w:r>
        <w:br/>
      </w:r>
      <w:r>
        <w:rPr>
          <w:rFonts w:ascii="맑은 고딕" w:hAnsi="맑은 고딕" w:eastAsia="맑은 고딕"/>
          <w:b w:val="0"/>
          <w:color w:val="1F3A6E"/>
          <w:sz w:val="22"/>
        </w:rPr>
        <w:t xml:space="preserve"> </w:t>
      </w:r>
      <w:r>
        <w:rPr>
          <w:rFonts w:ascii="맑은 고딕" w:hAnsi="맑은 고딕" w:eastAsia="맑은 고딕"/>
          <w:b/>
          <w:color w:val="1F3A6E"/>
          <w:sz w:val="22"/>
        </w:rPr>
        <w:t>혼합연구방법(mixed methods)</w:t>
      </w:r>
      <w:r>
        <w:rPr>
          <w:rFonts w:ascii="맑은 고딕" w:hAnsi="맑은 고딕" w:eastAsia="맑은 고딕"/>
          <w:b w:val="0"/>
          <w:color w:val="1F3A6E"/>
          <w:sz w:val="22"/>
        </w:rPr>
        <w:t>을 채택한다. "성공적인 자율전공제"를 위한 대안을 폭넓게 펼쳐 놓고,</w:t>
      </w:r>
      <w:r>
        <w:br/>
      </w:r>
      <w:r>
        <w:rPr>
          <w:rFonts w:ascii="맑은 고딕" w:hAnsi="맑은 고딕" w:eastAsia="맑은 고딕"/>
          <w:b w:val="0"/>
          <w:color w:val="1F3A6E"/>
          <w:sz w:val="22"/>
        </w:rPr>
        <w:t xml:space="preserve"> 네 증거가 </w:t>
      </w:r>
      <w:r>
        <w:rPr>
          <w:rFonts w:ascii="맑은 고딕" w:hAnsi="맑은 고딕" w:eastAsia="맑은 고딕"/>
          <w:b/>
          <w:color w:val="1F3A6E"/>
          <w:sz w:val="22"/>
        </w:rPr>
        <w:t>공통으로 가리키는 답</w:t>
      </w:r>
      <w:r>
        <w:rPr>
          <w:rFonts w:ascii="맑은 고딕" w:hAnsi="맑은 고딕" w:eastAsia="맑은 고딕"/>
          <w:b w:val="0"/>
          <w:color w:val="1F3A6E"/>
          <w:sz w:val="22"/>
        </w:rPr>
        <w:t>을 찾는다.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5.1 연구설계 — 네 갈래 증거와 통합(삼각검증)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EF3FB"/>
          </w:tcPr>
          <w:p>
            <w:r>
              <w:rPr>
                <w:rFonts w:ascii="맑은 고딕" w:hAnsi="맑은 고딕" w:eastAsia="맑은 고딕"/>
                <w:b/>
                <w:color w:val="1F3A6E"/>
                <w:sz w:val="20"/>
              </w:rPr>
              <w:t>EVIDENCE × 4</w:t>
            </w:r>
          </w:p>
          <w:p>
            <w:r>
              <w:br/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A. 학술 문헌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(KCI·PubMed 논문) —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GATED 지식그래프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로 검증된 성공·실패 요인의 인과 구조</w:t>
            </w:r>
            <w:r>
              <w:br/>
            </w:r>
            <w:r>
              <w:br/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B. 뉴스·미디어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(BigKinds 등) —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GATED 지식그래프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로 정책·여론·현장 쟁점의 최신 동향</w:t>
            </w:r>
            <w:r>
              <w:br/>
            </w:r>
            <w:r>
              <w:br/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C. 현장 설문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고등학생 · 고교 진학교사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(+재학생·입학사정관) 대상, 수요자가 보는 평가요소·선호·우려</w:t>
            </w:r>
            <w:r>
              <w:br/>
            </w:r>
            <w:r>
              <w:br/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D. 전문가·사례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— 델파이/AHP·타대학 사례로 지표 가중치 합의·운영모델 벤치마킹</w:t>
            </w:r>
          </w:p>
          <w:p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→ 통합: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네 증거를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삼각검증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해 공통으로 가리키는 신호만 채택 → 평가지표(안)·운영모델(안) 도출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핵심은 </w:t>
      </w:r>
      <w:r>
        <w:rPr>
          <w:rFonts w:ascii="맑은 고딕" w:hAnsi="맑은 고딕" w:eastAsia="맑은 고딕"/>
          <w:b/>
          <w:color w:val="1C2230"/>
          <w:sz w:val="21"/>
        </w:rPr>
        <w:t>어느 하나에 의존하지 않는 것</w:t>
      </w:r>
      <w:r>
        <w:rPr>
          <w:rFonts w:ascii="맑은 고딕" w:hAnsi="맑은 고딕" w:eastAsia="맑은 고딕"/>
          <w:b w:val="0"/>
          <w:color w:val="1C2230"/>
          <w:sz w:val="21"/>
        </w:rPr>
        <w:t>이다. 문헌·뉴스(A·B)가 "무엇이 자율전공을 성공시키는가"의 가설을 주면,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현장 설문(C)이 그것을 </w:t>
      </w:r>
      <w:r>
        <w:rPr>
          <w:rFonts w:ascii="맑은 고딕" w:hAnsi="맑은 고딕" w:eastAsia="맑은 고딕"/>
          <w:b/>
          <w:color w:val="1F3A6E"/>
          <w:sz w:val="21"/>
        </w:rPr>
        <w:t>고교 수요자의 눈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으로 검증하고, 전문가(D)가 </w:t>
      </w:r>
      <w:r>
        <w:rPr>
          <w:rFonts w:ascii="맑은 고딕" w:hAnsi="맑은 고딕" w:eastAsia="맑은 고딕"/>
          <w:b/>
          <w:color w:val="1F3A6E"/>
          <w:sz w:val="21"/>
        </w:rPr>
        <w:t>실행 가능한 우선순위</w:t>
      </w:r>
      <w:r>
        <w:rPr>
          <w:rFonts w:ascii="맑은 고딕" w:hAnsi="맑은 고딕" w:eastAsia="맑은 고딕"/>
          <w:b w:val="0"/>
          <w:color w:val="1C2230"/>
          <w:sz w:val="21"/>
        </w:rPr>
        <w:t>로 다듬는다.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5.2 문헌·뉴스 분석 엔진 — GATED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증거원 A·B의 방대한 텍스트(논문+뉴스 수천 건)를 사람이 다 읽을 수는 없다. 이를 </w:t>
      </w:r>
      <w:r>
        <w:rPr>
          <w:rFonts w:ascii="맑은 고딕" w:hAnsi="맑은 고딕" w:eastAsia="맑은 고딕"/>
          <w:b/>
          <w:color w:val="1C2230"/>
          <w:sz w:val="21"/>
        </w:rPr>
        <w:t>인과 지식그래프</w:t>
      </w:r>
      <w:r>
        <w:rPr>
          <w:rFonts w:ascii="맑은 고딕" w:hAnsi="맑은 고딕" w:eastAsia="맑은 고딕"/>
          <w:b w:val="0"/>
          <w:color w:val="1C2230"/>
          <w:sz w:val="21"/>
        </w:rPr>
        <w:t>로 종합하는 것이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본 연구진의 </w:t>
      </w:r>
      <w:r>
        <w:rPr>
          <w:rFonts w:ascii="맑은 고딕" w:hAnsi="맑은 고딕" w:eastAsia="맑은 고딕"/>
          <w:b/>
          <w:color w:val="1C2230"/>
          <w:sz w:val="21"/>
        </w:rPr>
        <w:t>GATED(Graph-Aware Transformer with Encoder-Decoder)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파이프라인이다. 수만 건의 PubMed 초록에서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항체 안정성의 인과 그래프를 자동 구축한 그 엔진(mAb-GATED, ISMB 2026 채택)을, </w:t>
      </w:r>
      <w:r>
        <w:rPr>
          <w:rFonts w:ascii="맑은 고딕" w:hAnsi="맑은 고딕" w:eastAsia="맑은 고딕"/>
          <w:b/>
          <w:color w:val="1F3A6E"/>
          <w:sz w:val="21"/>
        </w:rPr>
        <w:t>분자 대신 자율전공 담론에 돌린다.</w:t>
      </w:r>
    </w:p>
    <w:p>
      <w:r>
        <w:rPr>
          <w:rFonts w:ascii="맑은 고딕" w:hAnsi="맑은 고딕" w:eastAsia="맑은 고딕"/>
          <w:b/>
          <w:color w:val="15294D"/>
        </w:rPr>
        <w:t>[그림] GATED 파이프라인: 비정형 텍스트 → 인과 지식그래프 → 그래프 추론</w:t>
      </w:r>
    </w:p>
    <w:p>
      <w:r>
        <w:rPr>
          <w:rFonts w:ascii="맑은 고딕" w:hAnsi="맑은 고딕" w:eastAsia="맑은 고딕"/>
          <w:b w:val="0"/>
          <w:color w:val="1C2230"/>
          <w:sz w:val="20"/>
        </w:rPr>
        <w:t>STEP 1 대량 수집(뉴스 API·KCI) → STEP 2 관련성 필터링(GPT) → STEP 3 관계 추출·지식그래프 → STEP 4 GATED 추론(허브·예측)</w:t>
      </w:r>
    </w:p>
    <w:p>
      <w:r>
        <w:rPr>
          <w:rFonts w:ascii="맑은 고딕" w:hAnsi="맑은 고딕" w:eastAsia="맑은 고딕"/>
          <w:b w:val="0"/>
          <w:color w:val="1C2230"/>
          <w:sz w:val="19"/>
        </w:rPr>
        <w:t>추출 triplet 예시: (무전공 유형Ⅰ→촉진→인기학과 쏠림) / (전공탐색학기→억제→중도탈락)</w:t>
      </w:r>
    </w:p>
    <w:p>
      <w:r>
        <w:rPr>
          <w:rFonts w:ascii="맑은 고딕" w:hAnsi="맑은 고딕" w:eastAsia="맑은 고딕"/>
          <w:color w:val="5B6477"/>
          <w:sz w:val="18"/>
        </w:rPr>
        <w:t>그림 1. mAb 안정성에 적용된 4단계 GATED 파이프라인을 자율전공제 담론 분석으로 이식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5B6477"/>
          <w:sz w:val="18"/>
        </w:rPr>
        <w:t>표 2. GATED 파이프라인의 도메인 이식 (항체 → 자율전공)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32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원본 (mAb 안정성)</w:t>
            </w:r>
          </w:p>
        </w:tc>
        <w:tc>
          <w:tcPr>
            <w:tcW w:type="dxa" w:w="332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본 연구 (자율전공제)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수집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PubMed E-utilities (126 질의)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뉴스 API (BigKinds 등) + KCI OpenAPI ·RISS — 무전공·자율전공·전공자율선택제 담론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필터링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GPT-4o-mini 관련성 판정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제도 운영·평가·성과의 실질 내용 만 잔류, 판정 근거 1줄 저장(감사추적)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관계추출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(열스트레스→촉진→응집)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(유형Ⅰ→촉진→쏠림), (탐색학기→억제→중도탈락), (자기주도성→향상→적응)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지식그래프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16,019 인과 엣지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자율전공 성공요인 ↔ 문제 ↔ 해법 인과 네트워크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GATED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안정성 허브(응집) 예측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최고 레버리지 개입점 = 전략 우선순위 도출, 선발특성→성과 예측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5.3 현장의 목소리 — 고등학생·교사 설문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텍스트(문헌·뉴스)가 말하는 성공요인이 </w:t>
      </w:r>
      <w:r>
        <w:rPr>
          <w:rFonts w:ascii="맑은 고딕" w:hAnsi="맑은 고딕" w:eastAsia="맑은 고딕"/>
          <w:b/>
          <w:color w:val="1F3A6E"/>
          <w:sz w:val="21"/>
        </w:rPr>
        <w:t>정작 고교 현장의 수요와 맞는지</w:t>
      </w:r>
      <w:r>
        <w:rPr>
          <w:rFonts w:ascii="맑은 고딕" w:hAnsi="맑은 고딕" w:eastAsia="맑은 고딕"/>
          <w:b w:val="0"/>
          <w:color w:val="1C2230"/>
          <w:sz w:val="21"/>
        </w:rPr>
        <w:t>는 직접 물어야 안다. 본 연구는 실제 설문을 수행한다.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대상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— 고등학생(자율전공 지원 잠재층) · 고교 진학지도 교사 · (보조: CHA 자율전공 재학생 · 입학사정관)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내용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— 자율전공 인식·선호, 전공탐색 경험, </w:t>
      </w:r>
      <w:r>
        <w:rPr>
          <w:rFonts w:ascii="맑은 고딕" w:hAnsi="맑은 고딕" w:eastAsia="맑은 고딕"/>
          <w:b/>
          <w:color w:val="1C2230"/>
          <w:sz w:val="21"/>
        </w:rPr>
        <w:t>평가요소 중요도</w:t>
      </w:r>
      <w:r>
        <w:rPr>
          <w:rFonts w:ascii="맑은 고딕" w:hAnsi="맑은 고딕" w:eastAsia="맑은 고딕"/>
          <w:b w:val="0"/>
          <w:color w:val="1C2230"/>
          <w:sz w:val="21"/>
        </w:rPr>
        <w:t>(자기주도성·전공탐색역량·계열적합성·성장지향성), 우려(쏠림·진로불안)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표본·분석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— 지역·계열 안배 표집, 기술통계 + 요인분석/신뢰도, 중요도–수행도 분석(IPA), 집단(학생 vs 교사) 비교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역할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— 텍스트에서 도출한 평가요소를 </w:t>
      </w:r>
      <w:r>
        <w:rPr>
          <w:rFonts w:ascii="맑은 고딕" w:hAnsi="맑은 고딕" w:eastAsia="맑은 고딕"/>
          <w:b/>
          <w:color w:val="1C2230"/>
          <w:sz w:val="21"/>
        </w:rPr>
        <w:t>현장 수요로 검증·보정</w:t>
      </w:r>
      <w:r>
        <w:rPr>
          <w:rFonts w:ascii="맑은 고딕" w:hAnsi="맑은 고딕" w:eastAsia="맑은 고딕"/>
          <w:b w:val="0"/>
          <w:color w:val="1C2230"/>
          <w:sz w:val="21"/>
        </w:rPr>
        <w:t>하고, 서류·면접 평가지표의 우선순위 근거 제공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5.4 전문가 델파이·AHP + 타대학 사례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마지막으로 입학사정관·교육 전문가 패널의 </w:t>
      </w:r>
      <w:r>
        <w:rPr>
          <w:rFonts w:ascii="맑은 고딕" w:hAnsi="맑은 고딕" w:eastAsia="맑은 고딕"/>
          <w:b/>
          <w:color w:val="1C2230"/>
          <w:sz w:val="21"/>
        </w:rPr>
        <w:t>델파이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로 평가지표를 정련하고 </w:t>
      </w:r>
      <w:r>
        <w:rPr>
          <w:rFonts w:ascii="맑은 고딕" w:hAnsi="맑은 고딕" w:eastAsia="맑은 고딕"/>
          <w:b/>
          <w:color w:val="1C2230"/>
          <w:sz w:val="21"/>
        </w:rPr>
        <w:t>AHP</w:t>
      </w:r>
      <w:r>
        <w:rPr>
          <w:rFonts w:ascii="맑은 고딕" w:hAnsi="맑은 고딕" w:eastAsia="맑은 고딕"/>
          <w:b w:val="0"/>
          <w:color w:val="1C2230"/>
          <w:sz w:val="21"/>
        </w:rPr>
        <w:t>로 가중치를 산정하며, 무전공 선도대학의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운영 사례를 비교해 </w:t>
      </w:r>
      <w:r>
        <w:rPr>
          <w:rFonts w:ascii="맑은 고딕" w:hAnsi="맑은 고딕" w:eastAsia="맑은 고딕"/>
          <w:b/>
          <w:color w:val="1C2230"/>
          <w:sz w:val="21"/>
        </w:rPr>
        <w:t>CHA에 실행 가능한 모델</w:t>
      </w:r>
      <w:r>
        <w:rPr>
          <w:rFonts w:ascii="맑은 고딕" w:hAnsi="맑은 고딕" w:eastAsia="맑은 고딕"/>
          <w:b w:val="0"/>
          <w:color w:val="1C2230"/>
          <w:sz w:val="21"/>
        </w:rPr>
        <w:t>로 옮긴다. (타대학 사례는 증거원 A·B의 지식그래프에도 근거 엣지로 편입된다.)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5.5 전략이 산출하는 두 결과물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소주제 1 — 평가지표(안):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KG가 "전공성공과 인과로 연결된 입학생 특성"을 드러내면, 그 노드들이 곧 평가요소가 된다.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GATED의 예측 기여도로 </w:t>
      </w:r>
      <w:r>
        <w:rPr>
          <w:rFonts w:ascii="맑은 고딕" w:hAnsi="맑은 고딕" w:eastAsia="맑은 고딕"/>
          <w:b/>
          <w:color w:val="1F3A6E"/>
          <w:sz w:val="21"/>
        </w:rPr>
        <w:t>가중치</w:t>
      </w:r>
      <w:r>
        <w:rPr>
          <w:rFonts w:ascii="맑은 고딕" w:hAnsi="맑은 고딕" w:eastAsia="맑은 고딕"/>
          <w:b w:val="0"/>
          <w:color w:val="1C2230"/>
          <w:sz w:val="21"/>
        </w:rPr>
        <w:t>까지 추정해 델파이/AHP와 교차검증한다.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소주제 2 — 운영모델(안):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허브·중심성 분석이 "무엇부터 손대야 성공하는가"를 정량 제시한다.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타대학 사례는 KG의 </w:t>
      </w:r>
      <w:r>
        <w:rPr>
          <w:rFonts w:ascii="맑은 고딕" w:hAnsi="맑은 고딕" w:eastAsia="맑은 고딕"/>
          <w:b/>
          <w:color w:val="1F3A6E"/>
          <w:sz w:val="21"/>
        </w:rPr>
        <w:t>근거 엣지</w:t>
      </w:r>
      <w:r>
        <w:rPr>
          <w:rFonts w:ascii="맑은 고딕" w:hAnsi="맑은 고딕" w:eastAsia="맑은 고딕"/>
          <w:b w:val="0"/>
          <w:color w:val="1C2230"/>
          <w:sz w:val="21"/>
        </w:rPr>
        <w:t>로 편입되어, 인상비평이 아니라 데이터로 벤치마킹된다.</w:t>
      </w:r>
    </w:p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그래서 이 전략이 맞다는 걸 어떻게 증명하나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전략은 주장이 아니라 </w:t>
      </w:r>
      <w:r>
        <w:rPr>
          <w:rFonts w:ascii="맑은 고딕" w:hAnsi="맑은 고딕" w:eastAsia="맑은 고딕"/>
          <w:b/>
          <w:color w:val="1F3A6E"/>
          <w:sz w:val="21"/>
        </w:rPr>
        <w:t>검증 가능한 설계</w:t>
      </w:r>
      <w:r>
        <w:rPr>
          <w:rFonts w:ascii="맑은 고딕" w:hAnsi="맑은 고딕" w:eastAsia="맑은 고딕"/>
          <w:b w:val="0"/>
          <w:color w:val="1C2230"/>
          <w:sz w:val="21"/>
        </w:rPr>
        <w:t>여야 한다. 세 겹의 증명을 둔다.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5B6477"/>
          <w:sz w:val="18"/>
        </w:rPr>
        <w:t>표 3. 가설–검증 매핑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층위</w:t>
            </w:r>
          </w:p>
        </w:tc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 기준</w:t>
            </w:r>
          </w:p>
        </w:tc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 가설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내적 (그래프)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엣지 빈도·출처수, 허브 중심성(degree·betweenness)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핵심 엣지가 통계적으로 우세 / 완충장치가 상위 허브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H1, H2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모델 (예측)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GATED vs 빈도기반·DistMult baseline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MRR·Hits@k에서 baseline 유의 상회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H4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외적 (전문가)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입학사정관·전문가 델파이/AHP, 가중치 비교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KG 도출 지표와 전문가 합의의 수렴(κ·CR)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H3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현장 (설문)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고등학생·교사 설문, 요인분석·IPA·집단비교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평가요소 중요도가 도출 지표와 수렴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H3, H5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적용 (파일럿)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글로벌미래인재대학 기존 데이터로 후향 모의평가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지표 적용 시 성과 구분력 향상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H3, H4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(예상) 결과 — 결과가 나오면 갈아끼울 자리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아래 수치·표는 모두 </w:t>
      </w:r>
      <w:r>
        <w:rPr>
          <w:rFonts w:ascii="맑은 고딕" w:hAnsi="맑은 고딕" w:eastAsia="맑은 고딕"/>
          <w:b/>
          <w:color w:val="1C2230"/>
          <w:sz w:val="21"/>
        </w:rPr>
        <w:t>가설이 옳을 경우의 예상치</w:t>
      </w:r>
      <w:r>
        <w:rPr>
          <w:rFonts w:ascii="맑은 고딕" w:hAnsi="맑은 고딕" w:eastAsia="맑은 고딕"/>
          <w:b w:val="0"/>
          <w:color w:val="1C2230"/>
          <w:sz w:val="21"/>
        </w:rPr>
        <w:t>다. 실제 분석이 끝나면 이 박스들만 교체한다.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F3DF"/>
          </w:tcPr>
          <w:p>
            <w:r>
              <w:rPr>
                <w:rFonts w:ascii="맑은 고딕" w:hAnsi="맑은 고딕" w:eastAsia="맑은 고딕"/>
                <w:b/>
                <w:color w:val="8A6600"/>
                <w:sz w:val="20"/>
              </w:rPr>
              <w:t>📦 DROP-IN · 7.1 지식그래프 규모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뉴스·논문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약 3,000±건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수집 → 관련성 필터링 후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약 1,200±건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잔류 →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노드 ~1,500 / 인과 엣지 ~6,000±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규모의 자율전공 지식그래프 구축 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(예상치)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F3DF"/>
          </w:tcPr>
          <w:p>
            <w:r>
              <w:rPr>
                <w:rFonts w:ascii="맑은 고딕" w:hAnsi="맑은 고딕" w:eastAsia="맑은 고딕"/>
                <w:b/>
                <w:color w:val="8A6600"/>
                <w:sz w:val="20"/>
              </w:rPr>
              <w:t>📦 DROP-IN · 7.2 허브 분석 (전략 우선순위)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※ 실제 중심성 산출 후 순위·노드 교체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순위(예상)</w:t>
            </w:r>
          </w:p>
        </w:tc>
        <w:tc>
          <w:tcPr>
            <w:tcW w:type="dxa" w:w="332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허브 노드</w:t>
            </w:r>
          </w:p>
        </w:tc>
        <w:tc>
          <w:tcPr>
            <w:tcW w:type="dxa" w:w="332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해석</w:t>
            </w:r>
          </w:p>
        </w:tc>
      </w:tr>
      <w:tr>
        <w:tc>
          <w:tcPr>
            <w:tcW w:type="dxa" w:w="332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전공탐색·진로설계 지원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최대 레버리지 — 부적응·중도탈락을 가장 널리 억제</w:t>
            </w:r>
          </w:p>
        </w:tc>
      </w:tr>
      <w:tr>
        <w:tc>
          <w:tcPr>
            <w:tcW w:type="dxa" w:w="332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인기학과 쏠림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최대 위험 허브 — 가장 많은 부정 엣지의 근원</w:t>
            </w:r>
          </w:p>
        </w:tc>
      </w:tr>
      <w:tr>
        <w:tc>
          <w:tcPr>
            <w:tcW w:type="dxa" w:w="332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전공적응·만족(성과)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모든 경로가 수렴하는 출구 지표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F3DF"/>
          </w:tcPr>
          <w:p>
            <w:r>
              <w:rPr>
                <w:rFonts w:ascii="맑은 고딕" w:hAnsi="맑은 고딕" w:eastAsia="맑은 고딕"/>
                <w:b/>
                <w:color w:val="8A6600"/>
                <w:sz w:val="20"/>
              </w:rPr>
              <w:t>📦 DROP-IN · 7.3 GATED 예측 성능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성과 노드 예측에서 GATED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MRR ≈ 0.8x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Hits@3 ≈ 0.9x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로 빈도기반·DistMult baseline을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20%+ 상회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할 것으로 예상 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(mAb-GATED 전례: MRR 0.895)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. → H4 지지.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F3DF"/>
          </w:tcPr>
          <w:p>
            <w:r>
              <w:rPr>
                <w:rFonts w:ascii="맑은 고딕" w:hAnsi="맑은 고딕" w:eastAsia="맑은 고딕"/>
                <w:b/>
                <w:color w:val="8A6600"/>
                <w:sz w:val="20"/>
              </w:rPr>
              <w:t>📦 DROP-IN · 7.4 자율전공 평가지표(안) — 소주제 1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※ 가중치는 GATED 기여도 + 델파이/AHP 수렴값으로 확정 후 교체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평가요소(예상)</w:t>
            </w:r>
          </w:p>
        </w:tc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서류 신호</w:t>
            </w:r>
          </w:p>
        </w:tc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면접 확인</w:t>
            </w:r>
          </w:p>
        </w:tc>
        <w:tc>
          <w:tcPr>
            <w:tcW w:type="dxa" w:w="2493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가중(예상)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전공탐색역량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다전공·융합 활동, 탐색 이력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탐색의 깊이·전환의 논리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30%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자기주도성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스스로 설계한 학습·프로젝트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의사결정 근거·실행력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25%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계열적합성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보건의료·융합 계열 기초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CHA 트랙 정합성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25%</w:t>
            </w:r>
          </w:p>
        </w:tc>
      </w:tr>
      <w:tr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성장지향성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실패·전환에서의 성장</w:t>
            </w:r>
          </w:p>
        </w:tc>
        <w:tc>
          <w:tcPr>
            <w:tcW w:type="dxa" w:w="2493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회복탄력성·개방성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F3DF"/>
          </w:tcPr>
          <w:p>
            <w:r>
              <w:rPr>
                <w:rFonts w:ascii="맑은 고딕" w:hAnsi="맑은 고딕" w:eastAsia="맑은 고딕"/>
                <w:b/>
                <w:color w:val="8A6600"/>
                <w:sz w:val="20"/>
              </w:rPr>
              <w:t>📦 DROP-IN · 7.5 CHA형 운영모델(안) — 소주제 2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유형Ⅱ(계열단위) 기반 +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1학기 전공탐색 트랙 → 데이터 기반 전공배정 → 멘토링 안전망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의 3중 구조 제안.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쏠림 완화 장치(정원 유연쿼터·탐색성과 반영)와 성과관리 KPI(전공만족·중도탈락·배정충족률) 포함 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(상세안은 결과로 교체)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.</w:t>
            </w:r>
          </w:p>
        </w:tc>
      </w:tr>
    </w:tbl>
    <w:p>
      <w:pPr>
        <w:spacing w:after="20"/>
      </w:pPr>
    </w:p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이 연구의 가치와 향후 연구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8.1 기대효과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정책 기여: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자율전공 평가·운영을 </w:t>
      </w:r>
      <w:r>
        <w:rPr>
          <w:rFonts w:ascii="맑은 고딕" w:hAnsi="맑은 고딕" w:eastAsia="맑은 고딕"/>
          <w:b/>
          <w:color w:val="1F3A6E"/>
          <w:sz w:val="21"/>
        </w:rPr>
        <w:t>인상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이 아니라 </w:t>
      </w:r>
      <w:r>
        <w:rPr>
          <w:rFonts w:ascii="맑은 고딕" w:hAnsi="맑은 고딕" w:eastAsia="맑은 고딕"/>
          <w:b/>
          <w:color w:val="1F3A6E"/>
          <w:sz w:val="21"/>
        </w:rPr>
        <w:t>인과 데이터</w:t>
      </w:r>
      <w:r>
        <w:rPr>
          <w:rFonts w:ascii="맑은 고딕" w:hAnsi="맑은 고딕" w:eastAsia="맑은 고딕"/>
          <w:b w:val="0"/>
          <w:color w:val="1C2230"/>
          <w:sz w:val="21"/>
        </w:rPr>
        <w:t>로 설계 — 재현 가능·갱신 가능.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CHA 적용: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글로벌미래인재대학에 즉시 이식 가능한 평가지표(안)·운영모델(안) 산출.</w:t>
      </w:r>
    </w:p>
    <w:p>
      <w:pPr>
        <w:pStyle w:val="ListBullet"/>
      </w:pPr>
      <w:r>
        <w:rPr>
          <w:rFonts w:ascii="맑은 고딕" w:hAnsi="맑은 고딕" w:eastAsia="맑은 고딕"/>
          <w:b/>
          <w:color w:val="1C2230"/>
          <w:sz w:val="21"/>
        </w:rPr>
        <w:t>방법론 신규성: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입학 연구에 지식그래프·그래프 신경망을 도입한 국내 첫 사례급 — </w:t>
      </w:r>
      <w:r>
        <w:rPr>
          <w:rFonts w:ascii="맑은 고딕" w:hAnsi="맑은 고딕" w:eastAsia="맑은 고딕"/>
          <w:b/>
          <w:color w:val="1F3A6E"/>
          <w:sz w:val="21"/>
        </w:rPr>
        <w:t>논문화 발판</w:t>
      </w:r>
      <w:r>
        <w:rPr>
          <w:rFonts w:ascii="맑은 고딕" w:hAnsi="맑은 고딕" w:eastAsia="맑은 고딕"/>
          <w:b w:val="0"/>
          <w:color w:val="1C2230"/>
          <w:sz w:val="21"/>
        </w:rPr>
        <w:t>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8.2 향후 연구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C2230"/>
          <w:sz w:val="21"/>
        </w:rPr>
        <w:t xml:space="preserve">타 전형(교과·논술)·타 단위로 파이프라인 확장, </w:t>
      </w:r>
      <w:r>
        <w:rPr>
          <w:rFonts w:ascii="맑은 고딕" w:hAnsi="맑은 고딕" w:eastAsia="맑은 고딕"/>
          <w:b/>
          <w:color w:val="1C2230"/>
          <w:sz w:val="21"/>
        </w:rPr>
        <w:t>매년 갱신되는 살아있는 KG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운영.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C2230"/>
          <w:sz w:val="21"/>
        </w:rPr>
        <w:t xml:space="preserve">합격–입학–성과 데이터를 연결한 </w:t>
      </w:r>
      <w:r>
        <w:rPr>
          <w:rFonts w:ascii="맑은 고딕" w:hAnsi="맑은 고딕" w:eastAsia="맑은 고딕"/>
          <w:b/>
          <w:color w:val="1C2230"/>
          <w:sz w:val="21"/>
        </w:rPr>
        <w:t>"입학 Foundation Model"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비전 — 항체의 Foundation Model 구상을 입시로.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C2230"/>
          <w:sz w:val="21"/>
        </w:rPr>
        <w:t xml:space="preserve">예측 결과의 </w:t>
      </w:r>
      <w:r>
        <w:rPr>
          <w:rFonts w:ascii="맑은 고딕" w:hAnsi="맑은 고딕" w:eastAsia="맑은 고딕"/>
          <w:b/>
          <w:color w:val="1C2230"/>
          <w:sz w:val="21"/>
        </w:rPr>
        <w:t>윤리·공정성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검토(편향·설명가능성)를 상시 트랙으로 병행.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EF3FB"/>
          </w:tcPr>
          <w:p>
            <w:r>
              <w:rPr>
                <w:rFonts w:ascii="맑은 고딕" w:hAnsi="맑은 고딕" w:eastAsia="맑은 고딕"/>
                <w:b/>
                <w:color w:val="1F3A6E"/>
                <w:sz w:val="20"/>
              </w:rPr>
              <w:t>한 줄 요약</w:t>
            </w:r>
          </w:p>
          <w:p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자율전공제의 성패는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입구·과정·출구의 정합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에 달려 있고, 우리는 그 정합을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문헌·뉴스·현장 설문·전문가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네 갈래 증거의 </w:t>
            </w:r>
            <w:r>
              <w:rPr>
                <w:rFonts w:ascii="맑은 고딕" w:hAnsi="맑은 고딕" w:eastAsia="맑은 고딕"/>
                <w:b/>
                <w:color w:val="1C2230"/>
                <w:sz w:val="20"/>
              </w:rPr>
              <w:t>삼각검증</w:t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>으로 설계·검증한다(방대한 텍스트를 종합하는 엔진은 GATED).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2230"/>
                <w:sz w:val="20"/>
              </w:rPr>
              <w:t xml:space="preserve"> 평가지표(소주제1)와 운영모델(소주제2)이 하나의 통합 설계에서 함께 나온다.</w:t>
            </w:r>
          </w:p>
        </w:tc>
      </w:tr>
    </w:tbl>
    <w:p>
      <w:pPr>
        <w:spacing w:after="20"/>
      </w:pPr>
    </w:p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추진 일정 · 예산 개요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5B6477"/>
          <w:sz w:val="18"/>
        </w:rPr>
        <w:t>표 4. 6개월 추진 일정 (2026.9 ~ 2027.2)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425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9월</w:t>
            </w:r>
          </w:p>
        </w:tc>
        <w:tc>
          <w:tcPr>
            <w:tcW w:type="dxa" w:w="1425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10월</w:t>
            </w:r>
          </w:p>
        </w:tc>
        <w:tc>
          <w:tcPr>
            <w:tcW w:type="dxa" w:w="1425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11월</w:t>
            </w:r>
          </w:p>
        </w:tc>
        <w:tc>
          <w:tcPr>
            <w:tcW w:type="dxa" w:w="1425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12월</w:t>
            </w:r>
          </w:p>
        </w:tc>
        <w:tc>
          <w:tcPr>
            <w:tcW w:type="dxa" w:w="1425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1월</w:t>
            </w:r>
          </w:p>
        </w:tc>
        <w:tc>
          <w:tcPr>
            <w:tcW w:type="dxa" w:w="1425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2월</w:t>
            </w:r>
          </w:p>
        </w:tc>
      </w:tr>
      <w:tr>
        <w:tc>
          <w:tcPr>
            <w:tcW w:type="dxa" w:w="1425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과업</w:t>
            </w:r>
          </w:p>
        </w:tc>
        <w:tc>
          <w:tcPr>
            <w:tcW w:type="dxa" w:w="1425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설계·수집(문헌·뉴스)</w:t>
            </w:r>
          </w:p>
        </w:tc>
        <w:tc>
          <w:tcPr>
            <w:tcW w:type="dxa" w:w="1425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KG 구축·설문 설계</w:t>
            </w:r>
          </w:p>
        </w:tc>
        <w:tc>
          <w:tcPr>
            <w:tcW w:type="dxa" w:w="1425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GATED 학습· 설문 조사</w:t>
            </w:r>
          </w:p>
        </w:tc>
        <w:tc>
          <w:tcPr>
            <w:tcW w:type="dxa" w:w="1425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설문 분석·중간보고·델파이</w:t>
            </w:r>
          </w:p>
        </w:tc>
        <w:tc>
          <w:tcPr>
            <w:tcW w:type="dxa" w:w="1425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지표·운영모델 확정(AHP)</w:t>
            </w:r>
          </w:p>
        </w:tc>
        <w:tc>
          <w:tcPr>
            <w:tcW w:type="dxa" w:w="1425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파일럿·최종보고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9.1 연구진 구성 및 역할 분담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5B6477"/>
          <w:sz w:val="18"/>
        </w:rPr>
        <w:t>표 5. 연구진 구성 — 분담은 GATED 파이프라인 단계에 대응 (소속·학력은 확정 시 조정)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99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99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· 과정</w:t>
            </w:r>
          </w:p>
        </w:tc>
        <w:tc>
          <w:tcPr>
            <w:tcW w:type="dxa" w:w="199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최종학력</w:t>
            </w:r>
          </w:p>
        </w:tc>
        <w:tc>
          <w:tcPr>
            <w:tcW w:type="dxa" w:w="199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분담 내용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연구책임자 (PM)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장정헌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교수 (소속 기입)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박사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 총괄·PM — 기획·일정·품질 관리, 평가지표·운영모델 최종 확정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공동연구원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박대근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AI헬스케어융합학부 교수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박사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GATED 방법론 총괄 · 분석 설계·해석 · 지식그래프 구축 지휘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공동연구원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○○○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입학홍보처 입학사정관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석사↑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입학전형 전문 자문 · 평가지표 타당화 (규정상 필참)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연구보조원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차상현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일반대학원 박사과정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석사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지식그래프(KG) 구축 · GATED 모델 설계/학습 · 통계분석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연구보조원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이규성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일반대학원 석사과정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학사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데이터 수집(뉴스·KCI 크롤링) · 설문 운영 · 시각화</w:t>
            </w:r>
          </w:p>
        </w:tc>
      </w:tr>
      <w:tr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연구보조원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성봉주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일반대학원 석사과정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학사</w:t>
            </w:r>
          </w:p>
        </w:tc>
        <w:tc>
          <w:tcPr>
            <w:tcW w:type="dxa" w:w="199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GPT 필터링·관계 추출 · 델파이/AHP · 문헌·번역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※ 자격 규정(참고1): 연구책임자(PM)·공동연구원은 박사 또는 석사 이상 · </w:t>
      </w:r>
      <w:r>
        <w:rPr>
          <w:rFonts w:ascii="맑은 고딕" w:hAnsi="맑은 고딕" w:eastAsia="맑은 고딕"/>
          <w:b/>
          <w:color w:val="1C2230"/>
          <w:sz w:val="21"/>
        </w:rPr>
        <w:t>입학사정관 1인 공동연구원 필참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· 대학원생은 연구보조원(학사 이상). 인건비는 책임/공동 월 70만원 · 보조 월 60만원 이내, 총액의 60% 이내.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F3A6E"/>
          <w:sz w:val="25"/>
        </w:rPr>
        <w:t>▍ 9.2 연구비 예산(안)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총 </w:t>
      </w:r>
      <w:r>
        <w:rPr>
          <w:rFonts w:ascii="맑은 고딕" w:hAnsi="맑은 고딕" w:eastAsia="맑은 고딕"/>
          <w:b/>
          <w:color w:val="1C2230"/>
          <w:sz w:val="21"/>
        </w:rPr>
        <w:t>26,000천원</w:t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= 소주제1(13,000) + 소주제2(13,000) 통합 편성 · 단위: 천원 · 인건비 지급방식: 2회 분할</w:t>
      </w:r>
    </w:p>
    <w:p>
      <w:pPr>
        <w:spacing w:before="120" w:after="40"/>
      </w:pPr>
      <w:r>
        <w:rPr>
          <w:rFonts w:ascii="맑은 고딕" w:hAnsi="맑은 고딕" w:eastAsia="맑은 고딕"/>
          <w:b/>
          <w:color w:val="5B6477"/>
          <w:sz w:val="18"/>
        </w:rPr>
        <w:t>표 6. ① 인건비 (집행기간 6개월)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662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662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월단가</w:t>
            </w:r>
          </w:p>
        </w:tc>
        <w:tc>
          <w:tcPr>
            <w:tcW w:type="dxa" w:w="1662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기간(월)</w:t>
            </w:r>
          </w:p>
        </w:tc>
        <w:tc>
          <w:tcPr>
            <w:tcW w:type="dxa" w:w="1662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인원</w:t>
            </w:r>
          </w:p>
        </w:tc>
        <w:tc>
          <w:tcPr>
            <w:tcW w:type="dxa" w:w="1662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금액</w:t>
            </w:r>
          </w:p>
        </w:tc>
      </w:tr>
      <w:tr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연구책임자(PM)</w:t>
            </w:r>
          </w:p>
        </w:tc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장정헌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3,000</w:t>
            </w:r>
          </w:p>
        </w:tc>
      </w:tr>
      <w:tr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공동연구원</w:t>
            </w:r>
          </w:p>
        </w:tc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박대근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2,700</w:t>
            </w:r>
          </w:p>
        </w:tc>
      </w:tr>
      <w:tr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공동연구원</w:t>
            </w:r>
          </w:p>
        </w:tc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입학사정관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2,700</w:t>
            </w:r>
          </w:p>
        </w:tc>
      </w:tr>
      <w:tr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연구보조원</w:t>
            </w:r>
          </w:p>
        </w:tc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차상현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2,400</w:t>
            </w:r>
          </w:p>
        </w:tc>
      </w:tr>
      <w:tr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연구보조원</w:t>
            </w:r>
          </w:p>
        </w:tc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이규성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2,400</w:t>
            </w:r>
          </w:p>
        </w:tc>
      </w:tr>
      <w:tr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연구보조원</w:t>
            </w:r>
          </w:p>
        </w:tc>
        <w:tc>
          <w:tcPr>
            <w:tcW w:type="dxa" w:w="1662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성봉주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400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2,400</w:t>
            </w:r>
          </w:p>
        </w:tc>
      </w:tr>
      <w:tr>
        <w:tc>
          <w:tcPr>
            <w:tcW w:type="dxa" w:w="8310"/>
            <w:gridSpan w:val="5"/>
            <w:shd w:val="clear" w:fill="EEF3FB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소계 (A) · 총액 대비 60.0% (≤60% ✓)</w:t>
            </w:r>
          </w:p>
        </w:tc>
        <w:tc>
          <w:tcPr>
            <w:tcW w:type="dxa" w:w="1662"/>
            <w:shd w:val="clear" w:fill="EEF3FB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9"/>
              </w:rPr>
              <w:t>15,600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맑은 고딕" w:hAnsi="맑은 고딕" w:eastAsia="맑은 고딕"/>
          <w:b/>
          <w:color w:val="5B6477"/>
          <w:sz w:val="18"/>
        </w:rPr>
        <w:t>표 7. ② 연구활동 경비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32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산출 근거</w:t>
            </w:r>
          </w:p>
        </w:tc>
        <w:tc>
          <w:tcPr>
            <w:tcW w:type="dxa" w:w="3324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금액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문헌 및 자료구입비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도서·논문 원문·데이터셋 구입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1,500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유인물 및 보고서 인쇄비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중간·최종 보고서, 설문지 인쇄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800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조사 및 전산처리비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설문조사(고등학생·교사) 사례비(기념품 5천원 이하) · LLM(GPT) API · 클라우드(Colab/서버)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4,100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회의비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연구회의·중간/최종보고 (식비+다과 5만원/회 이내)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2,000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자문비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전문가 델파이·AHP 패널 (20만원/인·회 이내)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1,600</w:t>
            </w:r>
          </w:p>
        </w:tc>
      </w:tr>
      <w:tr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임차료</w:t>
            </w:r>
          </w:p>
        </w:tc>
        <w:tc>
          <w:tcPr>
            <w:tcW w:type="dxa" w:w="3324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장비·전산 사용료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400</w:t>
            </w:r>
          </w:p>
        </w:tc>
      </w:tr>
      <w:tr>
        <w:tc>
          <w:tcPr>
            <w:tcW w:type="dxa" w:w="6648"/>
            <w:gridSpan w:val="2"/>
            <w:shd w:val="clear" w:fill="EEF3FB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소계 (B) · 회의비 비중 7.7% (≤10% ✓)</w:t>
            </w:r>
          </w:p>
        </w:tc>
        <w:tc>
          <w:tcPr>
            <w:tcW w:type="dxa" w:w="3324"/>
            <w:shd w:val="clear" w:fill="EEF3FB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19"/>
              </w:rPr>
              <w:t>10,400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5294D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합계 (A + B)</w:t>
            </w:r>
          </w:p>
        </w:tc>
        <w:tc>
          <w:tcPr>
            <w:tcW w:type="dxa" w:w="4986"/>
            <w:shd w:val="clear" w:fill="15294D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26,000 천원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color w:val="1C2230"/>
          <w:sz w:val="21"/>
        </w:rPr>
        <w:t>※ 심사 결과 및 참여 인원에 따라 소주제별 예산은 차등 배분될 수 있음 · 입학사정관 인건비는 1인 1개 과제만 편성 가능(참고1).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예산 요약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총 26,000천원 — 인건비 15,600(60.0%) · 활동경비 10,400(40.0%)</w:t>
            </w:r>
          </w:p>
        </w:tc>
      </w:tr>
      <w:tr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산출물</w:t>
            </w:r>
          </w:p>
        </w:tc>
        <w:tc>
          <w:tcPr>
            <w:tcW w:type="dxa" w:w="4986"/>
          </w:tcPr>
          <w:p>
            <w:r>
              <w:rPr>
                <w:rFonts w:ascii="맑은 고딕" w:hAnsi="맑은 고딕" w:eastAsia="맑은 고딕"/>
                <w:b w:val="0"/>
                <w:sz w:val="19"/>
              </w:rPr>
              <w:t>지식그래프 · 평가지표(안) · 운영모델(안) · 학술논문 1편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8" w:space="4" w:color="15294D"/>
        </w:pBdr>
      </w:pPr>
      <w:r>
        <w:rPr>
          <w:rFonts w:ascii="맑은 고딕" w:hAnsi="맑은 고딕" w:eastAsia="맑은 고딕"/>
          <w:b/>
          <w:color w:val="15294D"/>
          <w:sz w:val="32"/>
        </w:rPr>
        <w:t>참고문헌</w:t>
      </w:r>
    </w:p>
    <w:p>
      <w:r>
        <w:rPr>
          <w:rFonts w:ascii="맑은 고딕" w:hAnsi="맑은 고딕" w:eastAsia="맑은 고딕"/>
          <w:b w:val="0"/>
          <w:color w:val="1C2230"/>
          <w:sz w:val="21"/>
        </w:rPr>
        <w:t xml:space="preserve">※ 본 연구의 실증 문헌 코퍼스(뉴스·논문 수백~수천 건)는 </w:t>
      </w:r>
      <w:r>
        <w:rPr>
          <w:rFonts w:ascii="맑은 고딕" w:hAnsi="맑은 고딕" w:eastAsia="맑은 고딕"/>
          <w:b/>
          <w:color w:val="1C2230"/>
          <w:sz w:val="21"/>
        </w:rPr>
        <w:t>STEP 1 수집 단계에서 자동 생성</w:t>
      </w:r>
      <w:r>
        <w:rPr>
          <w:rFonts w:ascii="맑은 고딕" w:hAnsi="맑은 고딕" w:eastAsia="맑은 고딕"/>
          <w:b w:val="0"/>
          <w:color w:val="1C2230"/>
          <w:sz w:val="21"/>
        </w:rPr>
        <w:t>되며,</w:t>
      </w:r>
      <w:r>
        <w:br/>
      </w:r>
      <w:r>
        <w:rPr>
          <w:rFonts w:ascii="맑은 고딕" w:hAnsi="맑은 고딕" w:eastAsia="맑은 고딕"/>
          <w:b w:val="0"/>
          <w:color w:val="1C2230"/>
          <w:sz w:val="21"/>
        </w:rPr>
        <w:t xml:space="preserve"> 최종 보고서에 전수 목록으로 부록 수록된다. 아래는 방법론·정책 토대 문헌이다.</w:t>
      </w:r>
    </w:p>
    <w:p/>
    <w:p>
      <w:pPr>
        <w:jc w:val="center"/>
      </w:pPr>
      <w:r>
        <w:rPr>
          <w:rFonts w:ascii="맑은 고딕" w:hAnsi="맑은 고딕" w:eastAsia="맑은 고딕"/>
          <w:color w:val="5B6477"/>
          <w:sz w:val="17"/>
        </w:rPr>
        <w:t>차 의과학대학교 · 글로벌미래인재대학 자율전공 연구  ·  GATED 기반 통합 전략 · Draft v0.9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