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p>
    <w:p>
      <w:pPr>
        <w:pStyle w:val="10"/>
        <w:rPr>
          <w:rFonts w:hint="eastAsia"/>
          <w:sz w:val="84"/>
          <w:szCs w:val="84"/>
        </w:rPr>
      </w:pPr>
    </w:p>
    <w:p>
      <w:pPr>
        <w:pStyle w:val="10"/>
        <w:rPr>
          <w:rFonts w:hint="default" w:eastAsia="黑体"/>
          <w:b/>
          <w:sz w:val="84"/>
          <w:szCs w:val="84"/>
          <w:lang w:val="en-US" w:eastAsia="zh-CN"/>
        </w:rPr>
      </w:pPr>
      <w:r>
        <w:rPr>
          <w:rFonts w:hint="eastAsia"/>
          <w:b/>
          <w:sz w:val="84"/>
          <w:szCs w:val="84"/>
          <w:lang w:val="en-US" w:eastAsia="zh-CN"/>
        </w:rPr>
        <w:t>Robot迭代需求文档</w:t>
      </w:r>
    </w:p>
    <w:p>
      <w:pPr>
        <w:pStyle w:val="10"/>
        <w:rPr>
          <w:rFonts w:hint="eastAsia"/>
        </w:rPr>
      </w:pPr>
    </w:p>
    <w:p>
      <w:pPr>
        <w:pStyle w:val="10"/>
      </w:pPr>
    </w:p>
    <w:p>
      <w:pPr>
        <w:pStyle w:val="11"/>
        <w:spacing w:line="240" w:lineRule="auto"/>
        <w:rPr>
          <w:rFonts w:hint="eastAsia" w:eastAsia="黑体"/>
          <w:szCs w:val="52"/>
          <w:lang w:val="en-US" w:eastAsia="zh-CN"/>
        </w:rPr>
      </w:pPr>
    </w:p>
    <w:p>
      <w:pPr>
        <w:pStyle w:val="12"/>
        <w:spacing w:after="156"/>
        <w:rPr>
          <w:rFonts w:hint="eastAsia"/>
        </w:rPr>
      </w:pPr>
      <w:bookmarkStart w:id="0" w:name="_Toc153699155"/>
      <w:r>
        <w:rPr>
          <w:rFonts w:hint="eastAsia"/>
        </w:rPr>
        <w:t>目  录</w:t>
      </w:r>
      <w:bookmarkEnd w:id="0"/>
    </w:p>
    <w:p>
      <w:pPr>
        <w:pStyle w:val="2"/>
        <w:numPr>
          <w:ilvl w:val="0"/>
          <w:numId w:val="0"/>
        </w:numPr>
        <w:bidi w:val="0"/>
        <w:rPr>
          <w:rFonts w:hint="eastAsia"/>
          <w:lang w:val="en-US" w:eastAsia="zh-CN"/>
        </w:rPr>
      </w:pPr>
      <w:r>
        <w:rPr>
          <w:rFonts w:hint="eastAsia"/>
          <w:lang w:val="en-US" w:eastAsia="zh-CN"/>
        </w:rPr>
        <w:t>1.前景和范围文档</w:t>
      </w:r>
    </w:p>
    <w:p>
      <w:pPr>
        <w:pStyle w:val="3"/>
        <w:bidi w:val="0"/>
        <w:rPr>
          <w:rFonts w:hint="eastAsia"/>
          <w:lang w:val="en-US" w:eastAsia="zh-CN"/>
        </w:rPr>
      </w:pPr>
      <w:r>
        <w:rPr>
          <w:rFonts w:hint="eastAsia"/>
          <w:lang w:val="en-US" w:eastAsia="zh-CN"/>
        </w:rPr>
        <w:t>1.1业务需求</w:t>
      </w:r>
    </w:p>
    <w:p>
      <w:pPr>
        <w:pStyle w:val="4"/>
        <w:bidi w:val="0"/>
        <w:rPr>
          <w:rFonts w:hint="eastAsia"/>
          <w:lang w:val="en-US" w:eastAsia="zh-CN"/>
        </w:rPr>
      </w:pPr>
      <w:r>
        <w:rPr>
          <w:rFonts w:hint="eastAsia"/>
          <w:lang w:val="en-US" w:eastAsia="zh-CN"/>
        </w:rPr>
        <w:t>1.1.1背景、业务和客户需求</w:t>
      </w:r>
    </w:p>
    <w:p>
      <w:pPr>
        <w:pStyle w:val="4"/>
        <w:bidi w:val="0"/>
        <w:rPr>
          <w:rFonts w:hint="eastAsia"/>
          <w:lang w:val="en-US" w:eastAsia="zh-CN"/>
        </w:rPr>
      </w:pPr>
      <w:r>
        <w:rPr>
          <w:rFonts w:hint="eastAsia"/>
          <w:lang w:val="en-US" w:eastAsia="zh-CN"/>
        </w:rPr>
        <w:t>1.1.2业务目标（BO）与风险(RI)</w:t>
      </w:r>
    </w:p>
    <w:p>
      <w:pPr>
        <w:pStyle w:val="3"/>
        <w:bidi w:val="0"/>
        <w:rPr>
          <w:rFonts w:hint="eastAsia"/>
          <w:lang w:val="en-US" w:eastAsia="zh-CN"/>
        </w:rPr>
      </w:pPr>
      <w:r>
        <w:rPr>
          <w:rFonts w:hint="eastAsia"/>
          <w:lang w:val="en-US" w:eastAsia="zh-CN"/>
        </w:rPr>
        <w:t>1.2范围与限制</w:t>
      </w:r>
    </w:p>
    <w:p>
      <w:pPr>
        <w:pStyle w:val="4"/>
        <w:bidi w:val="0"/>
        <w:rPr>
          <w:rFonts w:hint="eastAsia"/>
          <w:b/>
          <w:lang w:val="en-US" w:eastAsia="zh-CN"/>
        </w:rPr>
      </w:pPr>
      <w:r>
        <w:rPr>
          <w:rFonts w:hint="eastAsia"/>
          <w:b/>
          <w:lang w:val="en-US" w:eastAsia="zh-CN"/>
        </w:rPr>
        <w:t>1.2.1版本范围</w:t>
      </w:r>
    </w:p>
    <w:p>
      <w:pPr>
        <w:pStyle w:val="4"/>
        <w:bidi w:val="0"/>
        <w:rPr>
          <w:rFonts w:hint="eastAsia"/>
          <w:lang w:val="en-US" w:eastAsia="zh-CN"/>
        </w:rPr>
      </w:pPr>
      <w:r>
        <w:rPr>
          <w:rFonts w:hint="eastAsia"/>
          <w:lang w:val="en-US" w:eastAsia="zh-CN"/>
        </w:rPr>
        <w:t>1.2.2局限性</w:t>
      </w:r>
    </w:p>
    <w:p>
      <w:pPr>
        <w:pStyle w:val="4"/>
        <w:bidi w:val="0"/>
        <w:rPr>
          <w:rFonts w:hint="eastAsia"/>
          <w:b/>
          <w:lang w:val="en-US" w:eastAsia="zh-CN"/>
        </w:rPr>
      </w:pPr>
      <w:r>
        <w:rPr>
          <w:rFonts w:hint="eastAsia"/>
          <w:b/>
          <w:lang w:val="en-US" w:eastAsia="zh-CN"/>
        </w:rPr>
        <w:t>1.2.3假设与依赖</w:t>
      </w:r>
    </w:p>
    <w:p>
      <w:pPr>
        <w:pStyle w:val="2"/>
        <w:numPr>
          <w:ilvl w:val="0"/>
          <w:numId w:val="1"/>
        </w:numPr>
        <w:bidi w:val="0"/>
        <w:rPr>
          <w:rFonts w:hint="eastAsia"/>
          <w:b/>
          <w:lang w:val="en-US" w:eastAsia="zh-CN"/>
        </w:rPr>
      </w:pPr>
      <w:r>
        <w:rPr>
          <w:rFonts w:hint="eastAsia"/>
          <w:b/>
          <w:lang w:val="en-US" w:eastAsia="zh-CN"/>
        </w:rPr>
        <w:t>数据字段和通用性说明</w:t>
      </w:r>
    </w:p>
    <w:p>
      <w:pPr>
        <w:pStyle w:val="3"/>
        <w:bidi w:val="0"/>
        <w:rPr>
          <w:rFonts w:hint="default" w:ascii="Arial" w:hAnsi="Arial"/>
          <w:b/>
          <w:lang w:val="en-US" w:eastAsia="zh-CN"/>
        </w:rPr>
      </w:pPr>
      <w:r>
        <w:rPr>
          <w:rFonts w:hint="eastAsia" w:ascii="Arial" w:hAnsi="Arial"/>
          <w:b/>
          <w:lang w:val="en-US" w:eastAsia="zh-CN"/>
        </w:rPr>
        <w:t>2.1术语</w:t>
      </w:r>
    </w:p>
    <w:p>
      <w:pPr>
        <w:pStyle w:val="3"/>
        <w:bidi w:val="0"/>
        <w:rPr>
          <w:rFonts w:hint="eastAsia" w:ascii="Arial" w:hAnsi="Arial"/>
          <w:b/>
          <w:lang w:val="en-US" w:eastAsia="zh-CN"/>
        </w:rPr>
      </w:pPr>
      <w:r>
        <w:rPr>
          <w:rFonts w:hint="eastAsia" w:ascii="Arial" w:hAnsi="Arial"/>
          <w:b/>
          <w:lang w:val="en-US" w:eastAsia="zh-CN"/>
        </w:rPr>
        <w:t>2.2字段表</w:t>
      </w:r>
    </w:p>
    <w:p>
      <w:pPr>
        <w:pStyle w:val="3"/>
        <w:bidi w:val="0"/>
        <w:rPr>
          <w:rFonts w:hint="eastAsia" w:ascii="Arial" w:hAnsi="Arial"/>
          <w:b/>
          <w:lang w:val="en-US" w:eastAsia="zh-CN"/>
        </w:rPr>
      </w:pPr>
      <w:r>
        <w:rPr>
          <w:rFonts w:hint="eastAsia" w:ascii="Arial" w:hAnsi="Arial"/>
          <w:b/>
          <w:lang w:val="en-US" w:eastAsia="zh-CN"/>
        </w:rPr>
        <w:t>2.3主要迭代内容</w:t>
      </w:r>
    </w:p>
    <w:p>
      <w:pPr>
        <w:rPr>
          <w:rFonts w:hint="eastAsia" w:ascii="Arial" w:hAnsi="Arial"/>
          <w:b/>
          <w:lang w:val="en-US" w:eastAsia="zh-CN"/>
        </w:rPr>
      </w:pPr>
    </w:p>
    <w:p>
      <w:pPr>
        <w:rPr>
          <w:rFonts w:hint="eastAsia" w:ascii="Arial" w:hAnsi="Arial"/>
          <w:b/>
          <w:lang w:val="en-US" w:eastAsia="zh-CN"/>
        </w:rPr>
      </w:pPr>
    </w:p>
    <w:p>
      <w:pPr>
        <w:rPr>
          <w:rFonts w:hint="eastAsia" w:ascii="Arial" w:hAnsi="Arial"/>
          <w:b/>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6572"/>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tcPr>
          <w:p>
            <w:pPr>
              <w:rPr>
                <w:rFonts w:hint="default"/>
                <w:vertAlign w:val="baseline"/>
                <w:lang w:val="en-US" w:eastAsia="zh-CN"/>
              </w:rPr>
            </w:pPr>
            <w:r>
              <w:rPr>
                <w:rFonts w:hint="eastAsia"/>
                <w:vertAlign w:val="baseline"/>
                <w:lang w:val="en-US" w:eastAsia="zh-CN"/>
              </w:rPr>
              <w:t>模块</w:t>
            </w:r>
          </w:p>
        </w:tc>
        <w:tc>
          <w:tcPr>
            <w:tcW w:w="6572" w:type="dxa"/>
          </w:tcPr>
          <w:p>
            <w:pPr>
              <w:rPr>
                <w:rFonts w:hint="default"/>
                <w:vertAlign w:val="baseline"/>
                <w:lang w:val="en-US" w:eastAsia="zh-CN"/>
              </w:rPr>
            </w:pPr>
            <w:r>
              <w:rPr>
                <w:rFonts w:hint="eastAsia"/>
                <w:vertAlign w:val="baseline"/>
                <w:lang w:val="en-US" w:eastAsia="zh-CN"/>
              </w:rPr>
              <w:t>主要迭代功能</w:t>
            </w:r>
          </w:p>
        </w:tc>
        <w:tc>
          <w:tcPr>
            <w:tcW w:w="1280" w:type="dxa"/>
          </w:tcPr>
          <w:p>
            <w:pPr>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vMerge w:val="restart"/>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货物申报</w:t>
            </w:r>
          </w:p>
        </w:tc>
        <w:tc>
          <w:tcPr>
            <w:tcW w:w="6572" w:type="dxa"/>
          </w:tcPr>
          <w:p>
            <w:pPr>
              <w:rPr>
                <w:rFonts w:hint="default"/>
                <w:vertAlign w:val="baseline"/>
                <w:lang w:val="en-US" w:eastAsia="zh-CN"/>
              </w:rPr>
            </w:pPr>
            <w:r>
              <w:rPr>
                <w:rFonts w:hint="eastAsia"/>
                <w:vertAlign w:val="baseline"/>
                <w:lang w:val="en-US" w:eastAsia="zh-CN"/>
              </w:rPr>
              <w:t>1、整体上梳理了带客户管理数据的字段，具体见5.1 业务规则说明</w:t>
            </w:r>
          </w:p>
        </w:tc>
        <w:tc>
          <w:tcPr>
            <w:tcW w:w="1280" w:type="dxa"/>
          </w:tcPr>
          <w:p>
            <w:pPr>
              <w:rPr>
                <w:rFonts w:hint="default"/>
                <w:vertAlign w:val="baseline"/>
                <w:lang w:val="en-US" w:eastAsia="zh-CN"/>
              </w:rPr>
            </w:pPr>
            <w:r>
              <w:rPr>
                <w:rFonts w:hint="eastAsia"/>
                <w:vertAlign w:val="baseline"/>
                <w:lang w:val="en-US" w:eastAsia="zh-CN"/>
              </w:rPr>
              <w:t>2019-12-20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vMerge w:val="continue"/>
          </w:tcPr>
          <w:p>
            <w:pPr>
              <w:rPr>
                <w:rFonts w:hint="default"/>
                <w:vertAlign w:val="baseline"/>
                <w:lang w:val="en-US" w:eastAsia="zh-CN"/>
              </w:rPr>
            </w:pPr>
          </w:p>
        </w:tc>
        <w:tc>
          <w:tcPr>
            <w:tcW w:w="6572" w:type="dxa"/>
          </w:tcPr>
          <w:p>
            <w:pPr>
              <w:rPr>
                <w:rFonts w:hint="default"/>
                <w:vertAlign w:val="baseline"/>
                <w:lang w:val="en-US" w:eastAsia="zh-CN"/>
              </w:rPr>
            </w:pPr>
            <w:r>
              <w:rPr>
                <w:rFonts w:hint="eastAsia"/>
                <w:vertAlign w:val="baseline"/>
                <w:lang w:val="en-US" w:eastAsia="zh-CN"/>
              </w:rPr>
              <w:t>2、为了1，在客户管理增加了对应字段，具体见4.1 功能性需求说明</w:t>
            </w:r>
          </w:p>
        </w:tc>
        <w:tc>
          <w:tcPr>
            <w:tcW w:w="1280" w:type="dxa"/>
          </w:tcPr>
          <w:p>
            <w:pPr>
              <w:rPr>
                <w:rFonts w:hint="eastAsia"/>
                <w:vertAlign w:val="baseline"/>
                <w:lang w:val="en-US" w:eastAsia="zh-CN"/>
              </w:rPr>
            </w:pPr>
            <w:r>
              <w:rPr>
                <w:rFonts w:hint="eastAsia"/>
                <w:vertAlign w:val="baseline"/>
                <w:lang w:val="en-US" w:eastAsia="zh-CN"/>
              </w:rPr>
              <w:t>2019-12-20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vMerge w:val="continue"/>
          </w:tcPr>
          <w:p>
            <w:pPr>
              <w:rPr>
                <w:rFonts w:hint="eastAsia"/>
                <w:vertAlign w:val="baseline"/>
                <w:lang w:val="en-US" w:eastAsia="zh-CN"/>
              </w:rPr>
            </w:pPr>
          </w:p>
        </w:tc>
        <w:tc>
          <w:tcPr>
            <w:tcW w:w="6572" w:type="dxa"/>
          </w:tcPr>
          <w:p>
            <w:pPr>
              <w:rPr>
                <w:rFonts w:hint="default"/>
                <w:vertAlign w:val="baseline"/>
                <w:lang w:val="en-US" w:eastAsia="zh-CN"/>
              </w:rPr>
            </w:pPr>
            <w:r>
              <w:rPr>
                <w:rFonts w:hint="eastAsia"/>
                <w:vertAlign w:val="baseline"/>
                <w:lang w:val="en-US" w:eastAsia="zh-CN"/>
              </w:rPr>
              <w:t>3、整体上梳理了表体“同步”功能的字段，具体见4.1 功能性需求说明</w:t>
            </w:r>
          </w:p>
        </w:tc>
        <w:tc>
          <w:tcPr>
            <w:tcW w:w="1280" w:type="dxa"/>
          </w:tcPr>
          <w:p>
            <w:pPr>
              <w:rPr>
                <w:rFonts w:hint="eastAsia"/>
                <w:vertAlign w:val="baseline"/>
                <w:lang w:val="en-US" w:eastAsia="zh-CN"/>
              </w:rPr>
            </w:pPr>
            <w:r>
              <w:rPr>
                <w:rFonts w:hint="eastAsia"/>
                <w:vertAlign w:val="baseline"/>
                <w:lang w:val="en-US" w:eastAsia="zh-CN"/>
              </w:rPr>
              <w:t>2019-12-20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tcPr>
          <w:p>
            <w:pPr>
              <w:rPr>
                <w:rFonts w:hint="default"/>
                <w:vertAlign w:val="baseline"/>
                <w:lang w:val="en-US" w:eastAsia="zh-CN"/>
              </w:rPr>
            </w:pPr>
            <w:r>
              <w:rPr>
                <w:rFonts w:hint="eastAsia"/>
                <w:vertAlign w:val="baseline"/>
                <w:lang w:val="en-US" w:eastAsia="zh-CN"/>
              </w:rPr>
              <w:t>核注清单</w:t>
            </w:r>
          </w:p>
        </w:tc>
        <w:tc>
          <w:tcPr>
            <w:tcW w:w="6572" w:type="dxa"/>
          </w:tcPr>
          <w:p>
            <w:pPr>
              <w:rPr>
                <w:rFonts w:hint="default"/>
                <w:vertAlign w:val="baseline"/>
                <w:lang w:val="en-US" w:eastAsia="zh-CN"/>
              </w:rPr>
            </w:pPr>
            <w:r>
              <w:rPr>
                <w:rFonts w:hint="eastAsia"/>
                <w:vertAlign w:val="baseline"/>
                <w:lang w:val="en-US" w:eastAsia="zh-CN"/>
              </w:rPr>
              <w:t>1、整体上梳理了表体“同步”功能的字段，具体见4.1 功能性需求说明</w:t>
            </w:r>
          </w:p>
        </w:tc>
        <w:tc>
          <w:tcPr>
            <w:tcW w:w="1280" w:type="dxa"/>
          </w:tcPr>
          <w:p>
            <w:pPr>
              <w:rPr>
                <w:rFonts w:hint="eastAsia"/>
                <w:vertAlign w:val="baseline"/>
                <w:lang w:val="en-US" w:eastAsia="zh-CN"/>
              </w:rPr>
            </w:pPr>
            <w:r>
              <w:rPr>
                <w:rFonts w:hint="eastAsia"/>
                <w:vertAlign w:val="baseline"/>
                <w:lang w:val="en-US" w:eastAsia="zh-CN"/>
              </w:rPr>
              <w:t>2019-12-20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tcPr>
          <w:p>
            <w:pPr>
              <w:rPr>
                <w:rFonts w:hint="default"/>
                <w:vertAlign w:val="baseline"/>
                <w:lang w:val="en-US" w:eastAsia="zh-CN"/>
              </w:rPr>
            </w:pPr>
            <w:r>
              <w:rPr>
                <w:rFonts w:hint="eastAsia"/>
                <w:vertAlign w:val="baseline"/>
                <w:lang w:val="en-US" w:eastAsia="zh-CN"/>
              </w:rPr>
              <w:t>货物申报表体组装</w:t>
            </w:r>
          </w:p>
        </w:tc>
        <w:tc>
          <w:tcPr>
            <w:tcW w:w="6572" w:type="dxa"/>
          </w:tcPr>
          <w:p>
            <w:pPr>
              <w:rPr>
                <w:rFonts w:hint="default"/>
                <w:vertAlign w:val="baseline"/>
                <w:lang w:val="en-US" w:eastAsia="zh-CN"/>
              </w:rPr>
            </w:pPr>
            <w:r>
              <w:rPr>
                <w:rFonts w:hint="eastAsia"/>
                <w:vertAlign w:val="baseline"/>
                <w:lang w:val="en-US" w:eastAsia="zh-CN"/>
              </w:rPr>
              <w:t>1、主要梳理了商品名称、商品编码、成交单位、数量、重量、申报要素的替换逻辑</w:t>
            </w:r>
          </w:p>
        </w:tc>
        <w:tc>
          <w:tcPr>
            <w:tcW w:w="1280" w:type="dxa"/>
          </w:tcPr>
          <w:p>
            <w:pPr>
              <w:rPr>
                <w:rFonts w:hint="default"/>
                <w:vertAlign w:val="baseline"/>
                <w:lang w:val="en-US" w:eastAsia="zh-CN"/>
              </w:rPr>
            </w:pPr>
            <w:r>
              <w:rPr>
                <w:rFonts w:hint="eastAsia"/>
                <w:vertAlign w:val="baseline"/>
                <w:lang w:val="en-US" w:eastAsia="zh-CN"/>
              </w:rPr>
              <w:t>2019-12-24</w:t>
            </w:r>
          </w:p>
        </w:tc>
      </w:tr>
    </w:tbl>
    <w:p>
      <w:pPr>
        <w:rPr>
          <w:rFonts w:hint="default"/>
          <w:lang w:val="en-US" w:eastAsia="zh-CN"/>
        </w:rPr>
      </w:pPr>
    </w:p>
    <w:p>
      <w:pPr>
        <w:pStyle w:val="2"/>
        <w:numPr>
          <w:ilvl w:val="0"/>
          <w:numId w:val="0"/>
        </w:numPr>
        <w:bidi w:val="0"/>
        <w:rPr>
          <w:rFonts w:hint="default"/>
          <w:b/>
          <w:lang w:val="en-US" w:eastAsia="zh-CN"/>
        </w:rPr>
      </w:pPr>
      <w:r>
        <w:rPr>
          <w:rFonts w:hint="eastAsia"/>
          <w:b/>
          <w:lang w:val="en-US" w:eastAsia="zh-CN"/>
        </w:rPr>
        <w:t>3.用例</w:t>
      </w:r>
    </w:p>
    <w:p>
      <w:pPr>
        <w:pStyle w:val="3"/>
        <w:bidi w:val="0"/>
        <w:rPr>
          <w:rFonts w:hint="eastAsia" w:ascii="Arial" w:hAnsi="Arial"/>
          <w:b/>
          <w:lang w:val="en-US" w:eastAsia="zh-CN"/>
        </w:rPr>
      </w:pPr>
      <w:r>
        <w:rPr>
          <w:rFonts w:hint="eastAsia" w:ascii="Arial" w:hAnsi="Arial"/>
          <w:b/>
          <w:lang w:val="en-US" w:eastAsia="zh-CN"/>
        </w:rPr>
        <w:t>3.1主要参与者和用例</w:t>
      </w:r>
    </w:p>
    <w:p>
      <w:pPr>
        <w:pStyle w:val="3"/>
        <w:bidi w:val="0"/>
        <w:rPr>
          <w:rFonts w:hint="eastAsia" w:ascii="Arial" w:hAnsi="Arial"/>
          <w:b/>
          <w:lang w:val="en-US" w:eastAsia="zh-CN"/>
        </w:rPr>
      </w:pPr>
      <w:r>
        <w:rPr>
          <w:rFonts w:hint="eastAsia" w:ascii="Arial" w:hAnsi="Arial"/>
          <w:b/>
          <w:lang w:val="en-US" w:eastAsia="zh-CN"/>
        </w:rPr>
        <w:t>3.2用例描述</w:t>
      </w:r>
    </w:p>
    <w:p>
      <w:pPr>
        <w:pStyle w:val="2"/>
        <w:numPr>
          <w:ilvl w:val="0"/>
          <w:numId w:val="0"/>
        </w:numPr>
        <w:bidi w:val="0"/>
        <w:ind w:leftChars="0"/>
        <w:rPr>
          <w:rFonts w:hint="eastAsia"/>
          <w:b/>
          <w:lang w:val="en-US" w:eastAsia="zh-CN"/>
        </w:rPr>
      </w:pPr>
      <w:r>
        <w:rPr>
          <w:rFonts w:hint="eastAsia"/>
          <w:b/>
          <w:lang w:val="en-US" w:eastAsia="zh-CN"/>
        </w:rPr>
        <w:t>4.软件需求规格说明书</w:t>
      </w:r>
    </w:p>
    <w:p>
      <w:pPr>
        <w:pStyle w:val="3"/>
        <w:bidi w:val="0"/>
        <w:rPr>
          <w:rFonts w:hint="eastAsia" w:ascii="Arial" w:hAnsi="Arial"/>
          <w:b/>
          <w:lang w:val="en-US" w:eastAsia="zh-CN"/>
        </w:rPr>
      </w:pPr>
      <w:r>
        <w:rPr>
          <w:rFonts w:hint="eastAsia" w:ascii="Arial" w:hAnsi="Arial"/>
          <w:b/>
          <w:lang w:val="en-US" w:eastAsia="zh-CN"/>
        </w:rPr>
        <w:t>4.1功能性需求</w:t>
      </w:r>
    </w:p>
    <w:p>
      <w:pPr>
        <w:pStyle w:val="4"/>
        <w:bidi w:val="0"/>
        <w:rPr>
          <w:rFonts w:hint="eastAsia"/>
          <w:lang w:val="en-US" w:eastAsia="zh-CN"/>
        </w:rPr>
      </w:pPr>
      <w:bookmarkStart w:id="1" w:name="OLE_LINK1"/>
      <w:r>
        <w:rPr>
          <w:rFonts w:hint="eastAsia"/>
          <w:lang w:val="en-US" w:eastAsia="zh-CN"/>
        </w:rPr>
        <w:t>4.1.1客户管理增加字段</w:t>
      </w:r>
    </w:p>
    <w:bookmarkEnd w:id="1"/>
    <w:p>
      <w:pPr>
        <w:rPr>
          <w:rFonts w:hint="eastAsia"/>
          <w:lang w:val="en-US" w:eastAsia="zh-CN"/>
        </w:rPr>
      </w:pPr>
      <w:r>
        <w:rPr>
          <w:rFonts w:hint="eastAsia"/>
          <w:lang w:val="en-US" w:eastAsia="zh-CN"/>
        </w:rPr>
        <w:t>在客户管理-旗下客户增加两个字段：报关转关类型、包装种类（其他包装）。</w:t>
      </w:r>
    </w:p>
    <w:p>
      <w:pPr>
        <w:jc w:val="center"/>
      </w:pPr>
      <w:r>
        <w:drawing>
          <wp:inline distT="0" distB="0" distL="114300" distR="114300">
            <wp:extent cx="2026285" cy="168592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26285" cy="1685925"/>
                    </a:xfrm>
                    <a:prstGeom prst="rect">
                      <a:avLst/>
                    </a:prstGeom>
                    <a:noFill/>
                    <a:ln>
                      <a:noFill/>
                    </a:ln>
                  </pic:spPr>
                </pic:pic>
              </a:graphicData>
            </a:graphic>
          </wp:inline>
        </w:drawing>
      </w:r>
    </w:p>
    <w:p>
      <w:pPr>
        <w:jc w:val="center"/>
      </w:pPr>
    </w:p>
    <w:p>
      <w:pPr>
        <w:pStyle w:val="4"/>
        <w:bidi w:val="0"/>
        <w:rPr>
          <w:rFonts w:hint="default"/>
          <w:lang w:val="en-US" w:eastAsia="zh-CN"/>
        </w:rPr>
      </w:pPr>
      <w:r>
        <w:rPr>
          <w:rFonts w:hint="eastAsia"/>
          <w:lang w:val="en-US" w:eastAsia="zh-CN"/>
        </w:rPr>
        <w:t>4.1.2货物申报、核注清单表体同步功能</w:t>
      </w:r>
    </w:p>
    <w:p>
      <w:pPr>
        <w:rPr>
          <w:rFonts w:hint="eastAsia"/>
          <w:lang w:val="en-US" w:eastAsia="zh-CN"/>
        </w:rPr>
      </w:pPr>
      <w:r>
        <w:drawing>
          <wp:inline distT="0" distB="0" distL="114300" distR="114300">
            <wp:extent cx="5271135" cy="23876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38760"/>
                    </a:xfrm>
                    <a:prstGeom prst="rect">
                      <a:avLst/>
                    </a:prstGeom>
                    <a:noFill/>
                    <a:ln>
                      <a:noFill/>
                    </a:ln>
                  </pic:spPr>
                </pic:pic>
              </a:graphicData>
            </a:graphic>
          </wp:inline>
        </w:drawing>
      </w:r>
    </w:p>
    <w:p>
      <w:pPr>
        <w:numPr>
          <w:ilvl w:val="0"/>
          <w:numId w:val="2"/>
        </w:numPr>
        <w:jc w:val="both"/>
        <w:rPr>
          <w:rFonts w:hint="eastAsia"/>
          <w:lang w:val="en-US" w:eastAsia="zh-CN"/>
        </w:rPr>
      </w:pPr>
      <w:r>
        <w:rPr>
          <w:rFonts w:hint="eastAsia"/>
          <w:lang w:val="en-US" w:eastAsia="zh-CN"/>
        </w:rPr>
        <w:t>双击商品列，激活按钮；</w:t>
      </w:r>
    </w:p>
    <w:p>
      <w:pPr>
        <w:numPr>
          <w:ilvl w:val="0"/>
          <w:numId w:val="0"/>
        </w:numPr>
        <w:jc w:val="both"/>
      </w:pPr>
      <w:r>
        <w:drawing>
          <wp:inline distT="0" distB="0" distL="114300" distR="114300">
            <wp:extent cx="3931285" cy="162369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31285" cy="1623695"/>
                    </a:xfrm>
                    <a:prstGeom prst="rect">
                      <a:avLst/>
                    </a:prstGeom>
                    <a:noFill/>
                    <a:ln>
                      <a:noFill/>
                    </a:ln>
                  </pic:spPr>
                </pic:pic>
              </a:graphicData>
            </a:graphic>
          </wp:inline>
        </w:drawing>
      </w:r>
    </w:p>
    <w:p>
      <w:pPr>
        <w:numPr>
          <w:ilvl w:val="0"/>
          <w:numId w:val="2"/>
        </w:numPr>
        <w:ind w:left="0" w:leftChars="0" w:firstLine="0" w:firstLineChars="0"/>
        <w:jc w:val="both"/>
        <w:rPr>
          <w:rFonts w:hint="eastAsia"/>
          <w:lang w:val="en-US" w:eastAsia="zh-CN"/>
        </w:rPr>
      </w:pPr>
      <w:r>
        <w:rPr>
          <w:rFonts w:hint="eastAsia"/>
          <w:lang w:val="en-US" w:eastAsia="zh-CN"/>
        </w:rPr>
        <w:t>点击同步，弹出同步弹框；</w:t>
      </w:r>
    </w:p>
    <w:p>
      <w:pPr>
        <w:numPr>
          <w:ilvl w:val="0"/>
          <w:numId w:val="0"/>
        </w:numPr>
        <w:ind w:leftChars="0"/>
        <w:jc w:val="both"/>
      </w:pPr>
      <w:r>
        <w:drawing>
          <wp:inline distT="0" distB="0" distL="114300" distR="114300">
            <wp:extent cx="5262880" cy="99695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2880" cy="996950"/>
                    </a:xfrm>
                    <a:prstGeom prst="rect">
                      <a:avLst/>
                    </a:prstGeom>
                    <a:noFill/>
                    <a:ln>
                      <a:noFill/>
                    </a:ln>
                  </pic:spPr>
                </pic:pic>
              </a:graphicData>
            </a:graphic>
          </wp:inline>
        </w:drawing>
      </w:r>
    </w:p>
    <w:p>
      <w:pPr>
        <w:numPr>
          <w:ilvl w:val="0"/>
          <w:numId w:val="2"/>
        </w:numPr>
        <w:ind w:left="0" w:leftChars="0" w:firstLine="0" w:firstLineChars="0"/>
        <w:jc w:val="both"/>
        <w:rPr>
          <w:rFonts w:hint="eastAsia"/>
          <w:lang w:val="en-US" w:eastAsia="zh-CN"/>
        </w:rPr>
      </w:pPr>
      <w:r>
        <w:rPr>
          <w:rFonts w:hint="eastAsia"/>
          <w:lang w:val="en-US" w:eastAsia="zh-CN"/>
        </w:rPr>
        <w:t>修改里面的字段值，商品列对应的字段全部更改。</w:t>
      </w:r>
    </w:p>
    <w:p>
      <w:pPr>
        <w:numPr>
          <w:ilvl w:val="0"/>
          <w:numId w:val="0"/>
        </w:numPr>
        <w:ind w:leftChars="0"/>
        <w:jc w:val="both"/>
        <w:rPr>
          <w:rFonts w:hint="default"/>
          <w:lang w:val="en-US" w:eastAsia="zh-CN"/>
        </w:rPr>
      </w:pPr>
      <w:r>
        <w:rPr>
          <w:rFonts w:hint="eastAsia"/>
          <w:lang w:val="en-US" w:eastAsia="zh-CN"/>
        </w:rPr>
        <w:t>核注清单同理，具体同步字段，见Excel表</w:t>
      </w:r>
      <w:r>
        <w:rPr>
          <w:rFonts w:hint="eastAsia"/>
          <w:b w:val="0"/>
          <w:bCs/>
          <w:lang w:val="en-US" w:eastAsia="zh-CN"/>
        </w:rPr>
        <w:t>robot迭代需求文档</w:t>
      </w:r>
    </w:p>
    <w:p>
      <w:pPr>
        <w:pStyle w:val="2"/>
        <w:numPr>
          <w:ilvl w:val="0"/>
          <w:numId w:val="3"/>
        </w:numPr>
        <w:bidi w:val="0"/>
        <w:ind w:leftChars="0"/>
        <w:rPr>
          <w:rFonts w:hint="eastAsia"/>
          <w:b/>
          <w:lang w:val="en-US" w:eastAsia="zh-CN"/>
        </w:rPr>
      </w:pPr>
      <w:r>
        <w:rPr>
          <w:rFonts w:hint="eastAsia"/>
          <w:b/>
          <w:lang w:val="en-US" w:eastAsia="zh-CN"/>
        </w:rPr>
        <w:t>业务规则说明</w:t>
      </w:r>
    </w:p>
    <w:p>
      <w:pPr>
        <w:pStyle w:val="3"/>
        <w:bidi w:val="0"/>
        <w:rPr>
          <w:rFonts w:hint="eastAsia"/>
          <w:b/>
          <w:lang w:val="en-US" w:eastAsia="zh-CN"/>
        </w:rPr>
      </w:pPr>
      <w:r>
        <w:rPr>
          <w:rFonts w:hint="eastAsia" w:ascii="Arial" w:hAnsi="Arial"/>
          <w:b/>
          <w:lang w:val="en-US" w:eastAsia="zh-CN"/>
        </w:rPr>
        <w:t>5.1</w:t>
      </w:r>
      <w:r>
        <w:rPr>
          <w:rFonts w:hint="eastAsia"/>
          <w:b/>
          <w:lang w:val="en-US" w:eastAsia="zh-CN"/>
        </w:rPr>
        <w:t>货物申报迭代模块</w:t>
      </w:r>
    </w:p>
    <w:p>
      <w:pPr>
        <w:ind w:firstLine="420" w:firstLineChars="200"/>
        <w:rPr>
          <w:rFonts w:hint="eastAsia"/>
          <w:b w:val="0"/>
          <w:bCs/>
          <w:lang w:val="en-US" w:eastAsia="zh-CN"/>
        </w:rPr>
      </w:pPr>
      <w:r>
        <w:rPr>
          <w:rFonts w:hint="eastAsia"/>
          <w:b w:val="0"/>
          <w:bCs/>
          <w:lang w:val="en-US" w:eastAsia="zh-CN"/>
        </w:rPr>
        <w:t>货物申报带客户管理字段的整体说明：见Excel表：robot迭代需求文档-货物申报带客户管理历史数据。</w:t>
      </w:r>
    </w:p>
    <w:p>
      <w:pPr>
        <w:pStyle w:val="3"/>
        <w:bidi w:val="0"/>
        <w:rPr>
          <w:rFonts w:hint="eastAsia" w:ascii="Arial" w:hAnsi="Arial"/>
          <w:b/>
          <w:lang w:val="en-US" w:eastAsia="zh-CN"/>
        </w:rPr>
      </w:pPr>
      <w:r>
        <w:rPr>
          <w:rFonts w:hint="eastAsia" w:ascii="Arial" w:hAnsi="Arial"/>
          <w:b/>
          <w:lang w:val="en-US" w:eastAsia="zh-CN"/>
        </w:rPr>
        <w:t>5.2 货物申报表体字段组装</w:t>
      </w:r>
    </w:p>
    <w:p>
      <w:pPr>
        <w:rPr>
          <w:rFonts w:hint="default"/>
          <w:lang w:val="en-US" w:eastAsia="zh-CN"/>
        </w:rPr>
      </w:pPr>
      <w:r>
        <w:rPr>
          <w:rFonts w:hint="eastAsia"/>
          <w:lang w:val="en-US" w:eastAsia="zh-CN"/>
        </w:rPr>
        <w:t>理想情况。识别的商品名称与商品编码与客户管理一致，非草单，p/name等关联字段成功读出来，下面没有特别说明，均指P/NAME读出来了，具体见禅道需求109。</w:t>
      </w:r>
    </w:p>
    <w:p>
      <w:pPr>
        <w:rPr>
          <w:rFonts w:hint="eastAsia"/>
          <w:lang w:val="en-US" w:eastAsia="zh-CN"/>
        </w:rPr>
      </w:pPr>
      <w:r>
        <w:rPr>
          <w:rFonts w:hint="eastAsia"/>
          <w:b w:val="0"/>
          <w:bCs/>
          <w:lang w:val="en-US" w:eastAsia="zh-CN"/>
        </w:rPr>
        <w:t>备注：法定单位和第二单位由商品编码确定</w:t>
      </w:r>
    </w:p>
    <w:p>
      <w:pPr>
        <w:rPr>
          <w:rFonts w:hint="default"/>
          <w:lang w:val="en-US" w:eastAsia="zh-CN"/>
        </w:rPr>
      </w:pPr>
      <w:r>
        <w:rPr>
          <w:rFonts w:hint="default"/>
          <w:lang w:val="en-US" w:eastAsia="zh-CN"/>
        </w:rPr>
        <w:object>
          <v:shape id="_x0000_i1025" o:spt="75" type="#_x0000_t75" style="height:178.3pt;width:415.1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rPr>
          <w:rFonts w:hint="eastAsia"/>
          <w:lang w:val="en-US" w:eastAsia="zh-CN"/>
        </w:rPr>
      </w:pPr>
      <w:r>
        <w:rPr>
          <w:rFonts w:hint="eastAsia"/>
          <w:lang w:val="en-US" w:eastAsia="zh-CN"/>
        </w:rPr>
        <w:t>上图的含义指：</w:t>
      </w:r>
    </w:p>
    <w:p>
      <w:pPr>
        <w:rPr>
          <w:rFonts w:hint="eastAsia"/>
          <w:lang w:val="en-US" w:eastAsia="zh-CN"/>
        </w:rPr>
      </w:pPr>
      <w:r>
        <w:rPr>
          <w:rFonts w:hint="eastAsia"/>
          <w:lang w:val="en-US" w:eastAsia="zh-CN"/>
        </w:rPr>
        <w:t>前置条件：</w:t>
      </w:r>
    </w:p>
    <w:p>
      <w:pPr>
        <w:rPr>
          <w:rFonts w:hint="default"/>
          <w:lang w:val="en-US" w:eastAsia="zh-CN"/>
        </w:rPr>
      </w:pPr>
      <w:r>
        <w:rPr>
          <w:rFonts w:hint="eastAsia"/>
          <w:lang w:val="en-US" w:eastAsia="zh-CN"/>
        </w:rPr>
        <w:t>识别出来的数据：商品名称、商品编码（法定单位或者第二单位）、成交单位、数量、重量、申报要素第A项识别出来。</w:t>
      </w:r>
    </w:p>
    <w:p>
      <w:pPr>
        <w:rPr>
          <w:rFonts w:hint="eastAsia"/>
          <w:lang w:val="en-US" w:eastAsia="zh-CN"/>
        </w:rPr>
      </w:pPr>
      <w:r>
        <w:rPr>
          <w:rFonts w:hint="eastAsia"/>
          <w:lang w:val="en-US" w:eastAsia="zh-CN"/>
        </w:rPr>
        <w:t>客户管理数据：商品名称、商品编码（法定单位或者第二单位）、成交单位、规格型号。</w:t>
      </w:r>
    </w:p>
    <w:p>
      <w:pPr>
        <w:rPr>
          <w:rFonts w:hint="default"/>
          <w:lang w:val="en-US" w:eastAsia="zh-CN"/>
        </w:rPr>
      </w:pPr>
      <w:r>
        <w:rPr>
          <w:rFonts w:hint="eastAsia"/>
          <w:lang w:val="en-US" w:eastAsia="zh-CN"/>
        </w:rPr>
        <w:t>结果：识别出来的商品名称、商品编码（法定单位或者第二单位）、成交单位、数量、重量显示出来。根据商品名称+商品编码联立带出规格型号，根据带出的规格型号替换申报要素第几项（替换逻辑P-NAME和p-name-dec配置对应）。显示出来申报要素。</w:t>
      </w:r>
    </w:p>
    <w:p>
      <w:pPr>
        <w:pStyle w:val="5"/>
        <w:numPr>
          <w:ilvl w:val="0"/>
          <w:numId w:val="0"/>
        </w:numPr>
        <w:rPr>
          <w:rFonts w:hint="eastAsia"/>
          <w:lang w:val="en-US" w:eastAsia="zh-CN"/>
        </w:rPr>
      </w:pPr>
      <w:r>
        <w:rPr>
          <w:rFonts w:hint="eastAsia"/>
          <w:lang w:val="en-US" w:eastAsia="zh-CN"/>
        </w:rPr>
        <w:t>第一种情况：</w:t>
      </w:r>
    </w:p>
    <w:p>
      <w:pPr>
        <w:pStyle w:val="5"/>
        <w:numPr>
          <w:ilvl w:val="0"/>
          <w:numId w:val="0"/>
        </w:numPr>
        <w:rPr>
          <w:rFonts w:hint="default"/>
          <w:lang w:val="en-US" w:eastAsia="zh-CN"/>
        </w:rPr>
      </w:pPr>
      <w:r>
        <w:rPr>
          <w:rFonts w:hint="default"/>
          <w:lang w:val="en-US" w:eastAsia="zh-CN"/>
        </w:rPr>
        <w:object>
          <v:shape id="_x0000_i1026" o:spt="75" type="#_x0000_t75" style="height:160.6pt;width:414.85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pStyle w:val="5"/>
        <w:numPr>
          <w:ilvl w:val="0"/>
          <w:numId w:val="0"/>
        </w:numPr>
        <w:rPr>
          <w:rFonts w:hint="eastAsia"/>
          <w:lang w:val="en-US" w:eastAsia="zh-CN"/>
        </w:rPr>
      </w:pPr>
      <w:r>
        <w:rPr>
          <w:rFonts w:hint="eastAsia"/>
          <w:lang w:val="en-US" w:eastAsia="zh-CN"/>
        </w:rPr>
        <w:t>当商品名称没有读出来，根据读出来的商品编码带出历史数据中最新的一条商品名称，此时，转变我理想情况处理模式。</w:t>
      </w:r>
    </w:p>
    <w:p>
      <w:pPr>
        <w:pStyle w:val="5"/>
        <w:numPr>
          <w:ilvl w:val="0"/>
          <w:numId w:val="0"/>
        </w:numPr>
        <w:rPr>
          <w:rFonts w:hint="eastAsia"/>
          <w:lang w:val="en-US" w:eastAsia="zh-CN"/>
        </w:rPr>
      </w:pPr>
      <w:r>
        <w:rPr>
          <w:rFonts w:hint="eastAsia"/>
          <w:lang w:val="en-US" w:eastAsia="zh-CN"/>
        </w:rPr>
        <w:t>第二种情况：</w:t>
      </w:r>
    </w:p>
    <w:p>
      <w:pPr>
        <w:pStyle w:val="5"/>
        <w:numPr>
          <w:ilvl w:val="0"/>
          <w:numId w:val="0"/>
        </w:numPr>
        <w:rPr>
          <w:rFonts w:hint="default"/>
          <w:lang w:val="en-US" w:eastAsia="zh-CN"/>
        </w:rPr>
      </w:pPr>
      <w:r>
        <w:rPr>
          <w:rFonts w:hint="default"/>
          <w:lang w:val="en-US" w:eastAsia="zh-CN"/>
        </w:rPr>
        <w:object>
          <v:shape id="_x0000_i1027" o:spt="75" type="#_x0000_t75" style="height:160.6pt;width:414.8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pStyle w:val="5"/>
        <w:numPr>
          <w:ilvl w:val="0"/>
          <w:numId w:val="0"/>
        </w:numPr>
        <w:rPr>
          <w:rFonts w:hint="eastAsia"/>
          <w:lang w:val="en-US" w:eastAsia="zh-CN"/>
        </w:rPr>
      </w:pPr>
      <w:r>
        <w:rPr>
          <w:rFonts w:hint="eastAsia"/>
          <w:lang w:val="en-US" w:eastAsia="zh-CN"/>
        </w:rPr>
        <w:t>当商品名称没有读出来，根据读出来的商品名称带出历史数据中最新的一条商品编码，此时，转变成理想情况处理模式。</w:t>
      </w:r>
    </w:p>
    <w:p>
      <w:pPr>
        <w:pStyle w:val="5"/>
        <w:numPr>
          <w:ilvl w:val="0"/>
          <w:numId w:val="0"/>
        </w:numPr>
        <w:rPr>
          <w:rFonts w:hint="eastAsia"/>
          <w:lang w:val="en-US" w:eastAsia="zh-CN"/>
        </w:rPr>
      </w:pPr>
      <w:r>
        <w:rPr>
          <w:rFonts w:hint="eastAsia"/>
          <w:lang w:val="en-US" w:eastAsia="zh-CN"/>
        </w:rPr>
        <w:t>第三种情况：</w:t>
      </w:r>
    </w:p>
    <w:p>
      <w:pPr>
        <w:pStyle w:val="5"/>
        <w:numPr>
          <w:ilvl w:val="0"/>
          <w:numId w:val="0"/>
        </w:numPr>
        <w:rPr>
          <w:rFonts w:hint="eastAsia"/>
          <w:lang w:val="en-US" w:eastAsia="zh-CN"/>
        </w:rPr>
      </w:pPr>
      <w:r>
        <w:rPr>
          <w:rFonts w:hint="eastAsia"/>
          <w:lang w:val="en-US" w:eastAsia="zh-CN"/>
        </w:rPr>
        <w:object>
          <v:shape id="_x0000_i1028" o:spt="75" type="#_x0000_t75" style="height:118.7pt;width:414.8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pStyle w:val="5"/>
        <w:numPr>
          <w:ilvl w:val="0"/>
          <w:numId w:val="0"/>
        </w:numPr>
        <w:rPr>
          <w:rFonts w:hint="eastAsia"/>
          <w:lang w:val="en-US" w:eastAsia="zh-CN"/>
        </w:rPr>
      </w:pPr>
      <w:r>
        <w:rPr>
          <w:rFonts w:hint="eastAsia"/>
          <w:lang w:val="en-US" w:eastAsia="zh-CN"/>
        </w:rPr>
        <w:t>当成交单位没有读出来，根据读出来的商品名称和商品编码带出历史数据中最新的一条成交单位，此时，转变成理想情况处理模式。</w:t>
      </w:r>
    </w:p>
    <w:p>
      <w:pPr>
        <w:pStyle w:val="5"/>
        <w:numPr>
          <w:ilvl w:val="0"/>
          <w:numId w:val="0"/>
        </w:numPr>
        <w:rPr>
          <w:rFonts w:hint="default"/>
          <w:lang w:val="en-US" w:eastAsia="zh-CN"/>
        </w:rPr>
      </w:pPr>
      <w:r>
        <w:rPr>
          <w:rFonts w:hint="eastAsia"/>
          <w:lang w:val="en-US" w:eastAsia="zh-CN"/>
        </w:rPr>
        <w:t>还有其他的情况，但是优先级</w:t>
      </w:r>
      <w:bookmarkStart w:id="2" w:name="_GoBack"/>
      <w:bookmarkEnd w:id="2"/>
      <w:r>
        <w:rPr>
          <w:rFonts w:hint="eastAsia"/>
          <w:lang w:val="en-US" w:eastAsia="zh-CN"/>
        </w:rPr>
        <w:t>原则都是识别&gt;历史数据</w:t>
      </w:r>
    </w:p>
    <w:p>
      <w:pPr>
        <w:pStyle w:val="5"/>
        <w:numPr>
          <w:ilvl w:val="0"/>
          <w:numId w:val="0"/>
        </w:numPr>
        <w:rPr>
          <w:rFonts w:hint="default"/>
          <w:lang w:val="en-US" w:eastAsia="zh-CN"/>
        </w:rPr>
      </w:pPr>
    </w:p>
    <w:p>
      <w:pPr>
        <w:pStyle w:val="12"/>
        <w:spacing w:after="156"/>
      </w:pPr>
      <w:r>
        <w:fldChar w:fldCharType="begin"/>
      </w:r>
      <w:r>
        <w:instrText xml:space="preserve"> TOC \o "1-5" \h \z \u </w:instrText>
      </w:r>
      <w:r>
        <w:fldChar w:fldCharType="separate"/>
      </w:r>
    </w:p>
    <w:p>
      <w:pPr>
        <w:pStyle w:val="6"/>
        <w:tabs>
          <w:tab w:val="left" w:pos="1260"/>
          <w:tab w:val="right" w:leader="dot" w:pos="8270"/>
        </w:tabs>
        <w:rPr>
          <w:rFonts w:asciiTheme="minorHAnsi" w:hAnsiTheme="minorHAnsi" w:eastAsiaTheme="minorEastAsia" w:cstheme="minorBidi"/>
          <w:iCs w:val="0"/>
          <w:szCs w:val="22"/>
        </w:rPr>
      </w:pPr>
    </w:p>
    <w:p>
      <w:pPr>
        <w:pStyle w:val="5"/>
        <w:spacing w:after="156"/>
        <w:ind w:firstLine="0" w:firstLineChars="0"/>
        <w:rPr>
          <w:rFonts w:hint="eastAsia"/>
        </w:rPr>
      </w:pPr>
      <w:r>
        <w:fldChar w:fldCharType="end"/>
      </w:r>
      <w:r>
        <w:rPr>
          <w:rFonts w:hint="eastAsia"/>
        </w:rPr>
        <w:t xml:space="preserve"> </w:t>
      </w:r>
    </w:p>
    <w:sdt>
      <w:sdtPr>
        <w:rPr>
          <w:rFonts w:ascii="宋体" w:hAnsi="宋体" w:eastAsia="宋体" w:cs="Times New Roman"/>
          <w:kern w:val="2"/>
          <w:sz w:val="21"/>
          <w:szCs w:val="24"/>
          <w:lang w:val="en-US" w:eastAsia="zh-CN" w:bidi="ar-SA"/>
        </w:rPr>
        <w:id w:val="147475621"/>
        <w15:color w:val="DBDBDB"/>
        <w:docPartObj>
          <w:docPartGallery w:val="Table of Contents"/>
          <w:docPartUnique/>
        </w:docPartObj>
      </w:sdtPr>
      <w:sdtEndPr>
        <w:rPr>
          <w:rFonts w:hint="eastAsia" w:ascii="Times New Roman" w:hAnsi="Times New Roman" w:eastAsia="宋体" w:cs="Times New Roman"/>
          <w:b/>
          <w:kern w:val="2"/>
          <w:sz w:val="21"/>
          <w:szCs w:val="24"/>
          <w:lang w:val="en-US" w:eastAsia="zh-CN" w:bidi="ar-SA"/>
        </w:rPr>
      </w:sdtEndPr>
      <w:sdtContent>
        <w:p/>
      </w:sdtContent>
    </w:sdt>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2818B"/>
    <w:multiLevelType w:val="singleLevel"/>
    <w:tmpl w:val="BC32818B"/>
    <w:lvl w:ilvl="0" w:tentative="0">
      <w:start w:val="2"/>
      <w:numFmt w:val="decimal"/>
      <w:lvlText w:val="%1."/>
      <w:lvlJc w:val="left"/>
      <w:pPr>
        <w:tabs>
          <w:tab w:val="left" w:pos="312"/>
        </w:tabs>
      </w:pPr>
    </w:lvl>
  </w:abstractNum>
  <w:abstractNum w:abstractNumId="1">
    <w:nsid w:val="DBE8C073"/>
    <w:multiLevelType w:val="singleLevel"/>
    <w:tmpl w:val="DBE8C073"/>
    <w:lvl w:ilvl="0" w:tentative="0">
      <w:start w:val="5"/>
      <w:numFmt w:val="decimal"/>
      <w:lvlText w:val="%1."/>
      <w:lvlJc w:val="left"/>
      <w:pPr>
        <w:tabs>
          <w:tab w:val="left" w:pos="312"/>
        </w:tabs>
      </w:pPr>
    </w:lvl>
  </w:abstractNum>
  <w:abstractNum w:abstractNumId="2">
    <w:nsid w:val="73B08B3B"/>
    <w:multiLevelType w:val="singleLevel"/>
    <w:tmpl w:val="73B08B3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2D94"/>
    <w:rsid w:val="02EC2926"/>
    <w:rsid w:val="04A53273"/>
    <w:rsid w:val="051263ED"/>
    <w:rsid w:val="07CC0DEF"/>
    <w:rsid w:val="07D1311B"/>
    <w:rsid w:val="08411B93"/>
    <w:rsid w:val="092E7CA6"/>
    <w:rsid w:val="0C4B425E"/>
    <w:rsid w:val="0D8224DA"/>
    <w:rsid w:val="0D9C5406"/>
    <w:rsid w:val="0E126B66"/>
    <w:rsid w:val="0F0943E4"/>
    <w:rsid w:val="0FD24E8E"/>
    <w:rsid w:val="115E44BA"/>
    <w:rsid w:val="12866105"/>
    <w:rsid w:val="13DF0271"/>
    <w:rsid w:val="14B770AA"/>
    <w:rsid w:val="15B92A89"/>
    <w:rsid w:val="161F0B42"/>
    <w:rsid w:val="186532CC"/>
    <w:rsid w:val="19E1771B"/>
    <w:rsid w:val="1A2D6EC7"/>
    <w:rsid w:val="1B466856"/>
    <w:rsid w:val="1C3B3396"/>
    <w:rsid w:val="1DDD3ADC"/>
    <w:rsid w:val="1E866EF9"/>
    <w:rsid w:val="1EAC66CE"/>
    <w:rsid w:val="1FC66E1F"/>
    <w:rsid w:val="21221050"/>
    <w:rsid w:val="21EE5860"/>
    <w:rsid w:val="241444E3"/>
    <w:rsid w:val="248E5D7C"/>
    <w:rsid w:val="25707B2F"/>
    <w:rsid w:val="26B70373"/>
    <w:rsid w:val="28FC4630"/>
    <w:rsid w:val="2D012C66"/>
    <w:rsid w:val="2DA460E9"/>
    <w:rsid w:val="2E91732F"/>
    <w:rsid w:val="2F47721D"/>
    <w:rsid w:val="2F991869"/>
    <w:rsid w:val="2FF50C03"/>
    <w:rsid w:val="30883EA5"/>
    <w:rsid w:val="31186C45"/>
    <w:rsid w:val="32D838DF"/>
    <w:rsid w:val="369D06D7"/>
    <w:rsid w:val="36BB22E1"/>
    <w:rsid w:val="377877E0"/>
    <w:rsid w:val="379172F6"/>
    <w:rsid w:val="392A2515"/>
    <w:rsid w:val="3A3958BA"/>
    <w:rsid w:val="3D9F5CB0"/>
    <w:rsid w:val="3DC06E2A"/>
    <w:rsid w:val="3DD2755D"/>
    <w:rsid w:val="42BD0A4F"/>
    <w:rsid w:val="453D2320"/>
    <w:rsid w:val="45CD6953"/>
    <w:rsid w:val="45E652DB"/>
    <w:rsid w:val="4707398F"/>
    <w:rsid w:val="4A0B1119"/>
    <w:rsid w:val="4C2A5AB0"/>
    <w:rsid w:val="4CD82719"/>
    <w:rsid w:val="4D212037"/>
    <w:rsid w:val="4D4101CF"/>
    <w:rsid w:val="4EB315CF"/>
    <w:rsid w:val="51827E8A"/>
    <w:rsid w:val="525D70EA"/>
    <w:rsid w:val="535A7BD8"/>
    <w:rsid w:val="53F04D2A"/>
    <w:rsid w:val="59AD0FAD"/>
    <w:rsid w:val="5B0A6B1C"/>
    <w:rsid w:val="5DEF0399"/>
    <w:rsid w:val="5F08573C"/>
    <w:rsid w:val="5F8F016A"/>
    <w:rsid w:val="622B551A"/>
    <w:rsid w:val="634D25DD"/>
    <w:rsid w:val="63F15AFE"/>
    <w:rsid w:val="66FF4B07"/>
    <w:rsid w:val="672C2808"/>
    <w:rsid w:val="67B90663"/>
    <w:rsid w:val="6A132481"/>
    <w:rsid w:val="6B146009"/>
    <w:rsid w:val="6BB42AAF"/>
    <w:rsid w:val="6E9E770C"/>
    <w:rsid w:val="6F092C0A"/>
    <w:rsid w:val="6FC060F8"/>
    <w:rsid w:val="708D0630"/>
    <w:rsid w:val="709238E7"/>
    <w:rsid w:val="7217016C"/>
    <w:rsid w:val="72320231"/>
    <w:rsid w:val="751375CB"/>
    <w:rsid w:val="769D4FBB"/>
    <w:rsid w:val="7B2E0D25"/>
    <w:rsid w:val="7B332737"/>
    <w:rsid w:val="7BCD204C"/>
    <w:rsid w:val="7C19134E"/>
    <w:rsid w:val="7D0553A3"/>
    <w:rsid w:val="7D1D19E4"/>
    <w:rsid w:val="7DBB52C5"/>
    <w:rsid w:val="7EF70645"/>
    <w:rsid w:val="7FB8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3"/>
    <w:basedOn w:val="1"/>
    <w:next w:val="1"/>
    <w:qFormat/>
    <w:uiPriority w:val="39"/>
    <w:pPr>
      <w:spacing w:afterLines="0"/>
      <w:ind w:left="420"/>
      <w:jc w:val="left"/>
    </w:pPr>
    <w:rPr>
      <w:iCs/>
      <w:szCs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封面落款"/>
    <w:basedOn w:val="11"/>
    <w:qFormat/>
    <w:uiPriority w:val="0"/>
    <w:pPr>
      <w:shd w:val="clear" w:color="auto" w:fill="auto"/>
    </w:pPr>
    <w:rPr>
      <w:b w:val="0"/>
      <w:sz w:val="32"/>
    </w:rPr>
  </w:style>
  <w:style w:type="paragraph" w:customStyle="1" w:styleId="11">
    <w:name w:val="封面标题"/>
    <w:basedOn w:val="1"/>
    <w:next w:val="10"/>
    <w:qFormat/>
    <w:uiPriority w:val="0"/>
    <w:pPr>
      <w:shd w:val="pct10" w:color="auto" w:fill="auto"/>
      <w:spacing w:afterLines="0"/>
      <w:jc w:val="center"/>
    </w:pPr>
    <w:rPr>
      <w:rFonts w:ascii="Arial" w:hAnsi="Arial" w:eastAsia="黑体"/>
      <w:b/>
      <w:sz w:val="52"/>
    </w:rPr>
  </w:style>
  <w:style w:type="paragraph" w:customStyle="1" w:styleId="12">
    <w:name w:val="目录"/>
    <w:basedOn w:val="1"/>
    <w:next w:val="5"/>
    <w:qFormat/>
    <w:uiPriority w:val="0"/>
    <w:pPr>
      <w:pageBreakBefore/>
      <w:jc w:val="center"/>
    </w:pPr>
    <w:rPr>
      <w:rFonts w:ascii="Arial" w:hAnsi="Arial" w:eastAsia="黑体"/>
      <w:b/>
      <w:sz w:val="32"/>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2019-12-14T06:13:00Z</dcterms:created>
  <dc:creator>hasee</dc:creator>
  <cp:lastModifiedBy>NONAME</cp:lastModifiedBy>
  <dcterms:modified xsi:type="dcterms:W3CDTF">2019-12-25T01:45:13Z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