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7B44" w14:textId="77777777" w:rsidR="00C01DAC" w:rsidRPr="00435A3B" w:rsidRDefault="00FD7EDD" w:rsidP="00C01DAC">
      <w:pPr>
        <w:pStyle w:val="FrontPage"/>
      </w:pPr>
      <w:r>
        <w:rPr>
          <w:lang w:eastAsia="en-GB"/>
        </w:rPr>
        <w:pict w14:anchorId="2F1857A1">
          <v:rect id="_x0000_s1026" style="position:absolute;left:0;text-align:left;margin-left:0;margin-top:26.05pt;width:387pt;height:540pt;z-index:-251658752;mso-wrap-edited:f;mso-position-horizontal:center;mso-position-horizontal-relative:margin" filled="f" fillcolor="#36f">
            <v:fill opacity="52429f" o:opacity2="52429f"/>
            <w10:wrap anchorx="margin"/>
          </v:rect>
        </w:pict>
      </w:r>
    </w:p>
    <w:p w14:paraId="2A2F9A13" w14:textId="77777777" w:rsidR="00131021" w:rsidRPr="00435A3B" w:rsidRDefault="0004220D" w:rsidP="00F711F0">
      <w:pPr>
        <w:pStyle w:val="SectionTitle"/>
        <w:rPr>
          <w:b w:val="0"/>
        </w:rPr>
      </w:pPr>
      <w:r w:rsidRPr="00435A3B">
        <w:rPr>
          <w:b w:val="0"/>
        </w:rPr>
        <w:t xml:space="preserve">SDMX Standards: Section </w:t>
      </w:r>
      <w:r w:rsidR="008A26DC" w:rsidRPr="00435A3B">
        <w:rPr>
          <w:b w:val="0"/>
        </w:rPr>
        <w:t>3A PaRT VI</w:t>
      </w:r>
    </w:p>
    <w:p w14:paraId="7F36917B" w14:textId="77777777" w:rsidR="00C01DAC" w:rsidRPr="00435A3B" w:rsidRDefault="00C01DAC" w:rsidP="00C01DAC">
      <w:pPr>
        <w:pStyle w:val="FrontPage"/>
      </w:pPr>
    </w:p>
    <w:p w14:paraId="6B781FEE" w14:textId="77777777" w:rsidR="00C01DAC" w:rsidRPr="00435A3B" w:rsidRDefault="00C01DAC" w:rsidP="00C01DAC">
      <w:pPr>
        <w:pStyle w:val="FrontPage"/>
      </w:pPr>
    </w:p>
    <w:p w14:paraId="7A6DDE3A" w14:textId="77777777" w:rsidR="00C01DAC" w:rsidRPr="00435A3B" w:rsidRDefault="00F711F0" w:rsidP="00F711F0">
      <w:pPr>
        <w:pStyle w:val="DocumentTitle"/>
        <w:rPr>
          <w:b w:val="0"/>
          <w:lang w:val="en-GB"/>
        </w:rPr>
      </w:pPr>
      <w:r w:rsidRPr="00435A3B">
        <w:rPr>
          <w:b w:val="0"/>
          <w:lang w:val="en-GB"/>
        </w:rPr>
        <w:t>SDMX-ML</w:t>
      </w:r>
      <w:r w:rsidR="00C01DAC" w:rsidRPr="00435A3B">
        <w:rPr>
          <w:b w:val="0"/>
          <w:lang w:val="en-GB"/>
        </w:rPr>
        <w:t xml:space="preserve">: </w:t>
      </w:r>
    </w:p>
    <w:p w14:paraId="63F33F25" w14:textId="77777777" w:rsidR="00C01DAC" w:rsidRPr="00435A3B" w:rsidRDefault="005D77A1" w:rsidP="00F711F0">
      <w:pPr>
        <w:pStyle w:val="DocumentTitle"/>
        <w:rPr>
          <w:b w:val="0"/>
          <w:lang w:val="en-GB"/>
        </w:rPr>
      </w:pPr>
      <w:r w:rsidRPr="00435A3B">
        <w:rPr>
          <w:b w:val="0"/>
          <w:lang w:val="en-GB"/>
        </w:rPr>
        <w:t xml:space="preserve">  </w:t>
      </w:r>
      <w:r w:rsidR="00E25B6C" w:rsidRPr="00435A3B">
        <w:rPr>
          <w:b w:val="0"/>
          <w:lang w:val="en-GB"/>
        </w:rPr>
        <w:t xml:space="preserve"> </w:t>
      </w:r>
      <w:r w:rsidR="00F711F0" w:rsidRPr="00435A3B">
        <w:rPr>
          <w:b w:val="0"/>
          <w:lang w:val="en-GB"/>
        </w:rPr>
        <w:t>Schema and Documentation</w:t>
      </w:r>
    </w:p>
    <w:p w14:paraId="05CA53D3" w14:textId="77777777" w:rsidR="0004220D" w:rsidRPr="00435A3B" w:rsidRDefault="008A26DC" w:rsidP="00F711F0">
      <w:pPr>
        <w:pStyle w:val="DocumentTitle"/>
        <w:rPr>
          <w:b w:val="0"/>
          <w:lang w:val="en-GB"/>
        </w:rPr>
      </w:pPr>
      <w:r w:rsidRPr="00435A3B">
        <w:rPr>
          <w:b w:val="0"/>
          <w:lang w:val="en-GB"/>
        </w:rPr>
        <w:t>Samples</w:t>
      </w:r>
    </w:p>
    <w:p w14:paraId="3DFE6FEA" w14:textId="77777777" w:rsidR="000201B9" w:rsidRPr="00435A3B" w:rsidRDefault="000201B9" w:rsidP="00C01DAC">
      <w:pPr>
        <w:pStyle w:val="FrontPage"/>
      </w:pPr>
    </w:p>
    <w:p w14:paraId="65182891" w14:textId="77777777" w:rsidR="000201B9" w:rsidRPr="00435A3B" w:rsidRDefault="00282080" w:rsidP="00C01DAC">
      <w:pPr>
        <w:pStyle w:val="FrontPage"/>
        <w:rPr>
          <w:b w:val="0"/>
        </w:rPr>
      </w:pPr>
      <w:r w:rsidRPr="00435A3B">
        <w:rPr>
          <w:b w:val="0"/>
          <w:smallCaps/>
          <w:sz w:val="32"/>
          <w:szCs w:val="32"/>
        </w:rPr>
        <w:t xml:space="preserve">Version </w:t>
      </w:r>
      <w:r w:rsidR="0066292E" w:rsidRPr="00435A3B">
        <w:rPr>
          <w:b w:val="0"/>
          <w:smallCaps/>
          <w:sz w:val="32"/>
          <w:szCs w:val="32"/>
        </w:rPr>
        <w:t>3</w:t>
      </w:r>
      <w:r w:rsidRPr="00435A3B">
        <w:rPr>
          <w:b w:val="0"/>
          <w:smallCaps/>
          <w:sz w:val="32"/>
          <w:szCs w:val="32"/>
        </w:rPr>
        <w:t>.</w:t>
      </w:r>
      <w:r w:rsidR="0066292E" w:rsidRPr="00435A3B">
        <w:rPr>
          <w:b w:val="0"/>
          <w:smallCaps/>
          <w:sz w:val="32"/>
          <w:szCs w:val="32"/>
        </w:rPr>
        <w:t>0</w:t>
      </w:r>
    </w:p>
    <w:p w14:paraId="6AD9243B" w14:textId="77777777" w:rsidR="00953E3C" w:rsidRPr="00435A3B" w:rsidRDefault="00953E3C" w:rsidP="00C01DAC">
      <w:pPr>
        <w:pStyle w:val="FrontPage"/>
        <w:rPr>
          <w:sz w:val="36"/>
          <w:szCs w:val="36"/>
        </w:rPr>
      </w:pPr>
    </w:p>
    <w:p w14:paraId="274FD84E" w14:textId="77777777" w:rsidR="00953E3C" w:rsidRPr="00435A3B" w:rsidRDefault="00953E3C" w:rsidP="00C01DAC">
      <w:pPr>
        <w:pStyle w:val="FrontPage"/>
        <w:rPr>
          <w:sz w:val="36"/>
          <w:szCs w:val="36"/>
        </w:rPr>
      </w:pPr>
    </w:p>
    <w:p w14:paraId="3D29FF54" w14:textId="77777777" w:rsidR="00953E3C" w:rsidRPr="00435A3B" w:rsidRDefault="00953E3C" w:rsidP="00C01DAC">
      <w:pPr>
        <w:pStyle w:val="FrontPage"/>
        <w:rPr>
          <w:sz w:val="36"/>
          <w:szCs w:val="36"/>
        </w:rPr>
      </w:pPr>
    </w:p>
    <w:p w14:paraId="0F350EF0" w14:textId="77777777" w:rsidR="00953E3C" w:rsidRPr="00435A3B" w:rsidRDefault="00953E3C" w:rsidP="00C01DAC">
      <w:pPr>
        <w:pStyle w:val="FrontPage"/>
        <w:rPr>
          <w:sz w:val="36"/>
          <w:szCs w:val="36"/>
        </w:rPr>
      </w:pPr>
    </w:p>
    <w:p w14:paraId="018AC35D" w14:textId="77777777" w:rsidR="00953E3C" w:rsidRPr="00435A3B" w:rsidRDefault="00953E3C" w:rsidP="00C01DAC">
      <w:pPr>
        <w:pStyle w:val="FrontPage"/>
        <w:rPr>
          <w:sz w:val="36"/>
          <w:szCs w:val="36"/>
        </w:rPr>
      </w:pPr>
    </w:p>
    <w:p w14:paraId="437586C6" w14:textId="77777777" w:rsidR="00282080" w:rsidRPr="00435A3B" w:rsidRDefault="00282080" w:rsidP="00C01DAC">
      <w:pPr>
        <w:pStyle w:val="FrontPage"/>
        <w:rPr>
          <w:sz w:val="36"/>
          <w:szCs w:val="36"/>
        </w:rPr>
      </w:pPr>
    </w:p>
    <w:p w14:paraId="0EC0386B" w14:textId="4FC23008" w:rsidR="00ED08C5" w:rsidRPr="00435A3B" w:rsidRDefault="00FD7EDD" w:rsidP="008754E5">
      <w:pPr>
        <w:pStyle w:val="DatePub"/>
      </w:pPr>
      <w:r>
        <w:t>September</w:t>
      </w:r>
      <w:r w:rsidR="00E26813" w:rsidRPr="00435A3B">
        <w:t xml:space="preserve"> 2</w:t>
      </w:r>
      <w:r w:rsidR="008754E5" w:rsidRPr="00435A3B">
        <w:t>021</w:t>
      </w:r>
    </w:p>
    <w:p w14:paraId="7F4121AE" w14:textId="77777777" w:rsidR="008754E5" w:rsidRPr="00435A3B" w:rsidRDefault="008754E5" w:rsidP="008754E5">
      <w:pPr>
        <w:rPr>
          <w:color w:val="000080"/>
          <w:sz w:val="22"/>
        </w:rPr>
      </w:pPr>
    </w:p>
    <w:p w14:paraId="00B614FD" w14:textId="77777777" w:rsidR="008754E5" w:rsidRPr="00435A3B" w:rsidRDefault="008754E5" w:rsidP="008754E5">
      <w:pPr>
        <w:tabs>
          <w:tab w:val="left" w:pos="1136"/>
        </w:tabs>
        <w:rPr>
          <w:color w:val="000080"/>
          <w:sz w:val="22"/>
        </w:rPr>
      </w:pPr>
    </w:p>
    <w:p w14:paraId="644FDC4A" w14:textId="77777777" w:rsidR="008754E5" w:rsidRPr="00435A3B" w:rsidRDefault="008754E5" w:rsidP="008754E5">
      <w:pPr>
        <w:tabs>
          <w:tab w:val="left" w:pos="1136"/>
        </w:tabs>
        <w:rPr>
          <w:color w:val="000080"/>
          <w:sz w:val="22"/>
        </w:rPr>
      </w:pPr>
    </w:p>
    <w:p w14:paraId="66C2ED6E" w14:textId="77777777" w:rsidR="008754E5" w:rsidRPr="00435A3B" w:rsidRDefault="008754E5" w:rsidP="008754E5">
      <w:pPr>
        <w:tabs>
          <w:tab w:val="left" w:pos="1136"/>
        </w:tabs>
        <w:rPr>
          <w:color w:val="000080"/>
          <w:sz w:val="22"/>
        </w:rPr>
      </w:pPr>
    </w:p>
    <w:p w14:paraId="5F1B8580" w14:textId="77777777" w:rsidR="008754E5" w:rsidRPr="00435A3B" w:rsidRDefault="008754E5" w:rsidP="008754E5">
      <w:pPr>
        <w:pStyle w:val="ParagraphCharCharChar"/>
      </w:pPr>
      <w:r w:rsidRPr="00435A3B">
        <w:t>© SDMX 2021</w:t>
      </w:r>
    </w:p>
    <w:p w14:paraId="3DDD78F6" w14:textId="77777777" w:rsidR="008754E5" w:rsidRPr="00435A3B" w:rsidRDefault="008754E5" w:rsidP="008754E5">
      <w:pPr>
        <w:pStyle w:val="ParagraphCharCharChar"/>
        <w:rPr>
          <w:rStyle w:val="Hyperlink"/>
        </w:rPr>
      </w:pPr>
      <w:r w:rsidRPr="00435A3B">
        <w:rPr>
          <w:rStyle w:val="Hyperlink"/>
        </w:rPr>
        <w:t>http://www.sdmx.org/</w:t>
      </w:r>
    </w:p>
    <w:p w14:paraId="747639B3" w14:textId="77777777" w:rsidR="008754E5" w:rsidRPr="00435A3B" w:rsidRDefault="008754E5" w:rsidP="008754E5">
      <w:pPr>
        <w:tabs>
          <w:tab w:val="left" w:pos="1136"/>
        </w:tabs>
        <w:sectPr w:rsidR="008754E5" w:rsidRPr="00435A3B" w:rsidSect="001E3DB7">
          <w:headerReference w:type="default" r:id="rId8"/>
          <w:footerReference w:type="default" r:id="rId9"/>
          <w:pgSz w:w="11906" w:h="16838" w:code="9"/>
          <w:pgMar w:top="1440" w:right="1797" w:bottom="1440" w:left="1797" w:header="709" w:footer="709" w:gutter="0"/>
          <w:cols w:space="708"/>
          <w:docGrid w:linePitch="360"/>
        </w:sectPr>
      </w:pPr>
    </w:p>
    <w:p w14:paraId="76907B0A" w14:textId="77777777" w:rsidR="00CB3F58" w:rsidRPr="00435A3B" w:rsidRDefault="00CB3F58">
      <w:pPr>
        <w:pStyle w:val="TOCHeading"/>
        <w:rPr>
          <w:rFonts w:ascii="Arial" w:hAnsi="Arial" w:cs="Arial"/>
          <w:color w:val="auto"/>
          <w:lang w:val="en-GB"/>
        </w:rPr>
      </w:pPr>
      <w:r w:rsidRPr="00435A3B">
        <w:rPr>
          <w:rFonts w:ascii="Arial" w:hAnsi="Arial" w:cs="Arial"/>
          <w:color w:val="auto"/>
          <w:lang w:val="en-GB"/>
        </w:rPr>
        <w:lastRenderedPageBreak/>
        <w:t>Contents</w:t>
      </w:r>
    </w:p>
    <w:p w14:paraId="1FCD27F2" w14:textId="77777777" w:rsidR="00216A82" w:rsidRPr="00435A3B" w:rsidRDefault="00216A82" w:rsidP="00216A82"/>
    <w:p w14:paraId="1C822564" w14:textId="77777777" w:rsidR="00C13FDB" w:rsidRPr="0014468D" w:rsidRDefault="00FE3C82">
      <w:pPr>
        <w:pStyle w:val="TOC1"/>
        <w:tabs>
          <w:tab w:val="left" w:pos="660"/>
          <w:tab w:val="right" w:leader="dot" w:pos="8302"/>
        </w:tabs>
        <w:rPr>
          <w:rFonts w:ascii="Calibri" w:hAnsi="Calibri"/>
          <w:b w:val="0"/>
          <w:noProof/>
          <w:sz w:val="22"/>
          <w:szCs w:val="22"/>
          <w:lang w:eastAsia="en-GB"/>
        </w:rPr>
      </w:pPr>
      <w:r w:rsidRPr="00435A3B">
        <w:fldChar w:fldCharType="begin"/>
      </w:r>
      <w:r w:rsidR="00CB3F58" w:rsidRPr="00435A3B">
        <w:instrText xml:space="preserve"> TOC \o "1-3" \h \z \u </w:instrText>
      </w:r>
      <w:r w:rsidRPr="00435A3B">
        <w:fldChar w:fldCharType="separate"/>
      </w:r>
      <w:hyperlink w:anchor="_Toc77174570" w:history="1">
        <w:r w:rsidR="00C13FDB" w:rsidRPr="00287B34">
          <w:rPr>
            <w:rStyle w:val="Hyperlink"/>
            <w:noProof/>
          </w:rPr>
          <w:t>1</w:t>
        </w:r>
        <w:r w:rsidR="00C13FDB" w:rsidRPr="0014468D">
          <w:rPr>
            <w:rFonts w:ascii="Calibri" w:hAnsi="Calibri"/>
            <w:b w:val="0"/>
            <w:noProof/>
            <w:sz w:val="22"/>
            <w:szCs w:val="22"/>
            <w:lang w:eastAsia="en-GB"/>
          </w:rPr>
          <w:tab/>
        </w:r>
        <w:r w:rsidR="00C13FDB" w:rsidRPr="00287B34">
          <w:rPr>
            <w:rStyle w:val="Hyperlink"/>
            <w:noProof/>
          </w:rPr>
          <w:t>Introduction</w:t>
        </w:r>
        <w:r w:rsidR="00C13FDB">
          <w:rPr>
            <w:noProof/>
            <w:webHidden/>
          </w:rPr>
          <w:tab/>
        </w:r>
        <w:r w:rsidR="00C13FDB">
          <w:rPr>
            <w:noProof/>
            <w:webHidden/>
          </w:rPr>
          <w:fldChar w:fldCharType="begin"/>
        </w:r>
        <w:r w:rsidR="00C13FDB">
          <w:rPr>
            <w:noProof/>
            <w:webHidden/>
          </w:rPr>
          <w:instrText xml:space="preserve"> PAGEREF _Toc77174570 \h </w:instrText>
        </w:r>
        <w:r w:rsidR="00C13FDB">
          <w:rPr>
            <w:noProof/>
            <w:webHidden/>
          </w:rPr>
        </w:r>
        <w:r w:rsidR="00C13FDB">
          <w:rPr>
            <w:noProof/>
            <w:webHidden/>
          </w:rPr>
          <w:fldChar w:fldCharType="separate"/>
        </w:r>
        <w:r w:rsidR="00C13FDB">
          <w:rPr>
            <w:noProof/>
            <w:webHidden/>
          </w:rPr>
          <w:t>1</w:t>
        </w:r>
        <w:r w:rsidR="00C13FDB">
          <w:rPr>
            <w:noProof/>
            <w:webHidden/>
          </w:rPr>
          <w:fldChar w:fldCharType="end"/>
        </w:r>
      </w:hyperlink>
    </w:p>
    <w:p w14:paraId="47E122D4" w14:textId="77777777" w:rsidR="00C13FDB" w:rsidRPr="0014468D" w:rsidRDefault="00FD7EDD">
      <w:pPr>
        <w:pStyle w:val="TOC1"/>
        <w:tabs>
          <w:tab w:val="left" w:pos="660"/>
          <w:tab w:val="right" w:leader="dot" w:pos="8302"/>
        </w:tabs>
        <w:rPr>
          <w:rFonts w:ascii="Calibri" w:hAnsi="Calibri"/>
          <w:b w:val="0"/>
          <w:noProof/>
          <w:sz w:val="22"/>
          <w:szCs w:val="22"/>
          <w:lang w:eastAsia="en-GB"/>
        </w:rPr>
      </w:pPr>
      <w:hyperlink w:anchor="_Toc77174571" w:history="1">
        <w:r w:rsidR="00C13FDB" w:rsidRPr="00287B34">
          <w:rPr>
            <w:rStyle w:val="Hyperlink"/>
            <w:noProof/>
          </w:rPr>
          <w:t>2</w:t>
        </w:r>
        <w:r w:rsidR="00C13FDB" w:rsidRPr="0014468D">
          <w:rPr>
            <w:rFonts w:ascii="Calibri" w:hAnsi="Calibri"/>
            <w:b w:val="0"/>
            <w:noProof/>
            <w:sz w:val="22"/>
            <w:szCs w:val="22"/>
            <w:lang w:eastAsia="en-GB"/>
          </w:rPr>
          <w:tab/>
        </w:r>
        <w:r w:rsidR="00C13FDB" w:rsidRPr="00287B34">
          <w:rPr>
            <w:rStyle w:val="Hyperlink"/>
            <w:noProof/>
          </w:rPr>
          <w:t>Structure Samples</w:t>
        </w:r>
        <w:r w:rsidR="00C13FDB">
          <w:rPr>
            <w:noProof/>
            <w:webHidden/>
          </w:rPr>
          <w:tab/>
        </w:r>
        <w:r w:rsidR="00C13FDB">
          <w:rPr>
            <w:noProof/>
            <w:webHidden/>
          </w:rPr>
          <w:fldChar w:fldCharType="begin"/>
        </w:r>
        <w:r w:rsidR="00C13FDB">
          <w:rPr>
            <w:noProof/>
            <w:webHidden/>
          </w:rPr>
          <w:instrText xml:space="preserve"> PAGEREF _Toc77174571 \h </w:instrText>
        </w:r>
        <w:r w:rsidR="00C13FDB">
          <w:rPr>
            <w:noProof/>
            <w:webHidden/>
          </w:rPr>
        </w:r>
        <w:r w:rsidR="00C13FDB">
          <w:rPr>
            <w:noProof/>
            <w:webHidden/>
          </w:rPr>
          <w:fldChar w:fldCharType="separate"/>
        </w:r>
        <w:r w:rsidR="00C13FDB">
          <w:rPr>
            <w:noProof/>
            <w:webHidden/>
          </w:rPr>
          <w:t>1</w:t>
        </w:r>
        <w:r w:rsidR="00C13FDB">
          <w:rPr>
            <w:noProof/>
            <w:webHidden/>
          </w:rPr>
          <w:fldChar w:fldCharType="end"/>
        </w:r>
      </w:hyperlink>
    </w:p>
    <w:p w14:paraId="2301ED05" w14:textId="77777777" w:rsidR="00C13FDB" w:rsidRPr="0014468D" w:rsidRDefault="00FD7EDD">
      <w:pPr>
        <w:pStyle w:val="TOC1"/>
        <w:tabs>
          <w:tab w:val="left" w:pos="660"/>
          <w:tab w:val="right" w:leader="dot" w:pos="8302"/>
        </w:tabs>
        <w:rPr>
          <w:rFonts w:ascii="Calibri" w:hAnsi="Calibri"/>
          <w:b w:val="0"/>
          <w:noProof/>
          <w:sz w:val="22"/>
          <w:szCs w:val="22"/>
          <w:lang w:eastAsia="en-GB"/>
        </w:rPr>
      </w:pPr>
      <w:hyperlink w:anchor="_Toc77174572" w:history="1">
        <w:r w:rsidR="00C13FDB" w:rsidRPr="00287B34">
          <w:rPr>
            <w:rStyle w:val="Hyperlink"/>
            <w:noProof/>
          </w:rPr>
          <w:t>3</w:t>
        </w:r>
        <w:r w:rsidR="00C13FDB" w:rsidRPr="0014468D">
          <w:rPr>
            <w:rFonts w:ascii="Calibri" w:hAnsi="Calibri"/>
            <w:b w:val="0"/>
            <w:noProof/>
            <w:sz w:val="22"/>
            <w:szCs w:val="22"/>
            <w:lang w:eastAsia="en-GB"/>
          </w:rPr>
          <w:tab/>
        </w:r>
        <w:r w:rsidR="00C13FDB" w:rsidRPr="00287B34">
          <w:rPr>
            <w:rStyle w:val="Hyperlink"/>
            <w:noProof/>
          </w:rPr>
          <w:t>Data Samples</w:t>
        </w:r>
        <w:r w:rsidR="00C13FDB">
          <w:rPr>
            <w:noProof/>
            <w:webHidden/>
          </w:rPr>
          <w:tab/>
        </w:r>
        <w:r w:rsidR="00C13FDB">
          <w:rPr>
            <w:noProof/>
            <w:webHidden/>
          </w:rPr>
          <w:fldChar w:fldCharType="begin"/>
        </w:r>
        <w:r w:rsidR="00C13FDB">
          <w:rPr>
            <w:noProof/>
            <w:webHidden/>
          </w:rPr>
          <w:instrText xml:space="preserve"> PAGEREF _Toc77174572 \h </w:instrText>
        </w:r>
        <w:r w:rsidR="00C13FDB">
          <w:rPr>
            <w:noProof/>
            <w:webHidden/>
          </w:rPr>
        </w:r>
        <w:r w:rsidR="00C13FDB">
          <w:rPr>
            <w:noProof/>
            <w:webHidden/>
          </w:rPr>
          <w:fldChar w:fldCharType="separate"/>
        </w:r>
        <w:r w:rsidR="00C13FDB">
          <w:rPr>
            <w:noProof/>
            <w:webHidden/>
          </w:rPr>
          <w:t>5</w:t>
        </w:r>
        <w:r w:rsidR="00C13FDB">
          <w:rPr>
            <w:noProof/>
            <w:webHidden/>
          </w:rPr>
          <w:fldChar w:fldCharType="end"/>
        </w:r>
      </w:hyperlink>
    </w:p>
    <w:p w14:paraId="1BEE8FAB" w14:textId="77777777" w:rsidR="00CB3F58" w:rsidRPr="00435A3B" w:rsidRDefault="00FE3C82">
      <w:r w:rsidRPr="00435A3B">
        <w:fldChar w:fldCharType="end"/>
      </w:r>
    </w:p>
    <w:p w14:paraId="2A0A451A" w14:textId="77777777" w:rsidR="00216A82" w:rsidRPr="00435A3B" w:rsidRDefault="00216A82" w:rsidP="00CB3F58">
      <w:pPr>
        <w:pStyle w:val="Heading1"/>
        <w:sectPr w:rsidR="00216A82" w:rsidRPr="00435A3B" w:rsidSect="00216A82">
          <w:footerReference w:type="default" r:id="rId10"/>
          <w:pgSz w:w="11906" w:h="16838" w:code="9"/>
          <w:pgMar w:top="1440" w:right="1797" w:bottom="1440" w:left="1797" w:header="709" w:footer="709" w:gutter="0"/>
          <w:pgNumType w:start="1"/>
          <w:cols w:space="708"/>
          <w:docGrid w:linePitch="360"/>
        </w:sectPr>
      </w:pPr>
    </w:p>
    <w:p w14:paraId="6709AFD7" w14:textId="77777777" w:rsidR="008A26DC" w:rsidRPr="00435A3B" w:rsidRDefault="008A26DC" w:rsidP="008A26DC">
      <w:pPr>
        <w:pStyle w:val="Heading1"/>
      </w:pPr>
      <w:bookmarkStart w:id="0" w:name="_Toc278497173"/>
      <w:bookmarkStart w:id="1" w:name="_Toc290061598"/>
      <w:bookmarkStart w:id="2" w:name="_Toc77174570"/>
      <w:r w:rsidRPr="00435A3B">
        <w:lastRenderedPageBreak/>
        <w:t>Introduction</w:t>
      </w:r>
      <w:bookmarkEnd w:id="0"/>
      <w:bookmarkEnd w:id="1"/>
      <w:bookmarkEnd w:id="2"/>
    </w:p>
    <w:p w14:paraId="79ABAA30" w14:textId="77777777" w:rsidR="008A26DC" w:rsidRPr="00435A3B" w:rsidRDefault="008A26DC" w:rsidP="008A26DC">
      <w:r w:rsidRPr="00435A3B">
        <w:t xml:space="preserve">This document provides a brief overview of the </w:t>
      </w:r>
      <w:r w:rsidR="00A94EED" w:rsidRPr="00435A3B">
        <w:t xml:space="preserve">SDMX-ML </w:t>
      </w:r>
      <w:r w:rsidR="00621A74" w:rsidRPr="00435A3B">
        <w:t xml:space="preserve">XML </w:t>
      </w:r>
      <w:r w:rsidR="00A94EED" w:rsidRPr="00435A3B">
        <w:t>sample files</w:t>
      </w:r>
      <w:r w:rsidR="00751AE3">
        <w:t>.</w:t>
      </w:r>
    </w:p>
    <w:p w14:paraId="49ACE088" w14:textId="77777777" w:rsidR="00621A74" w:rsidRPr="00435A3B" w:rsidRDefault="00621A74" w:rsidP="008A26DC">
      <w:r w:rsidRPr="00435A3B">
        <w:t xml:space="preserve">All samples use the </w:t>
      </w:r>
      <w:proofErr w:type="gramStart"/>
      <w:r w:rsidRPr="00435A3B">
        <w:t>xsi:schemaLocation</w:t>
      </w:r>
      <w:proofErr w:type="gramEnd"/>
      <w:r w:rsidRPr="00435A3B">
        <w:t xml:space="preserve"> attribute to define the location of the XSD schema files for the relevant namespaces. The samples assume that the schemas are held locally</w:t>
      </w:r>
      <w:r w:rsidR="008264E2" w:rsidRPr="00435A3B">
        <w:t xml:space="preserve"> in a directory called ‘schemas’ and are referenced as a relative file path. For example:</w:t>
      </w:r>
    </w:p>
    <w:p w14:paraId="082EAD3B" w14:textId="77777777" w:rsidR="008264E2" w:rsidRPr="00435A3B" w:rsidRDefault="008264E2" w:rsidP="008A26DC">
      <w:proofErr w:type="gramStart"/>
      <w:r w:rsidRPr="00435A3B">
        <w:t>xsi:schemaLocation</w:t>
      </w:r>
      <w:proofErr w:type="gramEnd"/>
      <w:r w:rsidRPr="00435A3B">
        <w:t>="http://www.sdmx.org/resources/sdmxml/schemas/v3</w:t>
      </w:r>
      <w:r w:rsidR="00E84288">
        <w:t>_</w:t>
      </w:r>
      <w:r w:rsidRPr="00435A3B">
        <w:t>0/message ..</w:t>
      </w:r>
      <w:r w:rsidR="00751AE3">
        <w:t>/..</w:t>
      </w:r>
      <w:r w:rsidRPr="00435A3B">
        <w:t>/schemas/SDMXMessage.xsd"</w:t>
      </w:r>
    </w:p>
    <w:p w14:paraId="01B87286" w14:textId="77777777" w:rsidR="008264E2" w:rsidRPr="00435A3B" w:rsidRDefault="00751AE3" w:rsidP="008A26DC">
      <w:r>
        <w:t>Copies</w:t>
      </w:r>
      <w:r w:rsidR="008264E2" w:rsidRPr="00435A3B">
        <w:t xml:space="preserve"> of the </w:t>
      </w:r>
      <w:r>
        <w:t xml:space="preserve">SDMX-ML </w:t>
      </w:r>
      <w:r w:rsidR="008264E2" w:rsidRPr="00435A3B">
        <w:t>XSD schemas files will need to be in the appropriate directory</w:t>
      </w:r>
      <w:r>
        <w:t xml:space="preserve"> </w:t>
      </w:r>
      <w:proofErr w:type="gramStart"/>
      <w:r>
        <w:t>in order to</w:t>
      </w:r>
      <w:proofErr w:type="gramEnd"/>
      <w:r>
        <w:t xml:space="preserve"> validate correctly.</w:t>
      </w:r>
    </w:p>
    <w:p w14:paraId="1C0E3A1A" w14:textId="77777777" w:rsidR="008A26DC" w:rsidRPr="00435A3B" w:rsidRDefault="008A26DC" w:rsidP="008A26DC">
      <w:pPr>
        <w:pStyle w:val="Heading1"/>
      </w:pPr>
      <w:bookmarkStart w:id="3" w:name="_Toc290061599"/>
      <w:bookmarkStart w:id="4" w:name="_Toc77174571"/>
      <w:r w:rsidRPr="00435A3B">
        <w:t>Structure Samples</w:t>
      </w:r>
      <w:bookmarkEnd w:id="3"/>
      <w:bookmarkEnd w:id="4"/>
    </w:p>
    <w:p w14:paraId="68D7AC7F" w14:textId="77777777" w:rsidR="00621A74" w:rsidRPr="00435A3B" w:rsidRDefault="008754E5" w:rsidP="008A26DC">
      <w:r w:rsidRPr="00435A3B">
        <w:t>The Structure Samples provide examples of SDMX-ML message</w:t>
      </w:r>
      <w:r w:rsidR="00621A74" w:rsidRPr="00435A3B">
        <w:t xml:space="preserve">s within the </w:t>
      </w:r>
      <w:r w:rsidR="00621A74" w:rsidRPr="00435A3B">
        <w:rPr>
          <w:i/>
          <w:iCs/>
        </w:rPr>
        <w:t>structure</w:t>
      </w:r>
      <w:r w:rsidR="00621A74" w:rsidRPr="00435A3B">
        <w:t xml:space="preserve"> namespace</w:t>
      </w:r>
      <w:r w:rsidRPr="00435A3B">
        <w:t xml:space="preserve"> which is used </w:t>
      </w:r>
      <w:r w:rsidR="00621A74" w:rsidRPr="00435A3B">
        <w:t>for all structural metadata artefacts.</w:t>
      </w:r>
    </w:p>
    <w:p w14:paraId="350165B2" w14:textId="77777777" w:rsidR="008264E2" w:rsidRPr="00435A3B" w:rsidRDefault="008264E2" w:rsidP="008A26DC">
      <w:pPr>
        <w:rPr>
          <w:b/>
          <w:bCs/>
        </w:rPr>
      </w:pPr>
      <w:r w:rsidRPr="00435A3B">
        <w:rPr>
          <w:b/>
          <w:bCs/>
        </w:rPr>
        <w:t>Code</w:t>
      </w:r>
      <w:r w:rsidR="006119B9" w:rsidRPr="00435A3B">
        <w:rPr>
          <w:b/>
          <w:bCs/>
        </w:rPr>
        <w:t>list</w:t>
      </w:r>
    </w:p>
    <w:p w14:paraId="11A7242D" w14:textId="77777777" w:rsidR="001234BF" w:rsidRPr="00435A3B" w:rsidRDefault="008264E2" w:rsidP="001234BF">
      <w:pPr>
        <w:spacing w:before="120" w:after="120"/>
        <w:ind w:left="3686" w:hanging="3686"/>
      </w:pPr>
      <w:r w:rsidRPr="00435A3B">
        <w:t>codelist.xml</w:t>
      </w:r>
      <w:r w:rsidRPr="00435A3B">
        <w:tab/>
      </w:r>
      <w:r w:rsidR="00825E60" w:rsidRPr="00435A3B">
        <w:t>A s</w:t>
      </w:r>
      <w:r w:rsidRPr="00435A3B">
        <w:t xml:space="preserve">imple enumerated code list directly equivalent to </w:t>
      </w:r>
      <w:r w:rsidR="00825E60" w:rsidRPr="00435A3B">
        <w:t>those</w:t>
      </w:r>
      <w:r w:rsidRPr="00435A3B">
        <w:t xml:space="preserve"> in version 2.1 and earlier.</w:t>
      </w:r>
    </w:p>
    <w:p w14:paraId="542382E6" w14:textId="77777777" w:rsidR="008264E2" w:rsidRPr="00435A3B" w:rsidRDefault="00B657B4" w:rsidP="001234BF">
      <w:pPr>
        <w:spacing w:after="120"/>
        <w:ind w:left="3686"/>
      </w:pPr>
      <w:r w:rsidRPr="00435A3B">
        <w:t xml:space="preserve">This example </w:t>
      </w:r>
      <w:r w:rsidR="00825E60" w:rsidRPr="00435A3B">
        <w:t>shows</w:t>
      </w:r>
      <w:r w:rsidRPr="00435A3B">
        <w:t xml:space="preserve"> the SDMX:CL_AGE ‘Age’ cross domain code list.</w:t>
      </w:r>
    </w:p>
    <w:p w14:paraId="7161A65D" w14:textId="77777777" w:rsidR="0063075B" w:rsidRPr="00435A3B" w:rsidRDefault="008264E2" w:rsidP="0063075B">
      <w:pPr>
        <w:spacing w:after="120"/>
        <w:ind w:left="3686" w:hanging="3686"/>
      </w:pPr>
      <w:r w:rsidRPr="00435A3B">
        <w:t>codelist – extended.xml</w:t>
      </w:r>
      <w:r w:rsidRPr="00435A3B">
        <w:tab/>
        <w:t>Extended code</w:t>
      </w:r>
      <w:r w:rsidR="00B657B4" w:rsidRPr="00435A3B">
        <w:t xml:space="preserve"> </w:t>
      </w:r>
      <w:r w:rsidRPr="00435A3B">
        <w:t>list</w:t>
      </w:r>
      <w:r w:rsidR="00B657B4" w:rsidRPr="00435A3B">
        <w:t xml:space="preserve">. </w:t>
      </w:r>
    </w:p>
    <w:p w14:paraId="4A3844CE" w14:textId="77777777" w:rsidR="0063075B" w:rsidRPr="00435A3B" w:rsidRDefault="00B657B4" w:rsidP="0063075B">
      <w:pPr>
        <w:spacing w:after="120"/>
        <w:ind w:left="3686"/>
      </w:pPr>
      <w:r w:rsidRPr="00435A3B">
        <w:t>Illustration of the feature introduced in SDMX 3.0 allowing code lists to be defined as an extension of others. One use case envisaged is adding additional codes to standard cross domain code lists without needing to take</w:t>
      </w:r>
      <w:r w:rsidR="001719F2" w:rsidRPr="00435A3B">
        <w:t xml:space="preserve"> and maintain</w:t>
      </w:r>
      <w:r w:rsidRPr="00435A3B">
        <w:t xml:space="preserve"> an</w:t>
      </w:r>
      <w:r w:rsidR="001719F2" w:rsidRPr="00435A3B">
        <w:t xml:space="preserve"> explicit</w:t>
      </w:r>
      <w:r w:rsidRPr="00435A3B">
        <w:t xml:space="preserve"> copy.</w:t>
      </w:r>
    </w:p>
    <w:p w14:paraId="6BB478F6" w14:textId="77777777" w:rsidR="0063075B" w:rsidRPr="00435A3B" w:rsidRDefault="00B657B4" w:rsidP="0063075B">
      <w:pPr>
        <w:spacing w:after="120"/>
        <w:ind w:left="3686"/>
      </w:pPr>
      <w:r w:rsidRPr="00435A3B">
        <w:t>The sample message has two codelists:</w:t>
      </w:r>
    </w:p>
    <w:p w14:paraId="05916550" w14:textId="77777777" w:rsidR="0063075B" w:rsidRPr="00435A3B" w:rsidRDefault="00B657B4" w:rsidP="0063075B">
      <w:pPr>
        <w:numPr>
          <w:ilvl w:val="0"/>
          <w:numId w:val="48"/>
        </w:numPr>
        <w:spacing w:after="0"/>
      </w:pPr>
      <w:r w:rsidRPr="00435A3B">
        <w:t>SDMX:CL_AGE, a simple enumerated codelist;</w:t>
      </w:r>
      <w:r w:rsidR="0063075B" w:rsidRPr="00435A3B">
        <w:t xml:space="preserve"> and</w:t>
      </w:r>
    </w:p>
    <w:p w14:paraId="35E86FED" w14:textId="77777777" w:rsidR="0063075B" w:rsidRPr="00435A3B" w:rsidRDefault="00B657B4" w:rsidP="0063075B">
      <w:pPr>
        <w:numPr>
          <w:ilvl w:val="0"/>
          <w:numId w:val="47"/>
        </w:numPr>
        <w:spacing w:after="0"/>
      </w:pPr>
      <w:r w:rsidRPr="00435A3B">
        <w:t>EXAMPLE:CL_EXTENDED_AGE, an extension</w:t>
      </w:r>
      <w:r w:rsidR="0063075B" w:rsidRPr="00435A3B">
        <w:t xml:space="preserve"> of </w:t>
      </w:r>
      <w:r w:rsidRPr="00435A3B">
        <w:t>SDMX:CL_AGE</w:t>
      </w:r>
      <w:r w:rsidR="0063075B" w:rsidRPr="00435A3B">
        <w:t>.</w:t>
      </w:r>
    </w:p>
    <w:p w14:paraId="311AA3FA" w14:textId="77777777" w:rsidR="00B657B4" w:rsidRPr="00435A3B" w:rsidRDefault="00B657B4" w:rsidP="0063075B">
      <w:pPr>
        <w:spacing w:after="0"/>
        <w:ind w:left="3686"/>
      </w:pPr>
      <w:r w:rsidRPr="00435A3B">
        <w:br/>
      </w:r>
      <w:r w:rsidR="0063075B" w:rsidRPr="00435A3B">
        <w:t>CL_EXTENDED_AGE defines two additional codes “I” and “S”.</w:t>
      </w:r>
    </w:p>
    <w:p w14:paraId="66116F3B" w14:textId="77777777" w:rsidR="0063075B" w:rsidRPr="00435A3B" w:rsidRDefault="0063075B" w:rsidP="0063075B">
      <w:pPr>
        <w:spacing w:after="0"/>
        <w:ind w:left="3686"/>
      </w:pPr>
      <w:r w:rsidRPr="00435A3B">
        <w:t>In addition, the ExclusiveCodeSelection option to exclude the “Y” code from the CL_AGE code list. The result is CL_AGE, minus “Y”, plus “I” and “S”. The InclusiveCodeSelection option could have been used if a specific set of codes were needed from CL_AGE.</w:t>
      </w:r>
    </w:p>
    <w:p w14:paraId="45E51A3A" w14:textId="77777777" w:rsidR="001719F2" w:rsidRPr="00435A3B" w:rsidRDefault="001719F2" w:rsidP="0063075B">
      <w:pPr>
        <w:spacing w:after="0"/>
        <w:ind w:left="3686"/>
      </w:pPr>
    </w:p>
    <w:p w14:paraId="012BFD37" w14:textId="77777777" w:rsidR="001719F2" w:rsidRPr="00435A3B" w:rsidRDefault="001719F2" w:rsidP="001719F2">
      <w:pPr>
        <w:spacing w:after="120"/>
        <w:ind w:left="3686" w:hanging="3686"/>
      </w:pPr>
      <w:r w:rsidRPr="00435A3B">
        <w:t>codelist – discriminated union.xml</w:t>
      </w:r>
      <w:r w:rsidRPr="00435A3B">
        <w:tab/>
        <w:t>Discriminated union of code lists.</w:t>
      </w:r>
    </w:p>
    <w:p w14:paraId="0F9DC7CD" w14:textId="77777777" w:rsidR="001719F2" w:rsidRPr="00435A3B" w:rsidRDefault="001719F2" w:rsidP="001719F2">
      <w:pPr>
        <w:spacing w:after="120"/>
        <w:ind w:left="3686"/>
      </w:pPr>
      <w:r w:rsidRPr="00435A3B">
        <w:t>This sample illustrates the discriminated union of code lists use case</w:t>
      </w:r>
      <w:r w:rsidR="00C926C6" w:rsidRPr="00435A3B">
        <w:t xml:space="preserve"> where</w:t>
      </w:r>
      <w:r w:rsidR="008F49B6" w:rsidRPr="00435A3B">
        <w:t xml:space="preserve"> a classification or breakdown has multiple “variants” which are all valid or mutually exclusive. </w:t>
      </w:r>
    </w:p>
    <w:p w14:paraId="3306CC61" w14:textId="77777777" w:rsidR="008F49B6" w:rsidRPr="00435A3B" w:rsidRDefault="008F49B6" w:rsidP="001719F2">
      <w:pPr>
        <w:spacing w:after="120"/>
        <w:ind w:left="3686"/>
      </w:pPr>
      <w:r w:rsidRPr="00435A3B">
        <w:t>Economic activity has been used with ISIC4 and NACE2 examples of two mutually exclusive variants.</w:t>
      </w:r>
      <w:r w:rsidR="00EE3E77" w:rsidRPr="00435A3B">
        <w:t xml:space="preserve"> </w:t>
      </w:r>
    </w:p>
    <w:p w14:paraId="26DB8077" w14:textId="77777777" w:rsidR="00EE3E77" w:rsidRPr="00435A3B" w:rsidRDefault="00D3486D" w:rsidP="001719F2">
      <w:pPr>
        <w:spacing w:after="120"/>
        <w:ind w:left="3686"/>
      </w:pPr>
      <w:r w:rsidRPr="00435A3B">
        <w:t>In the sample:</w:t>
      </w:r>
    </w:p>
    <w:p w14:paraId="4DDC218B" w14:textId="77777777" w:rsidR="00EE3E77" w:rsidRPr="00435A3B" w:rsidRDefault="00EE3E77" w:rsidP="00EE3E77">
      <w:pPr>
        <w:numPr>
          <w:ilvl w:val="0"/>
          <w:numId w:val="47"/>
        </w:numPr>
        <w:spacing w:after="120"/>
      </w:pPr>
      <w:r w:rsidRPr="00435A3B">
        <w:t>Code list extension is used to create a new EXAMPLE:CL_ACTIVITY code list consisting of both the SDMX:CL_ACTIVITY_NACE2 and SDMX:CL_ACTIVITY_ISIC4 codelists.</w:t>
      </w:r>
    </w:p>
    <w:p w14:paraId="10FFBE8F" w14:textId="77777777" w:rsidR="00EE3E77" w:rsidRPr="00435A3B" w:rsidRDefault="00EE3E77" w:rsidP="00EE3E77">
      <w:pPr>
        <w:numPr>
          <w:ilvl w:val="0"/>
          <w:numId w:val="47"/>
        </w:numPr>
        <w:spacing w:after="120"/>
      </w:pPr>
      <w:r w:rsidRPr="00435A3B">
        <w:t>The code list extension prefix feature has been used to prefix the NACE codes with “NACE2_”, and similarly the ISIC codes with “ISIC4_”. This ensures there is no ambiguity where the same code appear in both NACE and ISIC code lists.</w:t>
      </w:r>
    </w:p>
    <w:p w14:paraId="3E3E22B4" w14:textId="77777777" w:rsidR="00EE3E77" w:rsidRPr="00435A3B" w:rsidRDefault="00170287" w:rsidP="00EE3E77">
      <w:pPr>
        <w:numPr>
          <w:ilvl w:val="0"/>
          <w:numId w:val="47"/>
        </w:numPr>
        <w:spacing w:after="120"/>
      </w:pPr>
      <w:r w:rsidRPr="00435A3B">
        <w:t xml:space="preserve">A data structure definition </w:t>
      </w:r>
      <w:r w:rsidR="00D3486D" w:rsidRPr="00435A3B">
        <w:t xml:space="preserve">has been created </w:t>
      </w:r>
      <w:r w:rsidRPr="00435A3B">
        <w:t>with an enumerated ACTIVITY dimension using</w:t>
      </w:r>
      <w:r w:rsidR="00D3486D" w:rsidRPr="00435A3B">
        <w:t xml:space="preserve"> the</w:t>
      </w:r>
      <w:r w:rsidRPr="00435A3B">
        <w:t xml:space="preserve"> EXAMPLE:CL_ACTIVITY code list.</w:t>
      </w:r>
    </w:p>
    <w:p w14:paraId="70C63A6A" w14:textId="77777777" w:rsidR="00170287" w:rsidRPr="00435A3B" w:rsidRDefault="00170287" w:rsidP="00EE3E77">
      <w:pPr>
        <w:numPr>
          <w:ilvl w:val="0"/>
          <w:numId w:val="47"/>
        </w:numPr>
        <w:spacing w:after="120"/>
      </w:pPr>
      <w:r w:rsidRPr="00435A3B">
        <w:t xml:space="preserve">Two data flows </w:t>
      </w:r>
      <w:r w:rsidR="00D3486D" w:rsidRPr="00435A3B">
        <w:t xml:space="preserve">are created </w:t>
      </w:r>
      <w:r w:rsidRPr="00435A3B">
        <w:t>referencing the data structure definition</w:t>
      </w:r>
      <w:r w:rsidR="00D3486D" w:rsidRPr="00435A3B">
        <w:t>. One data flow has a data constraint attached with a CubeRegion for ACTIVITY and Value = “NACE2_%”. The other has a similar data constraint with Value = “ISIC4_%”. The “%” is the wildcard character for constraints introduced in version 3.0.</w:t>
      </w:r>
    </w:p>
    <w:p w14:paraId="7FBBEB57" w14:textId="77777777" w:rsidR="00D3486D" w:rsidRPr="00435A3B" w:rsidRDefault="00BA529E" w:rsidP="00BA529E">
      <w:pPr>
        <w:spacing w:after="120"/>
        <w:ind w:left="3686"/>
      </w:pPr>
      <w:r w:rsidRPr="00435A3B">
        <w:t>The discriminated unions are achieved by requesting either of the data flows with references</w:t>
      </w:r>
      <w:proofErr w:type="gramStart"/>
      <w:r w:rsidRPr="00435A3B">
        <w:t>=”all</w:t>
      </w:r>
      <w:proofErr w:type="gramEnd"/>
      <w:r w:rsidRPr="00435A3B">
        <w:t>” and detail=”referencepartial”. The result being CL_ACTIVITY with the extensions resolved and the relevant data constraint applied. Thus CL_ACTIVITY will only contain codes prefixed according to the data flow: either beginning “NACE2_” or “ISIC4_”</w:t>
      </w:r>
    </w:p>
    <w:p w14:paraId="67406C1A" w14:textId="77777777" w:rsidR="008754E5" w:rsidRPr="00435A3B" w:rsidRDefault="005353A7" w:rsidP="005353A7">
      <w:pPr>
        <w:spacing w:after="120"/>
        <w:ind w:left="3686" w:hanging="3686"/>
      </w:pPr>
      <w:r w:rsidRPr="00435A3B">
        <w:t>valuelist.xml</w:t>
      </w:r>
      <w:r w:rsidRPr="00435A3B">
        <w:tab/>
        <w:t xml:space="preserve">A simple </w:t>
      </w:r>
      <w:r w:rsidR="00EC5BC7" w:rsidRPr="00435A3B">
        <w:t>enumerated</w:t>
      </w:r>
      <w:r w:rsidRPr="00435A3B">
        <w:t xml:space="preserve"> value list.</w:t>
      </w:r>
    </w:p>
    <w:p w14:paraId="2D801942" w14:textId="77777777" w:rsidR="00EC5BC7" w:rsidRPr="00435A3B" w:rsidRDefault="00EC5BC7" w:rsidP="00EC5BC7">
      <w:pPr>
        <w:spacing w:after="120"/>
        <w:ind w:left="3686"/>
      </w:pPr>
      <w:r w:rsidRPr="00435A3B">
        <w:t>Value lists were introduced in version 3.0 to allow the definition of enumerations where the codes do not need to comply with the strict SDMX rules for identifiers. Thus a “value” can be any string of characters.</w:t>
      </w:r>
    </w:p>
    <w:p w14:paraId="2655BD77" w14:textId="77777777" w:rsidR="004A4A34" w:rsidRPr="00435A3B" w:rsidRDefault="004A4A34" w:rsidP="00EC5BC7">
      <w:pPr>
        <w:spacing w:after="120"/>
        <w:ind w:left="3686"/>
      </w:pPr>
      <w:r w:rsidRPr="00435A3B">
        <w:t>In SDMX-ML valuelists are treated as a class of enumeration so appear in the structure message under Codelists alongside simple and extended codelists, and specialised geospatial codelist variants.</w:t>
      </w:r>
    </w:p>
    <w:p w14:paraId="42523275" w14:textId="77777777" w:rsidR="004A4A34" w:rsidRPr="00435A3B" w:rsidRDefault="004A4A34" w:rsidP="00EC5BC7">
      <w:pPr>
        <w:spacing w:after="120"/>
        <w:ind w:left="3686"/>
      </w:pPr>
      <w:r w:rsidRPr="00435A3B">
        <w:t>Currency is used as the example with the values being currency symbols including “$”, “£”, “¥” and “﷼”.</w:t>
      </w:r>
    </w:p>
    <w:p w14:paraId="66667D21" w14:textId="77777777" w:rsidR="008754E5" w:rsidRPr="00435A3B" w:rsidRDefault="008754E5" w:rsidP="008A26DC"/>
    <w:p w14:paraId="04DB57E6" w14:textId="77777777" w:rsidR="008A26DC" w:rsidRPr="00435A3B" w:rsidRDefault="006119B9" w:rsidP="008A26DC">
      <w:pPr>
        <w:rPr>
          <w:b/>
          <w:bCs/>
        </w:rPr>
      </w:pPr>
      <w:r w:rsidRPr="00435A3B">
        <w:rPr>
          <w:b/>
          <w:bCs/>
        </w:rPr>
        <w:t>Concept Scheme</w:t>
      </w:r>
    </w:p>
    <w:p w14:paraId="6DC7BE29" w14:textId="77777777" w:rsidR="00D41DFD" w:rsidRPr="00435A3B" w:rsidRDefault="006119B9" w:rsidP="00D41DFD">
      <w:pPr>
        <w:spacing w:after="120"/>
        <w:ind w:left="3686" w:hanging="3686"/>
      </w:pPr>
      <w:r w:rsidRPr="00435A3B">
        <w:t>conceptscheme.xml</w:t>
      </w:r>
      <w:r w:rsidRPr="00435A3B">
        <w:tab/>
      </w:r>
      <w:r w:rsidR="00D41DFD" w:rsidRPr="00435A3B">
        <w:t xml:space="preserve">The example illustrates a single concept scheme </w:t>
      </w:r>
      <w:proofErr w:type="gramStart"/>
      <w:r w:rsidR="00D41DFD" w:rsidRPr="00435A3B">
        <w:t>ECB:ECB</w:t>
      </w:r>
      <w:proofErr w:type="gramEnd"/>
      <w:r w:rsidR="00D41DFD" w:rsidRPr="00435A3B">
        <w:t>_CONCEPTS containing multiple individual concepts.</w:t>
      </w:r>
    </w:p>
    <w:p w14:paraId="22D72029" w14:textId="77777777" w:rsidR="00D41DFD" w:rsidRPr="00435A3B" w:rsidRDefault="00D41DFD" w:rsidP="00D41DFD">
      <w:pPr>
        <w:spacing w:after="120"/>
        <w:ind w:left="3686"/>
      </w:pPr>
    </w:p>
    <w:p w14:paraId="31F982B6" w14:textId="77777777" w:rsidR="00D41DFD" w:rsidRPr="00435A3B" w:rsidRDefault="00D41DFD" w:rsidP="00D41DFD">
      <w:pPr>
        <w:keepNext/>
        <w:keepLines/>
        <w:rPr>
          <w:b/>
          <w:bCs/>
        </w:rPr>
      </w:pPr>
      <w:r w:rsidRPr="00435A3B">
        <w:rPr>
          <w:b/>
          <w:bCs/>
        </w:rPr>
        <w:t>Data Structure Definition</w:t>
      </w:r>
    </w:p>
    <w:p w14:paraId="4C185456" w14:textId="77777777" w:rsidR="007B35F5" w:rsidRPr="00435A3B" w:rsidRDefault="00D41DFD" w:rsidP="00D41DFD">
      <w:pPr>
        <w:keepNext/>
        <w:keepLines/>
        <w:spacing w:after="120"/>
        <w:ind w:left="3686" w:hanging="3686"/>
      </w:pPr>
      <w:r w:rsidRPr="00435A3B">
        <w:t>datastructuredefinition.xml</w:t>
      </w:r>
      <w:r w:rsidRPr="00435A3B">
        <w:tab/>
        <w:t xml:space="preserve">The example illustrates a data structure definition (DSD) for </w:t>
      </w:r>
      <w:proofErr w:type="gramStart"/>
      <w:r w:rsidRPr="00435A3B">
        <w:t>ECB:EXR</w:t>
      </w:r>
      <w:proofErr w:type="gramEnd"/>
      <w:r w:rsidRPr="00435A3B">
        <w:t xml:space="preserve"> exchange rates. The concept of primary measure has been deprecated in SDMX 3.0 and </w:t>
      </w:r>
      <w:r w:rsidR="0059339B" w:rsidRPr="00435A3B">
        <w:t xml:space="preserve">the </w:t>
      </w:r>
      <w:r w:rsidRPr="00435A3B">
        <w:t xml:space="preserve">DSD’s MeasureList can contain multiple measures. In this case, </w:t>
      </w:r>
      <w:r w:rsidR="007B35F5" w:rsidRPr="00435A3B">
        <w:t>a single measure OBS_VALUE is defined.</w:t>
      </w:r>
    </w:p>
    <w:p w14:paraId="5C684760" w14:textId="77777777" w:rsidR="0059339B" w:rsidRPr="00435A3B" w:rsidRDefault="0059339B" w:rsidP="00D41DFD">
      <w:pPr>
        <w:keepNext/>
        <w:keepLines/>
        <w:spacing w:after="120"/>
        <w:ind w:left="3686" w:hanging="3686"/>
      </w:pPr>
    </w:p>
    <w:p w14:paraId="27870970" w14:textId="77777777" w:rsidR="0059339B" w:rsidRPr="00435A3B" w:rsidRDefault="003147CF" w:rsidP="00D41DFD">
      <w:pPr>
        <w:keepNext/>
        <w:keepLines/>
        <w:spacing w:after="120"/>
        <w:ind w:left="3686" w:hanging="3686"/>
        <w:rPr>
          <w:b/>
          <w:bCs/>
        </w:rPr>
      </w:pPr>
      <w:r w:rsidRPr="00435A3B">
        <w:rPr>
          <w:b/>
          <w:bCs/>
        </w:rPr>
        <w:t>Dataflow</w:t>
      </w:r>
    </w:p>
    <w:p w14:paraId="0281E62F" w14:textId="77777777" w:rsidR="003147CF" w:rsidRPr="00435A3B" w:rsidRDefault="003147CF" w:rsidP="00D41DFD">
      <w:pPr>
        <w:keepNext/>
        <w:keepLines/>
        <w:spacing w:after="120"/>
        <w:ind w:left="3686" w:hanging="3686"/>
      </w:pPr>
      <w:r w:rsidRPr="00435A3B">
        <w:t>dataflow.xml</w:t>
      </w:r>
      <w:r w:rsidRPr="00435A3B">
        <w:tab/>
        <w:t xml:space="preserve">A simple data flow for the </w:t>
      </w:r>
      <w:proofErr w:type="gramStart"/>
      <w:r w:rsidRPr="00435A3B">
        <w:t>ECB:EXR</w:t>
      </w:r>
      <w:proofErr w:type="gramEnd"/>
      <w:r w:rsidRPr="00435A3B">
        <w:t xml:space="preserve"> data set.</w:t>
      </w:r>
    </w:p>
    <w:p w14:paraId="4C683A0B" w14:textId="77777777" w:rsidR="0000644C" w:rsidRPr="00435A3B" w:rsidRDefault="0000644C" w:rsidP="00D41DFD">
      <w:pPr>
        <w:keepNext/>
        <w:keepLines/>
        <w:spacing w:after="120"/>
        <w:ind w:left="3686" w:hanging="3686"/>
        <w:rPr>
          <w:b/>
          <w:bCs/>
        </w:rPr>
      </w:pPr>
    </w:p>
    <w:p w14:paraId="55878ED7" w14:textId="77777777" w:rsidR="003147CF" w:rsidRPr="00435A3B" w:rsidRDefault="0000644C" w:rsidP="00D41DFD">
      <w:pPr>
        <w:keepNext/>
        <w:keepLines/>
        <w:spacing w:after="120"/>
        <w:ind w:left="3686" w:hanging="3686"/>
        <w:rPr>
          <w:b/>
          <w:bCs/>
        </w:rPr>
      </w:pPr>
      <w:r w:rsidRPr="00435A3B">
        <w:rPr>
          <w:b/>
          <w:bCs/>
        </w:rPr>
        <w:t>Geospatial</w:t>
      </w:r>
    </w:p>
    <w:p w14:paraId="4C7FAC97" w14:textId="77777777" w:rsidR="00D41DFD" w:rsidRPr="00435A3B" w:rsidRDefault="0000644C" w:rsidP="00D41DFD">
      <w:pPr>
        <w:keepNext/>
        <w:keepLines/>
        <w:spacing w:after="120"/>
        <w:ind w:left="3686" w:hanging="3686"/>
      </w:pPr>
      <w:r w:rsidRPr="00435A3B">
        <w:t>geospatial geocomponents.xml</w:t>
      </w:r>
      <w:r w:rsidRPr="00435A3B">
        <w:tab/>
        <w:t xml:space="preserve">An example of the use of the “GeospatialInformation” </w:t>
      </w:r>
      <w:r w:rsidR="008E02C4" w:rsidRPr="00435A3B">
        <w:t xml:space="preserve">representation </w:t>
      </w:r>
      <w:r w:rsidRPr="00435A3B">
        <w:t xml:space="preserve">type. </w:t>
      </w:r>
      <w:r w:rsidR="00D41DFD" w:rsidRPr="00435A3B">
        <w:t xml:space="preserve"> </w:t>
      </w:r>
      <w:r w:rsidR="00FC2EED" w:rsidRPr="00435A3B">
        <w:t xml:space="preserve">The GeospatialInformation type can be assigned to a Dimension, DataAttribute, MetadataAttribute or a Measure </w:t>
      </w:r>
      <w:r w:rsidR="009E7413" w:rsidRPr="00435A3B">
        <w:t>in conjunction with</w:t>
      </w:r>
      <w:r w:rsidR="00FC2EED" w:rsidRPr="00435A3B">
        <w:t xml:space="preserve"> the "GEO"</w:t>
      </w:r>
      <w:r w:rsidR="009E7413" w:rsidRPr="00435A3B">
        <w:t xml:space="preserve"> role. V</w:t>
      </w:r>
      <w:r w:rsidR="00FC2EED" w:rsidRPr="00435A3B">
        <w:t xml:space="preserve">alues </w:t>
      </w:r>
      <w:r w:rsidR="008E02C4" w:rsidRPr="00435A3B">
        <w:t xml:space="preserve">of </w:t>
      </w:r>
      <w:r w:rsidR="009E7413" w:rsidRPr="00435A3B">
        <w:t xml:space="preserve">are </w:t>
      </w:r>
      <w:r w:rsidR="00FC2EED" w:rsidRPr="00435A3B">
        <w:t xml:space="preserve">included </w:t>
      </w:r>
      <w:r w:rsidR="008E02C4" w:rsidRPr="00435A3B">
        <w:t xml:space="preserve">directly </w:t>
      </w:r>
      <w:r w:rsidR="00FC2EED" w:rsidRPr="00435A3B">
        <w:t>in</w:t>
      </w:r>
      <w:r w:rsidR="009E7413" w:rsidRPr="00435A3B">
        <w:t xml:space="preserve"> </w:t>
      </w:r>
      <w:r w:rsidR="00FC2EED" w:rsidRPr="00435A3B">
        <w:t>data message</w:t>
      </w:r>
      <w:r w:rsidR="009E7413" w:rsidRPr="00435A3B">
        <w:t>s</w:t>
      </w:r>
      <w:r w:rsidR="00FC2EED" w:rsidRPr="00435A3B">
        <w:t xml:space="preserve"> or</w:t>
      </w:r>
      <w:r w:rsidR="009E7413" w:rsidRPr="00435A3B">
        <w:t xml:space="preserve"> </w:t>
      </w:r>
      <w:r w:rsidR="00FC2EED" w:rsidRPr="00435A3B">
        <w:t>metadata report</w:t>
      </w:r>
      <w:r w:rsidR="009E7413" w:rsidRPr="00435A3B">
        <w:t>s</w:t>
      </w:r>
      <w:r w:rsidR="006C3404" w:rsidRPr="00435A3B">
        <w:t xml:space="preserve"> and must conform to the Geo Feature Set syntax defined in Section 6 of the Technical Specifications.</w:t>
      </w:r>
    </w:p>
    <w:p w14:paraId="590CF891" w14:textId="77777777" w:rsidR="009E7413" w:rsidRPr="00435A3B" w:rsidRDefault="009E7413" w:rsidP="009E7413">
      <w:pPr>
        <w:spacing w:after="120"/>
        <w:ind w:left="3686"/>
      </w:pPr>
      <w:r w:rsidRPr="00435A3B">
        <w:t>In the sample:</w:t>
      </w:r>
    </w:p>
    <w:p w14:paraId="61A8B91A" w14:textId="77777777" w:rsidR="009E7413" w:rsidRPr="00435A3B" w:rsidRDefault="00ED4D4C" w:rsidP="009E7413">
      <w:pPr>
        <w:numPr>
          <w:ilvl w:val="0"/>
          <w:numId w:val="47"/>
        </w:numPr>
        <w:spacing w:after="120"/>
      </w:pPr>
      <w:r w:rsidRPr="00435A3B">
        <w:t xml:space="preserve">A simple </w:t>
      </w:r>
      <w:r w:rsidR="008E02C4" w:rsidRPr="00435A3B">
        <w:t xml:space="preserve">illustrative </w:t>
      </w:r>
      <w:r w:rsidRPr="00435A3B">
        <w:t>data structure definition has been defined</w:t>
      </w:r>
      <w:r w:rsidR="006C3404" w:rsidRPr="00435A3B">
        <w:t xml:space="preserve"> with IDENTIFIER and TIME_PERIOD dimensions, plus a series attribute</w:t>
      </w:r>
      <w:r w:rsidR="008E02C4" w:rsidRPr="00435A3B">
        <w:t xml:space="preserve"> </w:t>
      </w:r>
      <w:r w:rsidR="006C3404" w:rsidRPr="00435A3B">
        <w:t>AREA.</w:t>
      </w:r>
    </w:p>
    <w:p w14:paraId="20D1FFE7" w14:textId="77777777" w:rsidR="006C3404" w:rsidRPr="00435A3B" w:rsidRDefault="006C3404" w:rsidP="006C3404">
      <w:pPr>
        <w:numPr>
          <w:ilvl w:val="0"/>
          <w:numId w:val="47"/>
        </w:numPr>
        <w:spacing w:after="120"/>
      </w:pPr>
      <w:r w:rsidRPr="00435A3B">
        <w:t>The AREA attribute has the SDMX Concept Role “GEO” defined</w:t>
      </w:r>
      <w:r w:rsidR="008E02C4" w:rsidRPr="00435A3B">
        <w:t xml:space="preserve"> identifying it generally as a geospatial component following guidelines.</w:t>
      </w:r>
    </w:p>
    <w:p w14:paraId="3352F226" w14:textId="77777777" w:rsidR="008E02C4" w:rsidRPr="00435A3B" w:rsidRDefault="008E02C4" w:rsidP="008E02C4">
      <w:pPr>
        <w:numPr>
          <w:ilvl w:val="0"/>
          <w:numId w:val="47"/>
        </w:numPr>
        <w:spacing w:after="120"/>
      </w:pPr>
      <w:r w:rsidRPr="00435A3B">
        <w:t xml:space="preserve">The AREA attribute </w:t>
      </w:r>
      <w:r w:rsidR="0096085F" w:rsidRPr="00435A3B">
        <w:t xml:space="preserve">also </w:t>
      </w:r>
      <w:r w:rsidRPr="00435A3B">
        <w:t>carries a LocalRepresentation with textType</w:t>
      </w:r>
      <w:proofErr w:type="gramStart"/>
      <w:r w:rsidRPr="00435A3B">
        <w:t>=”GeospatialInformation</w:t>
      </w:r>
      <w:proofErr w:type="gramEnd"/>
      <w:r w:rsidRPr="00435A3B">
        <w:t>”.</w:t>
      </w:r>
    </w:p>
    <w:p w14:paraId="10205C3F" w14:textId="77777777" w:rsidR="004B29A2" w:rsidRPr="00435A3B" w:rsidRDefault="004B29A2" w:rsidP="004B29A2">
      <w:pPr>
        <w:spacing w:after="120"/>
      </w:pPr>
    </w:p>
    <w:p w14:paraId="447F9874" w14:textId="77777777" w:rsidR="004B29A2" w:rsidRPr="00435A3B" w:rsidRDefault="004B29A2" w:rsidP="004B29A2">
      <w:pPr>
        <w:keepNext/>
        <w:keepLines/>
        <w:spacing w:after="120"/>
        <w:ind w:left="3686" w:hanging="3686"/>
      </w:pPr>
      <w:r w:rsidRPr="00435A3B">
        <w:t>geospatial geographiccodelist.xml</w:t>
      </w:r>
      <w:r w:rsidRPr="00435A3B">
        <w:tab/>
        <w:t>An example of the definition of GeographicCodelists, a specialised form of code list introduced in SDMX 3.0. GeographicCodelists are used in the same was as simple code lists to assign a closed enumerated list of values to a component. The difference being that</w:t>
      </w:r>
      <w:r w:rsidR="00975908" w:rsidRPr="00435A3B">
        <w:t xml:space="preserve"> the definition of</w:t>
      </w:r>
      <w:r w:rsidRPr="00435A3B">
        <w:t xml:space="preserve"> each </w:t>
      </w:r>
      <w:r w:rsidR="006E402F" w:rsidRPr="00435A3B">
        <w:t>GeoFeatureSetCode</w:t>
      </w:r>
      <w:r w:rsidRPr="00435A3B">
        <w:t xml:space="preserve"> </w:t>
      </w:r>
      <w:r w:rsidR="00975908" w:rsidRPr="00435A3B">
        <w:t>explicitly specifies the</w:t>
      </w:r>
      <w:r w:rsidRPr="00435A3B">
        <w:t xml:space="preserve"> geospatial features</w:t>
      </w:r>
      <w:r w:rsidR="00975908" w:rsidRPr="00435A3B">
        <w:t xml:space="preserve"> to which it </w:t>
      </w:r>
      <w:r w:rsidR="007C1A78" w:rsidRPr="00435A3B">
        <w:t>relates</w:t>
      </w:r>
      <w:r w:rsidRPr="00435A3B">
        <w:t xml:space="preserve"> as a string </w:t>
      </w:r>
      <w:r w:rsidR="008D718D" w:rsidRPr="00435A3B">
        <w:t xml:space="preserve">expression </w:t>
      </w:r>
      <w:r w:rsidR="007926E6" w:rsidRPr="00435A3B">
        <w:t xml:space="preserve">using the Geo Feature Set syntax set out in Section 6 of the Technical Specifications. </w:t>
      </w:r>
      <w:r w:rsidR="00357B44" w:rsidRPr="00435A3B">
        <w:t xml:space="preserve">As with any other coded component, data sets only contain the codes and not the Feature Set information itself. </w:t>
      </w:r>
      <w:r w:rsidR="008D718D" w:rsidRPr="00435A3B">
        <w:t>Thus,</w:t>
      </w:r>
      <w:r w:rsidR="00357B44" w:rsidRPr="00435A3B">
        <w:t xml:space="preserve"> GeoFeatureSetCodes act as pointers to the Geo Feature Set information</w:t>
      </w:r>
      <w:r w:rsidR="006E402F" w:rsidRPr="00435A3B">
        <w:t xml:space="preserve"> held in the GeographicCodelist.</w:t>
      </w:r>
    </w:p>
    <w:p w14:paraId="6E08837D" w14:textId="77777777" w:rsidR="000600AA" w:rsidRPr="00435A3B" w:rsidRDefault="000600AA" w:rsidP="000600AA">
      <w:pPr>
        <w:spacing w:after="120"/>
        <w:ind w:left="3686"/>
      </w:pPr>
      <w:r w:rsidRPr="00435A3B">
        <w:t>In the sample:</w:t>
      </w:r>
    </w:p>
    <w:p w14:paraId="57A93B15" w14:textId="77777777" w:rsidR="000600AA" w:rsidRPr="00435A3B" w:rsidRDefault="000600AA" w:rsidP="000600AA">
      <w:pPr>
        <w:numPr>
          <w:ilvl w:val="0"/>
          <w:numId w:val="47"/>
        </w:numPr>
        <w:spacing w:after="120"/>
      </w:pPr>
      <w:r w:rsidRPr="00435A3B">
        <w:t xml:space="preserve">A single illustrative GeographicCodelist has been defined which </w:t>
      </w:r>
      <w:r w:rsidR="00E70D15" w:rsidRPr="00435A3B">
        <w:t>must be</w:t>
      </w:r>
      <w:r w:rsidRPr="00435A3B">
        <w:t xml:space="preserve"> under Codelists in the structure message.</w:t>
      </w:r>
    </w:p>
    <w:p w14:paraId="124C8B65" w14:textId="77777777" w:rsidR="000600AA" w:rsidRPr="00435A3B" w:rsidRDefault="000600AA" w:rsidP="000600AA">
      <w:pPr>
        <w:numPr>
          <w:ilvl w:val="0"/>
          <w:numId w:val="47"/>
        </w:numPr>
        <w:spacing w:after="120"/>
      </w:pPr>
      <w:r w:rsidRPr="00435A3B">
        <w:t xml:space="preserve">The GeographicCodelist geoType attribute must be </w:t>
      </w:r>
      <w:r w:rsidR="00AE3491" w:rsidRPr="00435A3B">
        <w:t>given the value of “GeographicCodelist”.</w:t>
      </w:r>
    </w:p>
    <w:p w14:paraId="1D8C5159" w14:textId="77777777" w:rsidR="00AE3491" w:rsidRPr="00435A3B" w:rsidRDefault="0089308F" w:rsidP="000600AA">
      <w:pPr>
        <w:numPr>
          <w:ilvl w:val="0"/>
          <w:numId w:val="47"/>
        </w:numPr>
        <w:spacing w:after="120"/>
      </w:pPr>
      <w:r w:rsidRPr="00435A3B">
        <w:t>Three illustrative GeoFeatureSetCodes have been defined with IDs “A1”, “A2” and “A3”.</w:t>
      </w:r>
    </w:p>
    <w:p w14:paraId="2B198AE4" w14:textId="77777777" w:rsidR="0089308F" w:rsidRPr="00435A3B" w:rsidRDefault="0089308F" w:rsidP="000600AA">
      <w:pPr>
        <w:numPr>
          <w:ilvl w:val="0"/>
          <w:numId w:val="47"/>
        </w:numPr>
        <w:spacing w:after="120"/>
      </w:pPr>
      <w:r w:rsidRPr="00435A3B">
        <w:t xml:space="preserve">The GeoFeatureSetCode Value attribute specifies the geospatial features to which the code </w:t>
      </w:r>
      <w:r w:rsidR="003A30FE" w:rsidRPr="00435A3B">
        <w:t>relates</w:t>
      </w:r>
      <w:r w:rsidR="008D718D" w:rsidRPr="00435A3B">
        <w:t xml:space="preserve"> as a string expression</w:t>
      </w:r>
      <w:r w:rsidRPr="00435A3B">
        <w:t xml:space="preserve">. Note that the </w:t>
      </w:r>
      <w:r w:rsidR="008C0335" w:rsidRPr="00435A3B">
        <w:t xml:space="preserve">values </w:t>
      </w:r>
      <w:r w:rsidRPr="00435A3B">
        <w:t>shown are conceptual examples and are not syntactically valid Geo Feature Set</w:t>
      </w:r>
      <w:r w:rsidR="008C0335" w:rsidRPr="00435A3B">
        <w:t xml:space="preserve"> expressions.</w:t>
      </w:r>
    </w:p>
    <w:p w14:paraId="0DF21237" w14:textId="77777777" w:rsidR="008E02C4" w:rsidRPr="00435A3B" w:rsidRDefault="008E02C4" w:rsidP="0096085F">
      <w:pPr>
        <w:spacing w:after="120"/>
        <w:ind w:left="4046"/>
      </w:pPr>
    </w:p>
    <w:p w14:paraId="1AB1831A" w14:textId="77777777" w:rsidR="00E312F7" w:rsidRPr="00435A3B" w:rsidRDefault="0008012D" w:rsidP="00E312F7">
      <w:pPr>
        <w:keepNext/>
        <w:keepLines/>
        <w:spacing w:after="120"/>
        <w:ind w:left="3686" w:hanging="3686"/>
      </w:pPr>
      <w:r w:rsidRPr="00435A3B">
        <w:t>geospatial geogridcodelist.xml</w:t>
      </w:r>
      <w:r w:rsidRPr="00435A3B">
        <w:tab/>
        <w:t xml:space="preserve">An example of the definition of GeoGridCodelists, the second specialised form of codelist for modelling </w:t>
      </w:r>
      <w:r w:rsidR="00E312F7" w:rsidRPr="00435A3B">
        <w:t>gridded geo</w:t>
      </w:r>
      <w:r w:rsidR="00E8704A" w:rsidRPr="00435A3B">
        <w:t xml:space="preserve">graphies. </w:t>
      </w:r>
      <w:r w:rsidR="00E8704A" w:rsidRPr="00435A3B">
        <w:br/>
      </w:r>
      <w:r w:rsidR="00E312F7" w:rsidRPr="00435A3B">
        <w:t>Like GeographicCodelists, GeoGridCodelists act in the same way as simple code lists</w:t>
      </w:r>
      <w:r w:rsidR="008D718D" w:rsidRPr="00435A3B">
        <w:t xml:space="preserve"> to assign a closed enumerated list of values to a component.</w:t>
      </w:r>
      <w:r w:rsidR="008D718D" w:rsidRPr="00435A3B">
        <w:br/>
        <w:t xml:space="preserve">GeoGridCodelists define a geographical grid by setting the X and Y coordinates of a reference point, and the dimensions of each cell. </w:t>
      </w:r>
      <w:r w:rsidR="005C740D" w:rsidRPr="00435A3B">
        <w:t>In addition, e</w:t>
      </w:r>
      <w:r w:rsidR="008D718D" w:rsidRPr="00435A3B">
        <w:t>ach GeoGridCode specifies to which cell in the grid it relates using row and column numbers.</w:t>
      </w:r>
    </w:p>
    <w:p w14:paraId="26FF3BFD" w14:textId="77777777" w:rsidR="008D718D" w:rsidRPr="00435A3B" w:rsidRDefault="008D718D" w:rsidP="008D718D">
      <w:pPr>
        <w:spacing w:after="120"/>
        <w:ind w:left="3686"/>
      </w:pPr>
      <w:r w:rsidRPr="00435A3B">
        <w:t>In the sample:</w:t>
      </w:r>
    </w:p>
    <w:p w14:paraId="28AD0D96" w14:textId="77777777" w:rsidR="008D718D" w:rsidRPr="00435A3B" w:rsidRDefault="008D718D" w:rsidP="008D718D">
      <w:pPr>
        <w:numPr>
          <w:ilvl w:val="0"/>
          <w:numId w:val="47"/>
        </w:numPr>
        <w:spacing w:after="120"/>
      </w:pPr>
      <w:r w:rsidRPr="00435A3B">
        <w:t xml:space="preserve">A single illustrative GeoGridCodelist has been defined which </w:t>
      </w:r>
      <w:r w:rsidR="00E70D15" w:rsidRPr="00435A3B">
        <w:t>must be</w:t>
      </w:r>
      <w:r w:rsidRPr="00435A3B">
        <w:t xml:space="preserve"> under Codelists in the structure message.</w:t>
      </w:r>
    </w:p>
    <w:p w14:paraId="11EF0192" w14:textId="77777777" w:rsidR="008D718D" w:rsidRPr="00435A3B" w:rsidRDefault="008D718D" w:rsidP="008D718D">
      <w:pPr>
        <w:numPr>
          <w:ilvl w:val="0"/>
          <w:numId w:val="47"/>
        </w:numPr>
        <w:spacing w:after="120"/>
      </w:pPr>
      <w:r w:rsidRPr="00435A3B">
        <w:t xml:space="preserve">The GridDefinition element defines the grid for the code list using a string expression conforming to the </w:t>
      </w:r>
      <w:r w:rsidR="00CE3753" w:rsidRPr="00435A3B">
        <w:t xml:space="preserve">Geo Grid </w:t>
      </w:r>
      <w:r w:rsidRPr="00435A3B">
        <w:t>syntax set out in Section 6 of the Technical Specifications.</w:t>
      </w:r>
    </w:p>
    <w:p w14:paraId="191BFBDC" w14:textId="77777777" w:rsidR="005C740D" w:rsidRPr="00435A3B" w:rsidRDefault="005C740D" w:rsidP="005C740D">
      <w:pPr>
        <w:numPr>
          <w:ilvl w:val="0"/>
          <w:numId w:val="47"/>
        </w:numPr>
        <w:spacing w:after="120"/>
      </w:pPr>
      <w:r w:rsidRPr="00435A3B">
        <w:t>Each GeoGridCode has an ID and a Name in common with the codes of simple code lists, but also has a GeoCell element containing the row and column of the grid cell as a string expression using the Grid Cell syntax set out in Section 6 of the Technical Specifications.</w:t>
      </w:r>
    </w:p>
    <w:p w14:paraId="6199D4C7" w14:textId="77777777" w:rsidR="00F60D2E" w:rsidRPr="00435A3B" w:rsidRDefault="00F60D2E" w:rsidP="00F60D2E">
      <w:pPr>
        <w:spacing w:after="120"/>
      </w:pPr>
    </w:p>
    <w:p w14:paraId="6584B66D" w14:textId="77777777" w:rsidR="00F60D2E" w:rsidRPr="00435A3B" w:rsidRDefault="00F60D2E" w:rsidP="00F60D2E">
      <w:pPr>
        <w:spacing w:after="120"/>
        <w:rPr>
          <w:b/>
          <w:bCs/>
        </w:rPr>
      </w:pPr>
      <w:r w:rsidRPr="00435A3B">
        <w:rPr>
          <w:b/>
          <w:bCs/>
        </w:rPr>
        <w:t>VTL Transformations</w:t>
      </w:r>
    </w:p>
    <w:p w14:paraId="2F574F29" w14:textId="77777777" w:rsidR="00F60D2E" w:rsidRPr="00435A3B" w:rsidRDefault="00F60D2E" w:rsidP="00F60D2E">
      <w:pPr>
        <w:keepNext/>
        <w:keepLines/>
        <w:spacing w:after="120"/>
        <w:ind w:left="3686" w:hanging="3686"/>
      </w:pPr>
      <w:r w:rsidRPr="00435A3B">
        <w:t>VTL Sample 1.xml</w:t>
      </w:r>
      <w:r w:rsidRPr="00435A3B">
        <w:tab/>
        <w:t xml:space="preserve">Illustrates the use of VTL Rulesets to validate an SDMX dataflow. The validation process </w:t>
      </w:r>
      <w:r w:rsidR="0072533F" w:rsidRPr="00435A3B">
        <w:t xml:space="preserve">adds additional identifiers and measures to the resulting VTL dataset indicating, on a </w:t>
      </w:r>
      <w:proofErr w:type="gramStart"/>
      <w:r w:rsidR="0072533F" w:rsidRPr="00435A3B">
        <w:t>row by row</w:t>
      </w:r>
      <w:proofErr w:type="gramEnd"/>
      <w:r w:rsidR="0072533F" w:rsidRPr="00435A3B">
        <w:t xml:space="preserve"> basis the validation rule applied and the outcome in terms of a valid / invalid. If invalid, details of the error </w:t>
      </w:r>
      <w:proofErr w:type="gramStart"/>
      <w:r w:rsidR="0072533F" w:rsidRPr="00435A3B">
        <w:t>found</w:t>
      </w:r>
      <w:proofErr w:type="gramEnd"/>
      <w:r w:rsidR="0072533F" w:rsidRPr="00435A3B">
        <w:t xml:space="preserve"> and its severity are </w:t>
      </w:r>
      <w:r w:rsidR="00CA184B" w:rsidRPr="00435A3B">
        <w:t>added.</w:t>
      </w:r>
    </w:p>
    <w:p w14:paraId="4384B063" w14:textId="77777777" w:rsidR="0072533F" w:rsidRPr="00435A3B" w:rsidRDefault="0072533F" w:rsidP="0072533F">
      <w:pPr>
        <w:spacing w:after="120"/>
        <w:ind w:left="3686"/>
      </w:pPr>
      <w:r w:rsidRPr="00435A3B">
        <w:t xml:space="preserve">A second transformation takes the resulting dataset filtering out high-severity validation errors and </w:t>
      </w:r>
      <w:r w:rsidR="00162939" w:rsidRPr="00435A3B">
        <w:t>persists</w:t>
      </w:r>
      <w:r w:rsidRPr="00435A3B">
        <w:t xml:space="preserve"> the result back to a SDMX dataflow using VTL</w:t>
      </w:r>
      <w:r w:rsidR="004A03F3" w:rsidRPr="00435A3B">
        <w:t xml:space="preserve"> mappings.</w:t>
      </w:r>
    </w:p>
    <w:p w14:paraId="546F8D4C" w14:textId="77777777" w:rsidR="00CA184B" w:rsidRPr="00435A3B" w:rsidRDefault="00D93DFB" w:rsidP="00CA184B">
      <w:pPr>
        <w:keepNext/>
        <w:keepLines/>
        <w:spacing w:after="120"/>
        <w:ind w:left="3686" w:hanging="3686"/>
      </w:pPr>
      <w:r w:rsidRPr="00435A3B">
        <w:t>VTL Sample 2.xml</w:t>
      </w:r>
      <w:r w:rsidRPr="00435A3B">
        <w:tab/>
      </w:r>
      <w:r w:rsidR="00804A9D" w:rsidRPr="00435A3B">
        <w:t xml:space="preserve">Illustrates aggregation </w:t>
      </w:r>
      <w:r w:rsidR="00CA184B" w:rsidRPr="00435A3B">
        <w:t xml:space="preserve">of an SDMX dataflow </w:t>
      </w:r>
      <w:r w:rsidR="00804A9D" w:rsidRPr="00435A3B">
        <w:t>using VTL hierarchical rulesets</w:t>
      </w:r>
      <w:r w:rsidR="00162939" w:rsidRPr="00435A3B">
        <w:t xml:space="preserve">, </w:t>
      </w:r>
      <w:proofErr w:type="gramStart"/>
      <w:r w:rsidR="00162939" w:rsidRPr="00435A3B">
        <w:t>filtering</w:t>
      </w:r>
      <w:proofErr w:type="gramEnd"/>
      <w:r w:rsidR="00162939" w:rsidRPr="00435A3B">
        <w:t xml:space="preserve"> and user defined operators.</w:t>
      </w:r>
    </w:p>
    <w:p w14:paraId="568C7373" w14:textId="77777777" w:rsidR="00F649B3" w:rsidRPr="00435A3B" w:rsidRDefault="00162939" w:rsidP="00CA184B">
      <w:pPr>
        <w:keepNext/>
        <w:keepLines/>
        <w:spacing w:after="120"/>
        <w:ind w:left="3686"/>
      </w:pPr>
      <w:r w:rsidRPr="00435A3B">
        <w:t xml:space="preserve">After the initial aggregation, </w:t>
      </w:r>
      <w:r w:rsidR="00804A9D" w:rsidRPr="00435A3B">
        <w:t>unaggregated observations removed</w:t>
      </w:r>
      <w:r w:rsidRPr="00435A3B">
        <w:t xml:space="preserve"> are removed from the result dataset</w:t>
      </w:r>
      <w:r w:rsidR="00804A9D" w:rsidRPr="00435A3B">
        <w:t xml:space="preserve">. A user defined operator </w:t>
      </w:r>
      <w:r w:rsidR="00F649B3" w:rsidRPr="00435A3B">
        <w:t xml:space="preserve">is </w:t>
      </w:r>
      <w:r w:rsidRPr="00435A3B">
        <w:t xml:space="preserve">subsequently </w:t>
      </w:r>
      <w:r w:rsidR="00F649B3" w:rsidRPr="00435A3B">
        <w:t>applied to calculate a percentage measure with the final persistent result mapped from VTL to a SDMX dataflow.</w:t>
      </w:r>
    </w:p>
    <w:p w14:paraId="6535F09F" w14:textId="77777777" w:rsidR="00D93DFB" w:rsidRPr="00435A3B" w:rsidRDefault="00F649B3" w:rsidP="00D93DFB">
      <w:pPr>
        <w:keepNext/>
        <w:keepLines/>
        <w:spacing w:after="120"/>
        <w:ind w:left="3686" w:hanging="3686"/>
      </w:pPr>
      <w:r w:rsidRPr="00435A3B">
        <w:t>VTL Sample 3.xml</w:t>
      </w:r>
      <w:r w:rsidRPr="00435A3B">
        <w:tab/>
      </w:r>
      <w:r w:rsidR="00F854F3" w:rsidRPr="00435A3B">
        <w:t xml:space="preserve">Illustrates the calculation of a GDP per capita dataset from an input mapped SDMX dataflow containing GDP and population indicators on a </w:t>
      </w:r>
      <w:proofErr w:type="gramStart"/>
      <w:r w:rsidR="00F854F3" w:rsidRPr="00435A3B">
        <w:t>country by country</w:t>
      </w:r>
      <w:proofErr w:type="gramEnd"/>
      <w:r w:rsidR="00F854F3" w:rsidRPr="00435A3B">
        <w:t xml:space="preserve"> basis.</w:t>
      </w:r>
      <w:r w:rsidRPr="00435A3B">
        <w:t xml:space="preserve"> </w:t>
      </w:r>
    </w:p>
    <w:p w14:paraId="615CE88A" w14:textId="77777777" w:rsidR="008A26DC" w:rsidRPr="00435A3B" w:rsidRDefault="008A26DC" w:rsidP="008A26DC">
      <w:pPr>
        <w:pStyle w:val="Heading1"/>
      </w:pPr>
      <w:bookmarkStart w:id="5" w:name="_Toc290061600"/>
      <w:bookmarkStart w:id="6" w:name="_Toc77174572"/>
      <w:r w:rsidRPr="00435A3B">
        <w:t>Data Samples</w:t>
      </w:r>
      <w:bookmarkEnd w:id="5"/>
      <w:bookmarkEnd w:id="6"/>
    </w:p>
    <w:p w14:paraId="4451DBBC" w14:textId="77777777" w:rsidR="00647DFE" w:rsidRPr="00435A3B" w:rsidRDefault="00FD4151" w:rsidP="00C12D42">
      <w:r w:rsidRPr="00435A3B">
        <w:t>SDMX-ML 3.0 has a single format for data transmission - the</w:t>
      </w:r>
      <w:r w:rsidR="00647DFE" w:rsidRPr="00435A3B">
        <w:t xml:space="preserve"> Structure</w:t>
      </w:r>
      <w:r w:rsidR="001060BD" w:rsidRPr="00435A3B">
        <w:t xml:space="preserve"> </w:t>
      </w:r>
      <w:r w:rsidR="00647DFE" w:rsidRPr="00435A3B">
        <w:t>Specific</w:t>
      </w:r>
      <w:r w:rsidR="001060BD" w:rsidRPr="00435A3B">
        <w:t xml:space="preserve"> </w:t>
      </w:r>
      <w:r w:rsidR="00647DFE" w:rsidRPr="00435A3B">
        <w:t>Data message</w:t>
      </w:r>
      <w:r w:rsidR="001060BD" w:rsidRPr="00435A3B">
        <w:t>.</w:t>
      </w:r>
      <w:r w:rsidR="00E84288">
        <w:t xml:space="preserve"> Alternative formats from version 2.1 and earlier such as Generic, Utility and Cross Sectional are deprecated.</w:t>
      </w:r>
    </w:p>
    <w:p w14:paraId="1367A0D4" w14:textId="77777777" w:rsidR="001060BD" w:rsidRPr="00435A3B" w:rsidRDefault="00E84288" w:rsidP="00C12D42">
      <w:r>
        <w:t xml:space="preserve">The </w:t>
      </w:r>
      <w:r w:rsidR="001060BD" w:rsidRPr="00435A3B">
        <w:t>Structure Specific Data message is characterised by the XML elements and attributes being derived from the data structure definition of the data set. This provides two main benefits:</w:t>
      </w:r>
    </w:p>
    <w:p w14:paraId="09919D37" w14:textId="77777777" w:rsidR="001060BD" w:rsidRPr="00435A3B" w:rsidRDefault="00E84288" w:rsidP="001060BD">
      <w:pPr>
        <w:numPr>
          <w:ilvl w:val="0"/>
          <w:numId w:val="49"/>
        </w:numPr>
      </w:pPr>
      <w:r>
        <w:t>The message content is relatively compact</w:t>
      </w:r>
      <w:r w:rsidR="00286A63">
        <w:t>.</w:t>
      </w:r>
    </w:p>
    <w:p w14:paraId="3249034D" w14:textId="77777777" w:rsidR="001060BD" w:rsidRPr="00435A3B" w:rsidRDefault="001060BD" w:rsidP="001060BD">
      <w:pPr>
        <w:numPr>
          <w:ilvl w:val="0"/>
          <w:numId w:val="49"/>
        </w:numPr>
      </w:pPr>
      <w:r w:rsidRPr="00435A3B">
        <w:t xml:space="preserve">It is possible to </w:t>
      </w:r>
      <w:r w:rsidR="00E84288">
        <w:t>use</w:t>
      </w:r>
      <w:r w:rsidR="00286A63">
        <w:t xml:space="preserve"> an</w:t>
      </w:r>
      <w:r w:rsidR="00E84288">
        <w:t xml:space="preserve"> XML schema </w:t>
      </w:r>
      <w:r w:rsidR="00286A63">
        <w:t>to validate that</w:t>
      </w:r>
      <w:r w:rsidRPr="00435A3B">
        <w:t xml:space="preserve"> the data set contains the correct values </w:t>
      </w:r>
      <w:r w:rsidR="00E84288">
        <w:t>as defined by the data structure definition</w:t>
      </w:r>
      <w:r w:rsidR="00286A63">
        <w:t xml:space="preserve"> </w:t>
      </w:r>
      <w:r w:rsidR="00E84288">
        <w:t>and any constraints attached to the</w:t>
      </w:r>
      <w:r w:rsidR="00DC00D5" w:rsidRPr="00435A3B">
        <w:t xml:space="preserve"> dataflow, data structure definition or data provision agreement</w:t>
      </w:r>
      <w:r w:rsidR="00286A63">
        <w:t>.</w:t>
      </w:r>
    </w:p>
    <w:p w14:paraId="36105CEB" w14:textId="77777777" w:rsidR="00DC00D5" w:rsidRPr="00435A3B" w:rsidRDefault="00DC00D5" w:rsidP="00DC00D5">
      <w:r w:rsidRPr="00435A3B">
        <w:t xml:space="preserve">The samples therefore include both the Structure Specific Data </w:t>
      </w:r>
      <w:r w:rsidR="00E84288">
        <w:t>XML</w:t>
      </w:r>
      <w:r w:rsidRPr="00435A3B">
        <w:t xml:space="preserve">, and a corresponding example validation schema XSD. Successful schema validation confirms that </w:t>
      </w:r>
      <w:r w:rsidR="00286A63">
        <w:t>the XML</w:t>
      </w:r>
      <w:r w:rsidRPr="00435A3B">
        <w:t xml:space="preserve"> is </w:t>
      </w:r>
      <w:r w:rsidR="00E84288">
        <w:t xml:space="preserve">both </w:t>
      </w:r>
      <w:r w:rsidRPr="00435A3B">
        <w:t xml:space="preserve">a valid Structure Specific Data message, </w:t>
      </w:r>
      <w:r w:rsidR="00286A63">
        <w:t>and the content is valid</w:t>
      </w:r>
      <w:r w:rsidR="005C4562">
        <w:t xml:space="preserve"> according to the SDMX structural metadata.</w:t>
      </w:r>
    </w:p>
    <w:p w14:paraId="2CC962D6" w14:textId="77777777" w:rsidR="00FD4151" w:rsidRPr="00435A3B" w:rsidRDefault="00E75F49" w:rsidP="00C12D42">
      <w:pPr>
        <w:rPr>
          <w:b/>
          <w:bCs/>
        </w:rPr>
      </w:pPr>
      <w:r>
        <w:rPr>
          <w:b/>
          <w:bCs/>
        </w:rPr>
        <w:t>Aggregated Time Series</w:t>
      </w:r>
    </w:p>
    <w:p w14:paraId="44E17FD0" w14:textId="77777777" w:rsidR="00AA26BF" w:rsidRPr="00435A3B" w:rsidRDefault="00857E80" w:rsidP="00857E80">
      <w:pPr>
        <w:keepNext/>
        <w:keepLines/>
        <w:spacing w:after="120"/>
        <w:ind w:left="3686" w:hanging="3686"/>
      </w:pPr>
      <w:r w:rsidRPr="00435A3B">
        <w:t>ECB EXR.xml</w:t>
      </w:r>
      <w:r w:rsidRPr="00435A3B">
        <w:tab/>
      </w:r>
      <w:r w:rsidR="007E7B69">
        <w:t xml:space="preserve">Structure </w:t>
      </w:r>
      <w:r w:rsidR="00A91EC3">
        <w:t>s</w:t>
      </w:r>
      <w:r w:rsidR="007E7B69">
        <w:t xml:space="preserve">pecific </w:t>
      </w:r>
      <w:r w:rsidR="00A91EC3">
        <w:t>d</w:t>
      </w:r>
      <w:r w:rsidR="007E7B69">
        <w:t>ata message.</w:t>
      </w:r>
      <w:r w:rsidR="007E7B69">
        <w:br/>
      </w:r>
      <w:r w:rsidR="007E7B69">
        <w:br/>
      </w:r>
      <w:r w:rsidR="00725515" w:rsidRPr="00435A3B">
        <w:t>Excerpt</w:t>
      </w:r>
      <w:r w:rsidRPr="00435A3B">
        <w:t xml:space="preserve"> from the ECB’s Exchange Rates dataset.</w:t>
      </w:r>
    </w:p>
    <w:p w14:paraId="19F120C3" w14:textId="77777777" w:rsidR="00725515" w:rsidRDefault="00725515" w:rsidP="00725515">
      <w:pPr>
        <w:keepNext/>
        <w:keepLines/>
        <w:spacing w:after="120"/>
        <w:ind w:left="3686"/>
      </w:pPr>
      <w:r w:rsidRPr="00435A3B">
        <w:t xml:space="preserve">In this example which is representative </w:t>
      </w:r>
      <w:r w:rsidR="00435A3B">
        <w:t>of aggregated time-series datasets with a single measure, observations are grouped together under series, which in turn are grouped under the dataset element.</w:t>
      </w:r>
    </w:p>
    <w:p w14:paraId="52829648" w14:textId="77777777" w:rsidR="006506DE" w:rsidRDefault="006506DE" w:rsidP="00725515">
      <w:pPr>
        <w:keepNext/>
        <w:keepLines/>
        <w:spacing w:after="120"/>
        <w:ind w:left="3686"/>
      </w:pPr>
      <w:r>
        <w:t>The dimension values and those of series-level attributes are expressed as XML attributes on each series element. Similarly, the TIME_PERIOD, OBS_VALUE and any observation-level attributes are expressed as XML attributes on each obs element.</w:t>
      </w:r>
    </w:p>
    <w:p w14:paraId="76CC1FE5" w14:textId="77777777" w:rsidR="006506DE" w:rsidRPr="00435A3B" w:rsidRDefault="006506DE" w:rsidP="00725515">
      <w:pPr>
        <w:keepNext/>
        <w:keepLines/>
        <w:spacing w:after="120"/>
        <w:ind w:left="3686"/>
      </w:pPr>
      <w:r>
        <w:t xml:space="preserve">Note that a structure specific namespace ns1 is defined using </w:t>
      </w:r>
      <w:proofErr w:type="gramStart"/>
      <w:r>
        <w:t>xsi:schemalocation</w:t>
      </w:r>
      <w:proofErr w:type="gramEnd"/>
      <w:r>
        <w:t xml:space="preserve"> to reference the validation schema location, in this case ECB_EXR_Dataflow.xsd.</w:t>
      </w:r>
    </w:p>
    <w:p w14:paraId="0FF088EF" w14:textId="77777777" w:rsidR="00857E80" w:rsidRDefault="00857E80" w:rsidP="00857E80">
      <w:pPr>
        <w:keepNext/>
        <w:keepLines/>
        <w:spacing w:after="120"/>
        <w:ind w:left="3686" w:hanging="3686"/>
      </w:pPr>
      <w:r w:rsidRPr="00435A3B">
        <w:t>ECB EXR Dataflow.xsd</w:t>
      </w:r>
      <w:r w:rsidR="00725515" w:rsidRPr="00435A3B">
        <w:tab/>
      </w:r>
      <w:r w:rsidR="00BF4AA6">
        <w:t>Structure specific schema for validating the dataset.</w:t>
      </w:r>
    </w:p>
    <w:p w14:paraId="19C1EC4D" w14:textId="77777777" w:rsidR="00BF4AA6" w:rsidRDefault="00BF4AA6" w:rsidP="00BF4AA6">
      <w:pPr>
        <w:keepNext/>
        <w:keepLines/>
        <w:spacing w:after="120"/>
        <w:ind w:left="3686"/>
      </w:pPr>
      <w:r>
        <w:t>The schema defines a complex type called DataSetType derived from the data set’s data structure definition and constraints, in this case those attached to the dataflow.</w:t>
      </w:r>
      <w:r w:rsidR="00CA116F">
        <w:t xml:space="preserve"> </w:t>
      </w:r>
    </w:p>
    <w:p w14:paraId="3F9317A5" w14:textId="77777777" w:rsidR="00A91EC3" w:rsidRDefault="00A91EC3" w:rsidP="007F4C39">
      <w:pPr>
        <w:rPr>
          <w:b/>
          <w:bCs/>
        </w:rPr>
      </w:pPr>
    </w:p>
    <w:p w14:paraId="08FEEE56" w14:textId="77777777" w:rsidR="007F4C39" w:rsidRDefault="007F4C39" w:rsidP="007F4C39">
      <w:pPr>
        <w:rPr>
          <w:b/>
          <w:bCs/>
        </w:rPr>
      </w:pPr>
      <w:r w:rsidRPr="007F4C39">
        <w:rPr>
          <w:b/>
          <w:bCs/>
        </w:rPr>
        <w:t>Aggregated Time Series with Complex Attributes</w:t>
      </w:r>
    </w:p>
    <w:p w14:paraId="370A011B" w14:textId="77777777" w:rsidR="007F4C39" w:rsidRDefault="007F4C39" w:rsidP="007F4C39">
      <w:r>
        <w:t>Complex attributes include those with multilingual text and arrays of values.</w:t>
      </w:r>
    </w:p>
    <w:p w14:paraId="15D93490" w14:textId="77777777" w:rsidR="007F4C39" w:rsidRDefault="009A4ACB" w:rsidP="007F4C39">
      <w:pPr>
        <w:keepNext/>
        <w:keepLines/>
        <w:spacing w:after="120"/>
        <w:ind w:left="3686" w:hanging="3686"/>
      </w:pPr>
      <w:r>
        <w:t>EXB EXR CA.xml</w:t>
      </w:r>
      <w:r>
        <w:tab/>
      </w:r>
      <w:r w:rsidR="007E7B69">
        <w:t xml:space="preserve">Structure </w:t>
      </w:r>
      <w:r w:rsidR="00A91EC3">
        <w:t>s</w:t>
      </w:r>
      <w:r w:rsidR="007E7B69">
        <w:t xml:space="preserve">pecific </w:t>
      </w:r>
      <w:r w:rsidR="00A91EC3">
        <w:t>d</w:t>
      </w:r>
      <w:r w:rsidR="007E7B69">
        <w:t>ata message.</w:t>
      </w:r>
      <w:r w:rsidR="00A91EC3">
        <w:br/>
      </w:r>
      <w:r w:rsidR="007E7B69">
        <w:br/>
      </w:r>
      <w:r>
        <w:t>A modification of the ECB’s Exchange Rates dataset illustrating the following complex attribute use cases:</w:t>
      </w:r>
    </w:p>
    <w:p w14:paraId="48C2444A" w14:textId="77777777" w:rsidR="009A4ACB" w:rsidRDefault="009A4ACB" w:rsidP="009A4ACB">
      <w:pPr>
        <w:keepNext/>
        <w:keepLines/>
        <w:spacing w:after="120"/>
        <w:ind w:left="3686" w:hanging="3686"/>
      </w:pPr>
      <w:r>
        <w:tab/>
        <w:t>TITLE – multi-lingual series-level array attribute</w:t>
      </w:r>
    </w:p>
    <w:p w14:paraId="5FC2ABC3" w14:textId="77777777" w:rsidR="009A4ACB" w:rsidRDefault="009A4ACB" w:rsidP="009A4ACB">
      <w:pPr>
        <w:keepNext/>
        <w:keepLines/>
        <w:spacing w:after="120"/>
        <w:ind w:left="3686"/>
      </w:pPr>
      <w:r>
        <w:t>SOURCE_AGENCY – coded series-level array attribute specifying a minimum of three values</w:t>
      </w:r>
    </w:p>
    <w:p w14:paraId="4A4452B9" w14:textId="77777777" w:rsidR="009A4ACB" w:rsidRDefault="009A4ACB" w:rsidP="009A4ACB">
      <w:pPr>
        <w:keepNext/>
        <w:keepLines/>
        <w:spacing w:after="120"/>
        <w:ind w:left="3686"/>
      </w:pPr>
      <w:r>
        <w:t>SOURCE_PUB – uncoded string series-level array attribute with maximum length of 350 characters</w:t>
      </w:r>
    </w:p>
    <w:p w14:paraId="3A2658DA" w14:textId="77777777" w:rsidR="009A4ACB" w:rsidRDefault="009A4ACB" w:rsidP="009A4ACB">
      <w:pPr>
        <w:keepNext/>
        <w:keepLines/>
        <w:spacing w:after="120"/>
        <w:ind w:left="3686"/>
      </w:pPr>
      <w:r>
        <w:t>OBS_STATUS – coded observation-level array attribute</w:t>
      </w:r>
    </w:p>
    <w:p w14:paraId="6C2B6E45" w14:textId="77777777" w:rsidR="00F51585" w:rsidRPr="00435A3B" w:rsidRDefault="00F51585" w:rsidP="00F51585">
      <w:pPr>
        <w:keepNext/>
        <w:keepLines/>
        <w:spacing w:after="120"/>
        <w:ind w:left="3686"/>
      </w:pPr>
      <w:r>
        <w:t xml:space="preserve">Note that a structure specific namespace ns1 is defined using </w:t>
      </w:r>
      <w:proofErr w:type="spellStart"/>
      <w:proofErr w:type="gramStart"/>
      <w:r>
        <w:t>xsi:schemalocation</w:t>
      </w:r>
      <w:proofErr w:type="spellEnd"/>
      <w:proofErr w:type="gramEnd"/>
      <w:r>
        <w:t xml:space="preserve"> to reference the validation schema location, in this case ECB_EXR_Dataflow.xsd.</w:t>
      </w:r>
    </w:p>
    <w:p w14:paraId="59324D6B" w14:textId="77777777" w:rsidR="00F51585" w:rsidRDefault="00F51585" w:rsidP="007E7B69">
      <w:pPr>
        <w:keepNext/>
        <w:keepLines/>
        <w:spacing w:after="120"/>
        <w:ind w:left="3686" w:hanging="3686"/>
      </w:pPr>
      <w:r>
        <w:t>ECB EXR C</w:t>
      </w:r>
      <w:r w:rsidR="00A91EC3">
        <w:t>A</w:t>
      </w:r>
      <w:r>
        <w:t xml:space="preserve"> Dataflow.x</w:t>
      </w:r>
      <w:r w:rsidR="00A91EC3">
        <w:t>sd</w:t>
      </w:r>
      <w:r w:rsidR="007E7B69">
        <w:tab/>
      </w:r>
      <w:r w:rsidR="00A91EC3">
        <w:t>Structure specific schema for validating the dataset.</w:t>
      </w:r>
    </w:p>
    <w:p w14:paraId="79D0E18D" w14:textId="77777777" w:rsidR="00A91EC3" w:rsidRDefault="00A91EC3" w:rsidP="007E7B69">
      <w:pPr>
        <w:keepNext/>
        <w:keepLines/>
        <w:spacing w:after="120"/>
        <w:ind w:left="3686" w:hanging="3686"/>
      </w:pPr>
      <w:r>
        <w:tab/>
        <w:t xml:space="preserve">The schema defines a complex type called </w:t>
      </w:r>
      <w:proofErr w:type="spellStart"/>
      <w:r>
        <w:t>DataSetType</w:t>
      </w:r>
      <w:proofErr w:type="spellEnd"/>
      <w:r>
        <w:t xml:space="preserve"> derived from the data set’s data structure definition and constraints, in this case those attached to the dataflow.</w:t>
      </w:r>
    </w:p>
    <w:p w14:paraId="5D69DCB3" w14:textId="77777777" w:rsidR="00A91EC3" w:rsidRDefault="00A91EC3" w:rsidP="007E7B69">
      <w:pPr>
        <w:keepNext/>
        <w:keepLines/>
        <w:spacing w:after="120"/>
        <w:ind w:left="3686" w:hanging="3686"/>
      </w:pPr>
      <w:r>
        <w:tab/>
        <w:t xml:space="preserve">Complex types based on the abstract </w:t>
      </w:r>
      <w:proofErr w:type="spellStart"/>
      <w:proofErr w:type="gramStart"/>
      <w:r>
        <w:t>dsd:CompType</w:t>
      </w:r>
      <w:proofErr w:type="spellEnd"/>
      <w:proofErr w:type="gramEnd"/>
      <w:r>
        <w:t xml:space="preserve"> are defined for each complex attribute.</w:t>
      </w:r>
    </w:p>
    <w:p w14:paraId="4144B03F" w14:textId="77777777" w:rsidR="00AA4417" w:rsidRDefault="00A91EC3" w:rsidP="007E7B69">
      <w:pPr>
        <w:keepNext/>
        <w:keepLines/>
        <w:spacing w:after="120"/>
        <w:ind w:left="3686" w:hanging="3686"/>
      </w:pPr>
      <w:r>
        <w:t>ECB EXR CA DSD.xml</w:t>
      </w:r>
      <w:r>
        <w:tab/>
        <w:t xml:space="preserve">Structure message describing the </w:t>
      </w:r>
      <w:r w:rsidR="00AA4417">
        <w:t>Data Structure Definition for the above dataflow illustrating</w:t>
      </w:r>
      <w:proofErr w:type="gramStart"/>
      <w:r w:rsidR="00AA4417">
        <w:t>, in particular, the</w:t>
      </w:r>
      <w:proofErr w:type="gramEnd"/>
      <w:r w:rsidR="00AA4417">
        <w:t xml:space="preserve"> definition of complex attributes:</w:t>
      </w:r>
    </w:p>
    <w:p w14:paraId="032A25FA" w14:textId="77777777" w:rsidR="00AA4417" w:rsidRDefault="00AA4417" w:rsidP="007E7B69">
      <w:pPr>
        <w:keepNext/>
        <w:keepLines/>
        <w:spacing w:after="120"/>
        <w:ind w:left="3686" w:hanging="3686"/>
      </w:pPr>
      <w:r>
        <w:tab/>
        <w:t xml:space="preserve">The XML attribute </w:t>
      </w:r>
      <w:proofErr w:type="spellStart"/>
      <w:r>
        <w:t>isMultiLingual</w:t>
      </w:r>
      <w:proofErr w:type="spellEnd"/>
      <w:proofErr w:type="gramStart"/>
      <w:r>
        <w:t>=”true</w:t>
      </w:r>
      <w:proofErr w:type="gramEnd"/>
      <w:r>
        <w:t>” on the &lt;</w:t>
      </w:r>
      <w:proofErr w:type="spellStart"/>
      <w:r>
        <w:t>str:TextFormat</w:t>
      </w:r>
      <w:proofErr w:type="spellEnd"/>
      <w:r>
        <w:t>…&gt; element specifies a multi-lingual string representation.</w:t>
      </w:r>
    </w:p>
    <w:p w14:paraId="02FF8712" w14:textId="77777777" w:rsidR="00AA4417" w:rsidRDefault="00AA4417" w:rsidP="007E7B69">
      <w:pPr>
        <w:keepNext/>
        <w:keepLines/>
        <w:spacing w:after="120"/>
        <w:ind w:left="3686" w:hanging="3686"/>
      </w:pPr>
      <w:r>
        <w:tab/>
        <w:t xml:space="preserve">Setting the </w:t>
      </w:r>
      <w:proofErr w:type="spellStart"/>
      <w:r>
        <w:t>maxOccurs</w:t>
      </w:r>
      <w:proofErr w:type="spellEnd"/>
      <w:r>
        <w:t xml:space="preserve"> XML attribute to a number greater than 1 </w:t>
      </w:r>
      <w:r w:rsidR="003541E0">
        <w:t xml:space="preserve">(or unbounded) </w:t>
      </w:r>
      <w:r>
        <w:t>on the &lt;</w:t>
      </w:r>
      <w:proofErr w:type="spellStart"/>
      <w:proofErr w:type="gramStart"/>
      <w:r>
        <w:t>str:LocalRepresentation</w:t>
      </w:r>
      <w:proofErr w:type="spellEnd"/>
      <w:proofErr w:type="gramEnd"/>
      <w:r>
        <w:t>…&gt; element specifies</w:t>
      </w:r>
      <w:r w:rsidR="003541E0">
        <w:t xml:space="preserve"> an array.</w:t>
      </w:r>
    </w:p>
    <w:p w14:paraId="1FED6734" w14:textId="77777777" w:rsidR="00AA4417" w:rsidRDefault="00AA4417" w:rsidP="007E7B69">
      <w:pPr>
        <w:keepNext/>
        <w:keepLines/>
        <w:spacing w:after="120"/>
        <w:ind w:left="3686" w:hanging="3686"/>
      </w:pPr>
      <w:r>
        <w:tab/>
      </w:r>
    </w:p>
    <w:p w14:paraId="719D0010" w14:textId="77777777" w:rsidR="00A91EC3" w:rsidRPr="007F4C39" w:rsidRDefault="00AA4417" w:rsidP="007E7B69">
      <w:pPr>
        <w:keepNext/>
        <w:keepLines/>
        <w:spacing w:after="120"/>
        <w:ind w:left="3686" w:hanging="3686"/>
      </w:pPr>
      <w:r>
        <w:tab/>
        <w:t xml:space="preserve">  </w:t>
      </w:r>
    </w:p>
    <w:sectPr w:rsidR="00A91EC3" w:rsidRPr="007F4C39" w:rsidSect="00647DFE">
      <w:footerReference w:type="default" r:id="rId11"/>
      <w:pgSz w:w="11906" w:h="16838" w:code="9"/>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000A" w14:textId="77777777" w:rsidR="0014468D" w:rsidRPr="00C764E5" w:rsidRDefault="0014468D" w:rsidP="00362895">
      <w:pPr>
        <w:pStyle w:val="ParagraphCharCharChar"/>
        <w:rPr>
          <w:sz w:val="20"/>
        </w:rPr>
      </w:pPr>
      <w:r>
        <w:separator/>
      </w:r>
    </w:p>
  </w:endnote>
  <w:endnote w:type="continuationSeparator" w:id="0">
    <w:p w14:paraId="13BED6CE" w14:textId="77777777" w:rsidR="0014468D" w:rsidRPr="00C764E5" w:rsidRDefault="0014468D"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5C46" w14:textId="77777777" w:rsidR="00E84288" w:rsidRDefault="00E84288"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8FD6" w14:textId="77777777" w:rsidR="00E84288" w:rsidRDefault="00E84288" w:rsidP="00ED08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7CE3" w14:textId="77777777" w:rsidR="00E84288" w:rsidRDefault="00E84288">
    <w:pPr>
      <w:pStyle w:val="Footer"/>
      <w:jc w:val="center"/>
    </w:pPr>
    <w:r>
      <w:fldChar w:fldCharType="begin"/>
    </w:r>
    <w:r>
      <w:instrText xml:space="preserve"> PAGE   \* MERGEFORMAT </w:instrText>
    </w:r>
    <w:r>
      <w:fldChar w:fldCharType="separate"/>
    </w:r>
    <w:r>
      <w:rPr>
        <w:noProof/>
      </w:rPr>
      <w:t>4</w:t>
    </w:r>
    <w:r>
      <w:fldChar w:fldCharType="end"/>
    </w:r>
  </w:p>
  <w:p w14:paraId="32F7F76B" w14:textId="77777777" w:rsidR="00E84288" w:rsidRDefault="00E84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9208" w14:textId="77777777" w:rsidR="0014468D" w:rsidRPr="00C764E5" w:rsidRDefault="0014468D" w:rsidP="00362895">
      <w:pPr>
        <w:pStyle w:val="ParagraphCharCharChar"/>
        <w:rPr>
          <w:sz w:val="20"/>
        </w:rPr>
      </w:pPr>
      <w:r>
        <w:separator/>
      </w:r>
    </w:p>
  </w:footnote>
  <w:footnote w:type="continuationSeparator" w:id="0">
    <w:p w14:paraId="0BB09CA4" w14:textId="77777777" w:rsidR="0014468D" w:rsidRPr="00C764E5" w:rsidRDefault="0014468D"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E2EF" w14:textId="77777777" w:rsidR="00E84288" w:rsidRDefault="00FD7EDD" w:rsidP="00A83C8D">
    <w:pPr>
      <w:pStyle w:val="Footerempty"/>
      <w:rPr>
        <w:rFonts w:cs="Arial"/>
        <w:color w:val="000080"/>
        <w:sz w:val="20"/>
      </w:rPr>
    </w:pPr>
    <w:r>
      <w:rPr>
        <w:rFonts w:cs="Arial"/>
        <w:smallCaps/>
        <w:noProof/>
        <w:color w:val="000080"/>
        <w:spacing w:val="20"/>
        <w:sz w:val="22"/>
      </w:rPr>
      <w:pict w14:anchorId="1890D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pt">
          <v:imagedata r:id="rId1" o:title="logo"/>
        </v:shape>
      </w:pict>
    </w:r>
  </w:p>
  <w:p w14:paraId="08CC9A2F" w14:textId="77777777" w:rsidR="00E84288" w:rsidRPr="00A83C8D" w:rsidRDefault="00E84288" w:rsidP="00A83C8D">
    <w:pPr>
      <w:pStyle w:val="Footerempty"/>
      <w:rPr>
        <w:rFonts w:cs="Arial"/>
        <w:color w:val="000080"/>
        <w:sz w:val="20"/>
      </w:rPr>
    </w:pPr>
  </w:p>
  <w:p w14:paraId="2C43A8C3" w14:textId="77777777" w:rsidR="00E84288" w:rsidRDefault="00E84288"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DE68E9"/>
    <w:multiLevelType w:val="hybridMultilevel"/>
    <w:tmpl w:val="05B66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B270A"/>
    <w:multiLevelType w:val="hybridMultilevel"/>
    <w:tmpl w:val="EAA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973E32"/>
    <w:multiLevelType w:val="hybridMultilevel"/>
    <w:tmpl w:val="92009A1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CD573E"/>
    <w:multiLevelType w:val="hybridMultilevel"/>
    <w:tmpl w:val="6212C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D54050"/>
    <w:multiLevelType w:val="hybridMultilevel"/>
    <w:tmpl w:val="FF76F23E"/>
    <w:lvl w:ilvl="0" w:tplc="08090001">
      <w:start w:val="1"/>
      <w:numFmt w:val="bullet"/>
      <w:lvlText w:val=""/>
      <w:lvlJc w:val="left"/>
      <w:pPr>
        <w:ind w:left="4046" w:hanging="360"/>
      </w:pPr>
      <w:rPr>
        <w:rFonts w:ascii="Symbol" w:hAnsi="Symbol" w:hint="default"/>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17"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8"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9"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0" w15:restartNumberingAfterBreak="0">
    <w:nsid w:val="3F4F7201"/>
    <w:multiLevelType w:val="hybridMultilevel"/>
    <w:tmpl w:val="C52A744E"/>
    <w:lvl w:ilvl="0" w:tplc="08090001">
      <w:start w:val="1"/>
      <w:numFmt w:val="bullet"/>
      <w:lvlText w:val=""/>
      <w:lvlJc w:val="left"/>
      <w:pPr>
        <w:ind w:left="4046" w:hanging="360"/>
      </w:pPr>
      <w:rPr>
        <w:rFonts w:ascii="Symbol" w:hAnsi="Symbol" w:hint="default"/>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31"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6012C"/>
    <w:multiLevelType w:val="hybridMultilevel"/>
    <w:tmpl w:val="516AC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6"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AF1A97"/>
    <w:multiLevelType w:val="hybridMultilevel"/>
    <w:tmpl w:val="AA16B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0"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43"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3D46FB"/>
    <w:multiLevelType w:val="hybridMultilevel"/>
    <w:tmpl w:val="5A248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45"/>
  </w:num>
  <w:num w:numId="2">
    <w:abstractNumId w:val="26"/>
  </w:num>
  <w:num w:numId="3">
    <w:abstractNumId w:val="39"/>
  </w:num>
  <w:num w:numId="4">
    <w:abstractNumId w:val="18"/>
  </w:num>
  <w:num w:numId="5">
    <w:abstractNumId w:val="9"/>
  </w:num>
  <w:num w:numId="6">
    <w:abstractNumId w:val="46"/>
  </w:num>
  <w:num w:numId="7">
    <w:abstractNumId w:val="24"/>
  </w:num>
  <w:num w:numId="8">
    <w:abstractNumId w:val="17"/>
  </w:num>
  <w:num w:numId="9">
    <w:abstractNumId w:val="42"/>
  </w:num>
  <w:num w:numId="10">
    <w:abstractNumId w:val="29"/>
  </w:num>
  <w:num w:numId="11">
    <w:abstractNumId w:val="1"/>
  </w:num>
  <w:num w:numId="12">
    <w:abstractNumId w:val="22"/>
  </w:num>
  <w:num w:numId="13">
    <w:abstractNumId w:val="21"/>
  </w:num>
  <w:num w:numId="14">
    <w:abstractNumId w:val="40"/>
  </w:num>
  <w:num w:numId="15">
    <w:abstractNumId w:val="43"/>
  </w:num>
  <w:num w:numId="16">
    <w:abstractNumId w:val="8"/>
  </w:num>
  <w:num w:numId="17">
    <w:abstractNumId w:val="3"/>
  </w:num>
  <w:num w:numId="18">
    <w:abstractNumId w:val="23"/>
  </w:num>
  <w:num w:numId="19">
    <w:abstractNumId w:val="11"/>
  </w:num>
  <w:num w:numId="20">
    <w:abstractNumId w:val="2"/>
  </w:num>
  <w:num w:numId="21">
    <w:abstractNumId w:val="41"/>
  </w:num>
  <w:num w:numId="22">
    <w:abstractNumId w:val="28"/>
  </w:num>
  <w:num w:numId="23">
    <w:abstractNumId w:val="20"/>
  </w:num>
  <w:num w:numId="24">
    <w:abstractNumId w:val="7"/>
  </w:num>
  <w:num w:numId="25">
    <w:abstractNumId w:val="35"/>
  </w:num>
  <w:num w:numId="26">
    <w:abstractNumId w:val="27"/>
  </w:num>
  <w:num w:numId="27">
    <w:abstractNumId w:val="32"/>
  </w:num>
  <w:num w:numId="28">
    <w:abstractNumId w:val="25"/>
  </w:num>
  <w:num w:numId="29">
    <w:abstractNumId w:val="19"/>
  </w:num>
  <w:num w:numId="30">
    <w:abstractNumId w:val="15"/>
  </w:num>
  <w:num w:numId="31">
    <w:abstractNumId w:val="36"/>
  </w:num>
  <w:num w:numId="32">
    <w:abstractNumId w:val="38"/>
  </w:num>
  <w:num w:numId="33">
    <w:abstractNumId w:val="0"/>
  </w:num>
  <w:num w:numId="34">
    <w:abstractNumId w:val="31"/>
  </w:num>
  <w:num w:numId="35">
    <w:abstractNumId w:val="10"/>
  </w:num>
  <w:num w:numId="36">
    <w:abstractNumId w:val="12"/>
  </w:num>
  <w:num w:numId="37">
    <w:abstractNumId w:val="5"/>
  </w:num>
  <w:num w:numId="38">
    <w:abstractNumId w:val="34"/>
  </w:num>
  <w:num w:numId="39">
    <w:abstractNumId w:val="26"/>
  </w:num>
  <w:num w:numId="40">
    <w:abstractNumId w:val="29"/>
  </w:num>
  <w:num w:numId="41">
    <w:abstractNumId w:val="37"/>
  </w:num>
  <w:num w:numId="42">
    <w:abstractNumId w:val="4"/>
  </w:num>
  <w:num w:numId="43">
    <w:abstractNumId w:val="14"/>
  </w:num>
  <w:num w:numId="44">
    <w:abstractNumId w:val="6"/>
  </w:num>
  <w:num w:numId="45">
    <w:abstractNumId w:val="33"/>
  </w:num>
  <w:num w:numId="46">
    <w:abstractNumId w:val="13"/>
  </w:num>
  <w:num w:numId="47">
    <w:abstractNumId w:val="16"/>
  </w:num>
  <w:num w:numId="48">
    <w:abstractNumId w:val="30"/>
  </w:num>
  <w:num w:numId="49">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DAA"/>
    <w:rsid w:val="000018D8"/>
    <w:rsid w:val="00001DEB"/>
    <w:rsid w:val="0000412F"/>
    <w:rsid w:val="0000644C"/>
    <w:rsid w:val="000134D1"/>
    <w:rsid w:val="0001627F"/>
    <w:rsid w:val="000164FC"/>
    <w:rsid w:val="000201B9"/>
    <w:rsid w:val="00024D44"/>
    <w:rsid w:val="00026A04"/>
    <w:rsid w:val="000304DD"/>
    <w:rsid w:val="0003125F"/>
    <w:rsid w:val="00031B41"/>
    <w:rsid w:val="00037B29"/>
    <w:rsid w:val="0004220D"/>
    <w:rsid w:val="0004502A"/>
    <w:rsid w:val="00047F4F"/>
    <w:rsid w:val="000600AA"/>
    <w:rsid w:val="00063DED"/>
    <w:rsid w:val="00067B1B"/>
    <w:rsid w:val="00071CBC"/>
    <w:rsid w:val="00075C9B"/>
    <w:rsid w:val="0008012D"/>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0BD"/>
    <w:rsid w:val="00106B5E"/>
    <w:rsid w:val="001071FB"/>
    <w:rsid w:val="00114513"/>
    <w:rsid w:val="001176C6"/>
    <w:rsid w:val="00120FC9"/>
    <w:rsid w:val="001225F8"/>
    <w:rsid w:val="00122898"/>
    <w:rsid w:val="001234BF"/>
    <w:rsid w:val="00123F43"/>
    <w:rsid w:val="00131021"/>
    <w:rsid w:val="001358D4"/>
    <w:rsid w:val="00142058"/>
    <w:rsid w:val="0014468D"/>
    <w:rsid w:val="00147066"/>
    <w:rsid w:val="0015343B"/>
    <w:rsid w:val="00162939"/>
    <w:rsid w:val="00170287"/>
    <w:rsid w:val="001708B2"/>
    <w:rsid w:val="001719F2"/>
    <w:rsid w:val="00177AAB"/>
    <w:rsid w:val="00177ADC"/>
    <w:rsid w:val="00180E21"/>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33EE"/>
    <w:rsid w:val="0026403F"/>
    <w:rsid w:val="00264C7D"/>
    <w:rsid w:val="00265BFC"/>
    <w:rsid w:val="00271927"/>
    <w:rsid w:val="00275175"/>
    <w:rsid w:val="00275660"/>
    <w:rsid w:val="00275A77"/>
    <w:rsid w:val="00275FC4"/>
    <w:rsid w:val="0027604D"/>
    <w:rsid w:val="00282080"/>
    <w:rsid w:val="002836A8"/>
    <w:rsid w:val="002848F8"/>
    <w:rsid w:val="00286A63"/>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E4790"/>
    <w:rsid w:val="002F2D82"/>
    <w:rsid w:val="002F6DF9"/>
    <w:rsid w:val="002F76FF"/>
    <w:rsid w:val="002F7A1A"/>
    <w:rsid w:val="0030212D"/>
    <w:rsid w:val="00302295"/>
    <w:rsid w:val="0030710C"/>
    <w:rsid w:val="003078B0"/>
    <w:rsid w:val="00310E91"/>
    <w:rsid w:val="00312DC5"/>
    <w:rsid w:val="003147CF"/>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1E0"/>
    <w:rsid w:val="0035470B"/>
    <w:rsid w:val="00354AB4"/>
    <w:rsid w:val="00357B4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30FE"/>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0F3"/>
    <w:rsid w:val="004257DD"/>
    <w:rsid w:val="00434E41"/>
    <w:rsid w:val="00435A3B"/>
    <w:rsid w:val="00445D1A"/>
    <w:rsid w:val="004468C2"/>
    <w:rsid w:val="00451775"/>
    <w:rsid w:val="00452767"/>
    <w:rsid w:val="004527E0"/>
    <w:rsid w:val="0045647E"/>
    <w:rsid w:val="00456B73"/>
    <w:rsid w:val="0046313B"/>
    <w:rsid w:val="00463458"/>
    <w:rsid w:val="004644A0"/>
    <w:rsid w:val="004660FE"/>
    <w:rsid w:val="00471991"/>
    <w:rsid w:val="00472885"/>
    <w:rsid w:val="00475005"/>
    <w:rsid w:val="00480BBA"/>
    <w:rsid w:val="0048155C"/>
    <w:rsid w:val="00481893"/>
    <w:rsid w:val="004872AD"/>
    <w:rsid w:val="004907DE"/>
    <w:rsid w:val="00493B13"/>
    <w:rsid w:val="004A03F3"/>
    <w:rsid w:val="004A0958"/>
    <w:rsid w:val="004A2729"/>
    <w:rsid w:val="004A465D"/>
    <w:rsid w:val="004A4A34"/>
    <w:rsid w:val="004A6AEC"/>
    <w:rsid w:val="004B0D1A"/>
    <w:rsid w:val="004B1389"/>
    <w:rsid w:val="004B29A2"/>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53A7"/>
    <w:rsid w:val="00536EC5"/>
    <w:rsid w:val="005509BF"/>
    <w:rsid w:val="00560560"/>
    <w:rsid w:val="00561F98"/>
    <w:rsid w:val="0056527D"/>
    <w:rsid w:val="005734BC"/>
    <w:rsid w:val="005827F0"/>
    <w:rsid w:val="0058281A"/>
    <w:rsid w:val="005829F9"/>
    <w:rsid w:val="0059019F"/>
    <w:rsid w:val="005906B1"/>
    <w:rsid w:val="00590BA4"/>
    <w:rsid w:val="00591582"/>
    <w:rsid w:val="00592CFD"/>
    <w:rsid w:val="0059339B"/>
    <w:rsid w:val="005962C8"/>
    <w:rsid w:val="00596886"/>
    <w:rsid w:val="005A3000"/>
    <w:rsid w:val="005A36BC"/>
    <w:rsid w:val="005A4A41"/>
    <w:rsid w:val="005B0060"/>
    <w:rsid w:val="005B1C50"/>
    <w:rsid w:val="005B22C3"/>
    <w:rsid w:val="005B637F"/>
    <w:rsid w:val="005C0687"/>
    <w:rsid w:val="005C3C93"/>
    <w:rsid w:val="005C4562"/>
    <w:rsid w:val="005C54C3"/>
    <w:rsid w:val="005C5600"/>
    <w:rsid w:val="005C740D"/>
    <w:rsid w:val="005D6BD4"/>
    <w:rsid w:val="005D77A1"/>
    <w:rsid w:val="005D79BD"/>
    <w:rsid w:val="005E46EC"/>
    <w:rsid w:val="005E66A0"/>
    <w:rsid w:val="005F032C"/>
    <w:rsid w:val="005F3D99"/>
    <w:rsid w:val="006025C0"/>
    <w:rsid w:val="006119B9"/>
    <w:rsid w:val="00613EDF"/>
    <w:rsid w:val="00614440"/>
    <w:rsid w:val="006161A1"/>
    <w:rsid w:val="006206C1"/>
    <w:rsid w:val="00621A74"/>
    <w:rsid w:val="006234EE"/>
    <w:rsid w:val="00623625"/>
    <w:rsid w:val="006247C7"/>
    <w:rsid w:val="0063075B"/>
    <w:rsid w:val="00633020"/>
    <w:rsid w:val="0063334A"/>
    <w:rsid w:val="00636FCD"/>
    <w:rsid w:val="00643543"/>
    <w:rsid w:val="006436CF"/>
    <w:rsid w:val="0064762B"/>
    <w:rsid w:val="006476E4"/>
    <w:rsid w:val="00647DFE"/>
    <w:rsid w:val="006506DE"/>
    <w:rsid w:val="00652766"/>
    <w:rsid w:val="00652D6D"/>
    <w:rsid w:val="0066043D"/>
    <w:rsid w:val="0066292E"/>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C3404"/>
    <w:rsid w:val="006D0DAA"/>
    <w:rsid w:val="006D2348"/>
    <w:rsid w:val="006D5271"/>
    <w:rsid w:val="006D6797"/>
    <w:rsid w:val="006D74A6"/>
    <w:rsid w:val="006E004C"/>
    <w:rsid w:val="006E2590"/>
    <w:rsid w:val="006E28EB"/>
    <w:rsid w:val="006E362A"/>
    <w:rsid w:val="006E3ABE"/>
    <w:rsid w:val="006E402F"/>
    <w:rsid w:val="006E5194"/>
    <w:rsid w:val="006E62CE"/>
    <w:rsid w:val="006E71FD"/>
    <w:rsid w:val="006F2628"/>
    <w:rsid w:val="006F3BE6"/>
    <w:rsid w:val="006F6072"/>
    <w:rsid w:val="006F75B8"/>
    <w:rsid w:val="0070137C"/>
    <w:rsid w:val="0070601A"/>
    <w:rsid w:val="00717653"/>
    <w:rsid w:val="00720219"/>
    <w:rsid w:val="00721339"/>
    <w:rsid w:val="0072533F"/>
    <w:rsid w:val="00725515"/>
    <w:rsid w:val="00745125"/>
    <w:rsid w:val="00745715"/>
    <w:rsid w:val="00751AE3"/>
    <w:rsid w:val="0075349A"/>
    <w:rsid w:val="00755995"/>
    <w:rsid w:val="00757703"/>
    <w:rsid w:val="00765BAC"/>
    <w:rsid w:val="00767D2E"/>
    <w:rsid w:val="00774007"/>
    <w:rsid w:val="00777502"/>
    <w:rsid w:val="00777E8F"/>
    <w:rsid w:val="007800CB"/>
    <w:rsid w:val="00781016"/>
    <w:rsid w:val="00781DEF"/>
    <w:rsid w:val="007864F6"/>
    <w:rsid w:val="007926E6"/>
    <w:rsid w:val="00793A90"/>
    <w:rsid w:val="007A1D9A"/>
    <w:rsid w:val="007A3A06"/>
    <w:rsid w:val="007A4D36"/>
    <w:rsid w:val="007B34B4"/>
    <w:rsid w:val="007B35F5"/>
    <w:rsid w:val="007B605A"/>
    <w:rsid w:val="007B71B1"/>
    <w:rsid w:val="007C1484"/>
    <w:rsid w:val="007C1A78"/>
    <w:rsid w:val="007C5BCA"/>
    <w:rsid w:val="007D046A"/>
    <w:rsid w:val="007D3740"/>
    <w:rsid w:val="007E117A"/>
    <w:rsid w:val="007E67F7"/>
    <w:rsid w:val="007E6840"/>
    <w:rsid w:val="007E7B69"/>
    <w:rsid w:val="007F2574"/>
    <w:rsid w:val="007F2D68"/>
    <w:rsid w:val="007F456B"/>
    <w:rsid w:val="007F4B95"/>
    <w:rsid w:val="007F4C39"/>
    <w:rsid w:val="008020C2"/>
    <w:rsid w:val="00804A9D"/>
    <w:rsid w:val="00810879"/>
    <w:rsid w:val="00811003"/>
    <w:rsid w:val="008150A4"/>
    <w:rsid w:val="00815C19"/>
    <w:rsid w:val="008174C9"/>
    <w:rsid w:val="008178CA"/>
    <w:rsid w:val="00821C18"/>
    <w:rsid w:val="00823297"/>
    <w:rsid w:val="00825A33"/>
    <w:rsid w:val="00825E60"/>
    <w:rsid w:val="008264E2"/>
    <w:rsid w:val="008277AA"/>
    <w:rsid w:val="00831531"/>
    <w:rsid w:val="00833A65"/>
    <w:rsid w:val="008450E1"/>
    <w:rsid w:val="00845FA7"/>
    <w:rsid w:val="008527ED"/>
    <w:rsid w:val="008533F4"/>
    <w:rsid w:val="0085610D"/>
    <w:rsid w:val="00856DDB"/>
    <w:rsid w:val="008572FB"/>
    <w:rsid w:val="00857E80"/>
    <w:rsid w:val="008603C9"/>
    <w:rsid w:val="008617DA"/>
    <w:rsid w:val="008754E5"/>
    <w:rsid w:val="008814F4"/>
    <w:rsid w:val="0088223B"/>
    <w:rsid w:val="00882298"/>
    <w:rsid w:val="00882F7E"/>
    <w:rsid w:val="0088498B"/>
    <w:rsid w:val="00884DEA"/>
    <w:rsid w:val="008872F0"/>
    <w:rsid w:val="0088735E"/>
    <w:rsid w:val="008908D8"/>
    <w:rsid w:val="008923C1"/>
    <w:rsid w:val="0089308F"/>
    <w:rsid w:val="008A26DC"/>
    <w:rsid w:val="008A4321"/>
    <w:rsid w:val="008A4455"/>
    <w:rsid w:val="008A4DAC"/>
    <w:rsid w:val="008A5155"/>
    <w:rsid w:val="008A6BAD"/>
    <w:rsid w:val="008A718F"/>
    <w:rsid w:val="008A79DE"/>
    <w:rsid w:val="008B2F06"/>
    <w:rsid w:val="008B3A6B"/>
    <w:rsid w:val="008B3CBA"/>
    <w:rsid w:val="008C0335"/>
    <w:rsid w:val="008C10B6"/>
    <w:rsid w:val="008C29C8"/>
    <w:rsid w:val="008C4A01"/>
    <w:rsid w:val="008C7628"/>
    <w:rsid w:val="008C7B5C"/>
    <w:rsid w:val="008D3850"/>
    <w:rsid w:val="008D718D"/>
    <w:rsid w:val="008E02C4"/>
    <w:rsid w:val="008E1FD3"/>
    <w:rsid w:val="008E3629"/>
    <w:rsid w:val="008E39BE"/>
    <w:rsid w:val="008E4B8E"/>
    <w:rsid w:val="008E6B8F"/>
    <w:rsid w:val="008E6E86"/>
    <w:rsid w:val="008F0647"/>
    <w:rsid w:val="008F14A9"/>
    <w:rsid w:val="008F49B6"/>
    <w:rsid w:val="008F4F9F"/>
    <w:rsid w:val="008F5873"/>
    <w:rsid w:val="0090511A"/>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085F"/>
    <w:rsid w:val="00963A40"/>
    <w:rsid w:val="00965908"/>
    <w:rsid w:val="00967BB7"/>
    <w:rsid w:val="00975908"/>
    <w:rsid w:val="00976C5B"/>
    <w:rsid w:val="00983DC1"/>
    <w:rsid w:val="009847B8"/>
    <w:rsid w:val="00990F8B"/>
    <w:rsid w:val="00993917"/>
    <w:rsid w:val="009A0C97"/>
    <w:rsid w:val="009A2FFE"/>
    <w:rsid w:val="009A3D51"/>
    <w:rsid w:val="009A46C0"/>
    <w:rsid w:val="009A49BE"/>
    <w:rsid w:val="009A4ACB"/>
    <w:rsid w:val="009A658D"/>
    <w:rsid w:val="009C0E4F"/>
    <w:rsid w:val="009C20FE"/>
    <w:rsid w:val="009C38F6"/>
    <w:rsid w:val="009C3FAC"/>
    <w:rsid w:val="009D3FDD"/>
    <w:rsid w:val="009D4E03"/>
    <w:rsid w:val="009D6B51"/>
    <w:rsid w:val="009E4D3D"/>
    <w:rsid w:val="009E5242"/>
    <w:rsid w:val="009E740F"/>
    <w:rsid w:val="009E7413"/>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1EC3"/>
    <w:rsid w:val="00A93869"/>
    <w:rsid w:val="00A94824"/>
    <w:rsid w:val="00A94EED"/>
    <w:rsid w:val="00A976DC"/>
    <w:rsid w:val="00AA26BF"/>
    <w:rsid w:val="00AA4417"/>
    <w:rsid w:val="00AA457C"/>
    <w:rsid w:val="00AA68F4"/>
    <w:rsid w:val="00AA6EA4"/>
    <w:rsid w:val="00AA6EAF"/>
    <w:rsid w:val="00AA78ED"/>
    <w:rsid w:val="00AB2557"/>
    <w:rsid w:val="00AB5689"/>
    <w:rsid w:val="00AC30D9"/>
    <w:rsid w:val="00AC50EA"/>
    <w:rsid w:val="00AD0F36"/>
    <w:rsid w:val="00AD4393"/>
    <w:rsid w:val="00AE203A"/>
    <w:rsid w:val="00AE3491"/>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657B4"/>
    <w:rsid w:val="00B716F7"/>
    <w:rsid w:val="00B751C3"/>
    <w:rsid w:val="00B826EF"/>
    <w:rsid w:val="00B82BD4"/>
    <w:rsid w:val="00B83556"/>
    <w:rsid w:val="00B8442A"/>
    <w:rsid w:val="00B96560"/>
    <w:rsid w:val="00BA0522"/>
    <w:rsid w:val="00BA3E14"/>
    <w:rsid w:val="00BA529E"/>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4AA6"/>
    <w:rsid w:val="00BF518C"/>
    <w:rsid w:val="00BF57CC"/>
    <w:rsid w:val="00C0031D"/>
    <w:rsid w:val="00C01DAC"/>
    <w:rsid w:val="00C029DB"/>
    <w:rsid w:val="00C02AB6"/>
    <w:rsid w:val="00C058BB"/>
    <w:rsid w:val="00C05A63"/>
    <w:rsid w:val="00C12D42"/>
    <w:rsid w:val="00C13FDB"/>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26C6"/>
    <w:rsid w:val="00C95172"/>
    <w:rsid w:val="00CA116F"/>
    <w:rsid w:val="00CA184B"/>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753"/>
    <w:rsid w:val="00CE3FED"/>
    <w:rsid w:val="00CE472E"/>
    <w:rsid w:val="00CF1E72"/>
    <w:rsid w:val="00CF6A4E"/>
    <w:rsid w:val="00CF6E58"/>
    <w:rsid w:val="00D02C33"/>
    <w:rsid w:val="00D0562D"/>
    <w:rsid w:val="00D211AF"/>
    <w:rsid w:val="00D25310"/>
    <w:rsid w:val="00D26176"/>
    <w:rsid w:val="00D30081"/>
    <w:rsid w:val="00D324D9"/>
    <w:rsid w:val="00D3486D"/>
    <w:rsid w:val="00D35F12"/>
    <w:rsid w:val="00D41DFD"/>
    <w:rsid w:val="00D424B6"/>
    <w:rsid w:val="00D440E9"/>
    <w:rsid w:val="00D506CE"/>
    <w:rsid w:val="00D5739C"/>
    <w:rsid w:val="00D635F7"/>
    <w:rsid w:val="00D667A3"/>
    <w:rsid w:val="00D7274B"/>
    <w:rsid w:val="00D9091B"/>
    <w:rsid w:val="00D92653"/>
    <w:rsid w:val="00D93474"/>
    <w:rsid w:val="00D93DFB"/>
    <w:rsid w:val="00D942D7"/>
    <w:rsid w:val="00D9465F"/>
    <w:rsid w:val="00DA020C"/>
    <w:rsid w:val="00DA2710"/>
    <w:rsid w:val="00DB0283"/>
    <w:rsid w:val="00DB1288"/>
    <w:rsid w:val="00DB1B82"/>
    <w:rsid w:val="00DB4BF1"/>
    <w:rsid w:val="00DB52FE"/>
    <w:rsid w:val="00DC00D5"/>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12F7"/>
    <w:rsid w:val="00E37F52"/>
    <w:rsid w:val="00E40E5F"/>
    <w:rsid w:val="00E41947"/>
    <w:rsid w:val="00E44B8D"/>
    <w:rsid w:val="00E4781F"/>
    <w:rsid w:val="00E5345E"/>
    <w:rsid w:val="00E54200"/>
    <w:rsid w:val="00E6091C"/>
    <w:rsid w:val="00E6225A"/>
    <w:rsid w:val="00E63311"/>
    <w:rsid w:val="00E66A44"/>
    <w:rsid w:val="00E70D15"/>
    <w:rsid w:val="00E72C4F"/>
    <w:rsid w:val="00E75509"/>
    <w:rsid w:val="00E75F49"/>
    <w:rsid w:val="00E769AA"/>
    <w:rsid w:val="00E80494"/>
    <w:rsid w:val="00E82226"/>
    <w:rsid w:val="00E8267E"/>
    <w:rsid w:val="00E84288"/>
    <w:rsid w:val="00E85E52"/>
    <w:rsid w:val="00E8704A"/>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5BC7"/>
    <w:rsid w:val="00EC64F0"/>
    <w:rsid w:val="00ED08C5"/>
    <w:rsid w:val="00ED2119"/>
    <w:rsid w:val="00ED4D4C"/>
    <w:rsid w:val="00ED5EB5"/>
    <w:rsid w:val="00ED76B8"/>
    <w:rsid w:val="00EE0589"/>
    <w:rsid w:val="00EE09A4"/>
    <w:rsid w:val="00EE2F72"/>
    <w:rsid w:val="00EE3E77"/>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0107"/>
    <w:rsid w:val="00F41D05"/>
    <w:rsid w:val="00F43C17"/>
    <w:rsid w:val="00F44624"/>
    <w:rsid w:val="00F51585"/>
    <w:rsid w:val="00F53C84"/>
    <w:rsid w:val="00F56BB6"/>
    <w:rsid w:val="00F6064B"/>
    <w:rsid w:val="00F60D2E"/>
    <w:rsid w:val="00F611EB"/>
    <w:rsid w:val="00F61368"/>
    <w:rsid w:val="00F61580"/>
    <w:rsid w:val="00F6246E"/>
    <w:rsid w:val="00F6356D"/>
    <w:rsid w:val="00F649B3"/>
    <w:rsid w:val="00F703EC"/>
    <w:rsid w:val="00F711F0"/>
    <w:rsid w:val="00F71CBB"/>
    <w:rsid w:val="00F73369"/>
    <w:rsid w:val="00F80759"/>
    <w:rsid w:val="00F80D88"/>
    <w:rsid w:val="00F831E6"/>
    <w:rsid w:val="00F84810"/>
    <w:rsid w:val="00F8518C"/>
    <w:rsid w:val="00F854F3"/>
    <w:rsid w:val="00F85603"/>
    <w:rsid w:val="00F864FF"/>
    <w:rsid w:val="00F87E19"/>
    <w:rsid w:val="00F90EEB"/>
    <w:rsid w:val="00FA0ABC"/>
    <w:rsid w:val="00FA4E0C"/>
    <w:rsid w:val="00FA6D51"/>
    <w:rsid w:val="00FA722C"/>
    <w:rsid w:val="00FB4BD8"/>
    <w:rsid w:val="00FB5688"/>
    <w:rsid w:val="00FB69E3"/>
    <w:rsid w:val="00FC2174"/>
    <w:rsid w:val="00FC2362"/>
    <w:rsid w:val="00FC2EED"/>
    <w:rsid w:val="00FC384C"/>
    <w:rsid w:val="00FD03D2"/>
    <w:rsid w:val="00FD10F1"/>
    <w:rsid w:val="00FD2837"/>
    <w:rsid w:val="00FD4151"/>
    <w:rsid w:val="00FD5053"/>
    <w:rsid w:val="00FD7EDD"/>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44B333F4"/>
  <w15:chartTrackingRefBased/>
  <w15:docId w15:val="{C81B9F4E-EE64-406B-8E23-CC33970E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eastAsia="en-US"/>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2E4790"/>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8A26DC"/>
    <w:rPr>
      <w:rFonts w:ascii="Arial" w:hAnsi="Arial"/>
      <w:b/>
      <w:bCs/>
      <w:caps/>
      <w:color w:val="0000F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9C73D-BE57-4C69-90E1-0E4472C4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1</TotalTime>
  <Pages>8</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12432</CharactersWithSpaces>
  <SharedDoc>false</SharedDoc>
  <HLinks>
    <vt:vector size="18" baseType="variant">
      <vt:variant>
        <vt:i4>1048629</vt:i4>
      </vt:variant>
      <vt:variant>
        <vt:i4>14</vt:i4>
      </vt:variant>
      <vt:variant>
        <vt:i4>0</vt:i4>
      </vt:variant>
      <vt:variant>
        <vt:i4>5</vt:i4>
      </vt:variant>
      <vt:variant>
        <vt:lpwstr/>
      </vt:variant>
      <vt:variant>
        <vt:lpwstr>_Toc77174572</vt:lpwstr>
      </vt:variant>
      <vt:variant>
        <vt:i4>1245237</vt:i4>
      </vt:variant>
      <vt:variant>
        <vt:i4>8</vt:i4>
      </vt:variant>
      <vt:variant>
        <vt:i4>0</vt:i4>
      </vt:variant>
      <vt:variant>
        <vt:i4>5</vt:i4>
      </vt:variant>
      <vt:variant>
        <vt:lpwstr/>
      </vt:variant>
      <vt:variant>
        <vt:lpwstr>_Toc77174571</vt:lpwstr>
      </vt:variant>
      <vt:variant>
        <vt:i4>1179701</vt:i4>
      </vt:variant>
      <vt:variant>
        <vt:i4>2</vt:i4>
      </vt:variant>
      <vt:variant>
        <vt:i4>0</vt:i4>
      </vt:variant>
      <vt:variant>
        <vt:i4>5</vt:i4>
      </vt:variant>
      <vt:variant>
        <vt:lpwstr/>
      </vt:variant>
      <vt:variant>
        <vt:lpwstr>_Toc77174570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Glenn Tice (Metadata Technology)</cp:lastModifiedBy>
  <cp:revision>3</cp:revision>
  <cp:lastPrinted>2010-09-28T00:12:00Z</cp:lastPrinted>
  <dcterms:created xsi:type="dcterms:W3CDTF">2021-09-13T11:47:00Z</dcterms:created>
  <dcterms:modified xsi:type="dcterms:W3CDTF">2021-09-13T11:49:00Z</dcterms:modified>
</cp:coreProperties>
</file>