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F8FCB" w14:textId="63923776" w:rsidR="00E17CCF" w:rsidRDefault="00E17CCF" w:rsidP="00E17CCF">
      <w:pPr>
        <w:pStyle w:val="Heading1"/>
      </w:pPr>
      <w:r w:rsidRPr="00E17CCF">
        <w:t>COVID-19 Pandemisi ve Rusya-Ukrayna Savaşı Süresince Farklı Coğrafyalardaki Limanların Ticaret Hacmi Eğilimleri (2018–2024)</w:t>
      </w:r>
    </w:p>
    <w:p w14:paraId="241A4F6D" w14:textId="6E74C165" w:rsidR="0055115E" w:rsidRDefault="0055115E" w:rsidP="0055115E">
      <w:r>
        <w:t>Sudenaz Baysağ</w:t>
      </w:r>
    </w:p>
    <w:p w14:paraId="510A6082" w14:textId="15D82FF3" w:rsidR="0055115E" w:rsidRDefault="0055115E" w:rsidP="007170B9">
      <w:r>
        <w:t>2210329133</w:t>
      </w:r>
    </w:p>
    <w:p w14:paraId="567EC69C" w14:textId="41A0904B" w:rsidR="0055115E" w:rsidRPr="0055115E" w:rsidRDefault="0055115E" w:rsidP="0055115E">
      <w:pPr>
        <w:pStyle w:val="Heading2"/>
      </w:pPr>
      <w:r>
        <w:t>Giriş</w:t>
      </w:r>
    </w:p>
    <w:p w14:paraId="084C4617" w14:textId="77777777" w:rsidR="0055115E" w:rsidRPr="0055115E" w:rsidRDefault="0055115E" w:rsidP="0055115E">
      <w:pPr>
        <w:rPr>
          <w:rFonts w:ascii="Times New Roman" w:eastAsia="Times New Roman" w:hAnsi="Times New Roman" w:cs="Times New Roman"/>
          <w:kern w:val="0"/>
          <w:sz w:val="24"/>
          <w:szCs w:val="24"/>
          <w:lang w:eastAsia="tr-TR"/>
          <w14:ligatures w14:val="none"/>
        </w:rPr>
      </w:pPr>
      <w:r w:rsidRPr="0055115E">
        <w:rPr>
          <w:rFonts w:ascii="Times New Roman" w:eastAsia="Times New Roman" w:hAnsi="Times New Roman" w:cs="Times New Roman"/>
          <w:kern w:val="0"/>
          <w:sz w:val="24"/>
          <w:szCs w:val="24"/>
          <w:lang w:eastAsia="tr-TR"/>
          <w14:ligatures w14:val="none"/>
        </w:rPr>
        <w:t>Bu raporda, 2018–2024 yılları arasında gerçekleşen COVID-19 pandemisi ve Rusya-Ukrayna Savaşı gibi önemli küresel krizlerin, farklı bölgelerde yer alan seçili limanların ticaret hacmi üzerindeki etkileri incelenmiştir. Özellikle konteyner elleçleme miktarları (TEU) üzerinden, bu limanların kriz dönemlerinde gösterdiği değişim karşılaştırmalı olarak değerlendirilmiştir.</w:t>
      </w:r>
    </w:p>
    <w:p w14:paraId="71299F98" w14:textId="77777777" w:rsidR="0055115E" w:rsidRPr="0055115E" w:rsidRDefault="0055115E" w:rsidP="0055115E">
      <w:pPr>
        <w:rPr>
          <w:rFonts w:ascii="Times New Roman" w:eastAsia="Times New Roman" w:hAnsi="Times New Roman" w:cs="Times New Roman"/>
          <w:kern w:val="0"/>
          <w:sz w:val="24"/>
          <w:szCs w:val="24"/>
          <w:lang w:eastAsia="tr-TR"/>
          <w14:ligatures w14:val="none"/>
        </w:rPr>
      </w:pPr>
      <w:r w:rsidRPr="0055115E">
        <w:rPr>
          <w:rFonts w:ascii="Times New Roman" w:eastAsia="Times New Roman" w:hAnsi="Times New Roman" w:cs="Times New Roman"/>
          <w:kern w:val="0"/>
          <w:sz w:val="24"/>
          <w:szCs w:val="24"/>
          <w:lang w:eastAsia="tr-TR"/>
          <w14:ligatures w14:val="none"/>
        </w:rPr>
        <w:t>Limanlar farklı kıtalardan ve ticaret yollarından seçilmiştir. Çin’in Şanghay Limanı Asya’daki üretim ve ihracatın merkezinde yer alırken, Avrupa'daki Rotterdam ve Hamburg limanları kıtanın ana lojistik merkezlerindendir. ABD’nin Los Angeles Limanı ise Pasifik üzerinden yapılan dış ticaretin yoğunlaştığı bir noktadır.</w:t>
      </w:r>
    </w:p>
    <w:p w14:paraId="64DC6FBF" w14:textId="77777777" w:rsidR="0055115E" w:rsidRDefault="0055115E" w:rsidP="0055115E">
      <w:pPr>
        <w:rPr>
          <w:rFonts w:ascii="Times New Roman" w:eastAsia="Times New Roman" w:hAnsi="Times New Roman" w:cs="Times New Roman"/>
          <w:kern w:val="0"/>
          <w:sz w:val="24"/>
          <w:szCs w:val="24"/>
          <w:lang w:eastAsia="tr-TR"/>
          <w14:ligatures w14:val="none"/>
        </w:rPr>
      </w:pPr>
      <w:r w:rsidRPr="0055115E">
        <w:rPr>
          <w:rFonts w:ascii="Times New Roman" w:eastAsia="Times New Roman" w:hAnsi="Times New Roman" w:cs="Times New Roman"/>
          <w:kern w:val="0"/>
          <w:sz w:val="24"/>
          <w:szCs w:val="24"/>
          <w:lang w:eastAsia="tr-TR"/>
          <w14:ligatures w14:val="none"/>
        </w:rPr>
        <w:t>Bunların yanında Türkiye (Mersin), Mısır (İskenderiye) ve Lübnan (Beyrut) gibi Doğu Akdeniz’deki geçiş noktalarında bulunan limanlar da çalışmaya dahil edilmiştir. Bu limanlar, hem Avrupa-Asya-Afrika ticaret hattı üzerinde yer almakta hem de Rusya, Ukrayna ve Çin gibi büyük ülkelerin bölgedeki ekonomik ve lojistik etkilerinden doğrudan etkilenebilecek konumdadır. Bu sayede, sadece büyük limanlar değil, farklı bölgelerdeki stratejik geçiş noktaları da analiz edilerek daha dengeli bir değerlendirme yapılması hedeflenmiştir.</w:t>
      </w:r>
    </w:p>
    <w:p w14:paraId="5F35E3B9" w14:textId="77777777" w:rsidR="0055115E" w:rsidRDefault="0055115E" w:rsidP="0055115E">
      <w:pPr>
        <w:rPr>
          <w:rFonts w:ascii="Times New Roman" w:eastAsia="Times New Roman" w:hAnsi="Times New Roman" w:cs="Times New Roman"/>
          <w:kern w:val="0"/>
          <w:sz w:val="24"/>
          <w:szCs w:val="24"/>
          <w:lang w:eastAsia="tr-TR"/>
          <w14:ligatures w14:val="none"/>
        </w:rPr>
      </w:pPr>
    </w:p>
    <w:p w14:paraId="676FC9EA" w14:textId="77777777" w:rsidR="0055115E" w:rsidRDefault="0055115E" w:rsidP="0055115E">
      <w:pPr>
        <w:rPr>
          <w:rFonts w:ascii="Times New Roman" w:eastAsia="Times New Roman" w:hAnsi="Times New Roman" w:cs="Times New Roman"/>
          <w:kern w:val="0"/>
          <w:sz w:val="24"/>
          <w:szCs w:val="24"/>
          <w:lang w:eastAsia="tr-TR"/>
          <w14:ligatures w14:val="none"/>
        </w:rPr>
      </w:pPr>
    </w:p>
    <w:p w14:paraId="746C970E" w14:textId="748E5B43" w:rsidR="0055115E" w:rsidRPr="0055115E" w:rsidRDefault="0055115E" w:rsidP="0055115E">
      <w:pPr>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Raporda yer alan ülkeler ve analizi yapılan ülkenin en büyük limanı</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940"/>
        <w:gridCol w:w="3420"/>
      </w:tblGrid>
      <w:tr w:rsidR="00E17CCF" w:rsidRPr="00E17CCF" w14:paraId="782A7CA2" w14:textId="77777777" w:rsidTr="00E17CCF">
        <w:trPr>
          <w:trHeight w:val="288"/>
        </w:trPr>
        <w:tc>
          <w:tcPr>
            <w:tcW w:w="3940" w:type="dxa"/>
            <w:shd w:val="clear" w:color="auto" w:fill="auto"/>
            <w:vAlign w:val="center"/>
            <w:hideMark/>
          </w:tcPr>
          <w:p w14:paraId="6D3BBAF4" w14:textId="3CD458A3" w:rsidR="00E17CCF" w:rsidRPr="00E17CCF" w:rsidRDefault="00E17CCF" w:rsidP="00E17CCF">
            <w:pPr>
              <w:spacing w:after="0" w:line="240" w:lineRule="auto"/>
              <w:jc w:val="center"/>
              <w:rPr>
                <w:rFonts w:ascii="Calibri" w:eastAsia="Times New Roman" w:hAnsi="Calibri" w:cs="Calibri"/>
                <w:b/>
                <w:bCs/>
                <w:kern w:val="0"/>
                <w:lang w:eastAsia="tr-TR"/>
                <w14:ligatures w14:val="none"/>
              </w:rPr>
            </w:pPr>
            <w:r>
              <w:rPr>
                <w:rFonts w:ascii="Calibri" w:eastAsia="Times New Roman" w:hAnsi="Calibri" w:cs="Calibri"/>
                <w:b/>
                <w:bCs/>
                <w:kern w:val="0"/>
                <w:lang w:eastAsia="tr-TR"/>
                <w14:ligatures w14:val="none"/>
              </w:rPr>
              <w:t>Ülke</w:t>
            </w:r>
          </w:p>
        </w:tc>
        <w:tc>
          <w:tcPr>
            <w:tcW w:w="3420" w:type="dxa"/>
            <w:shd w:val="clear" w:color="auto" w:fill="auto"/>
            <w:vAlign w:val="center"/>
            <w:hideMark/>
          </w:tcPr>
          <w:p w14:paraId="27801821" w14:textId="56189FEB" w:rsidR="00E17CCF" w:rsidRPr="00E17CCF" w:rsidRDefault="00E17CCF" w:rsidP="00E17CCF">
            <w:pPr>
              <w:spacing w:after="0" w:line="240" w:lineRule="auto"/>
              <w:jc w:val="center"/>
              <w:rPr>
                <w:rFonts w:ascii="Calibri" w:eastAsia="Times New Roman" w:hAnsi="Calibri" w:cs="Calibri"/>
                <w:b/>
                <w:bCs/>
                <w:kern w:val="0"/>
                <w:lang w:eastAsia="tr-TR"/>
                <w14:ligatures w14:val="none"/>
              </w:rPr>
            </w:pPr>
            <w:r>
              <w:rPr>
                <w:rFonts w:ascii="Calibri" w:eastAsia="Times New Roman" w:hAnsi="Calibri" w:cs="Calibri"/>
                <w:b/>
                <w:bCs/>
                <w:kern w:val="0"/>
                <w:lang w:eastAsia="tr-TR"/>
                <w14:ligatures w14:val="none"/>
              </w:rPr>
              <w:t>Liman</w:t>
            </w:r>
          </w:p>
        </w:tc>
      </w:tr>
      <w:tr w:rsidR="00E17CCF" w:rsidRPr="00E17CCF" w14:paraId="41231B04" w14:textId="77777777" w:rsidTr="00E17CCF">
        <w:trPr>
          <w:trHeight w:val="288"/>
        </w:trPr>
        <w:tc>
          <w:tcPr>
            <w:tcW w:w="3940" w:type="dxa"/>
            <w:shd w:val="clear" w:color="auto" w:fill="auto"/>
            <w:vAlign w:val="center"/>
            <w:hideMark/>
          </w:tcPr>
          <w:p w14:paraId="10FC3A1B" w14:textId="6F0F59B0"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Çin</w:t>
            </w:r>
          </w:p>
        </w:tc>
        <w:tc>
          <w:tcPr>
            <w:tcW w:w="3420" w:type="dxa"/>
            <w:shd w:val="clear" w:color="auto" w:fill="auto"/>
            <w:vAlign w:val="center"/>
            <w:hideMark/>
          </w:tcPr>
          <w:p w14:paraId="374DDCF9"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Shanghai</w:t>
            </w:r>
          </w:p>
        </w:tc>
      </w:tr>
      <w:tr w:rsidR="00E17CCF" w:rsidRPr="00E17CCF" w14:paraId="45B3C7DC" w14:textId="77777777" w:rsidTr="00E17CCF">
        <w:trPr>
          <w:trHeight w:val="288"/>
        </w:trPr>
        <w:tc>
          <w:tcPr>
            <w:tcW w:w="3940" w:type="dxa"/>
            <w:shd w:val="clear" w:color="auto" w:fill="auto"/>
            <w:vAlign w:val="center"/>
            <w:hideMark/>
          </w:tcPr>
          <w:p w14:paraId="7AD04B21" w14:textId="596A21DA"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Hollanda</w:t>
            </w:r>
          </w:p>
        </w:tc>
        <w:tc>
          <w:tcPr>
            <w:tcW w:w="3420" w:type="dxa"/>
            <w:shd w:val="clear" w:color="auto" w:fill="auto"/>
            <w:vAlign w:val="center"/>
            <w:hideMark/>
          </w:tcPr>
          <w:p w14:paraId="23DF39A9" w14:textId="6BAA1D85"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Rotterda</w:t>
            </w:r>
            <w:r>
              <w:rPr>
                <w:rFonts w:ascii="Calibri" w:eastAsia="Times New Roman" w:hAnsi="Calibri" w:cs="Calibri"/>
                <w:kern w:val="0"/>
                <w:lang w:eastAsia="tr-TR"/>
                <w14:ligatures w14:val="none"/>
              </w:rPr>
              <w:t>m</w:t>
            </w:r>
          </w:p>
        </w:tc>
      </w:tr>
      <w:tr w:rsidR="00E17CCF" w:rsidRPr="00E17CCF" w14:paraId="79F53F65" w14:textId="77777777" w:rsidTr="00E17CCF">
        <w:trPr>
          <w:trHeight w:val="288"/>
        </w:trPr>
        <w:tc>
          <w:tcPr>
            <w:tcW w:w="3940" w:type="dxa"/>
            <w:shd w:val="clear" w:color="auto" w:fill="auto"/>
            <w:vAlign w:val="center"/>
            <w:hideMark/>
          </w:tcPr>
          <w:p w14:paraId="1D0716FE" w14:textId="290E7790"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Almanya</w:t>
            </w:r>
          </w:p>
        </w:tc>
        <w:tc>
          <w:tcPr>
            <w:tcW w:w="3420" w:type="dxa"/>
            <w:shd w:val="clear" w:color="auto" w:fill="auto"/>
            <w:vAlign w:val="center"/>
            <w:hideMark/>
          </w:tcPr>
          <w:p w14:paraId="3409E079"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Hamburg</w:t>
            </w:r>
          </w:p>
        </w:tc>
      </w:tr>
      <w:tr w:rsidR="00E17CCF" w:rsidRPr="00E17CCF" w14:paraId="3EDB899B" w14:textId="77777777" w:rsidTr="00E17CCF">
        <w:trPr>
          <w:trHeight w:val="288"/>
        </w:trPr>
        <w:tc>
          <w:tcPr>
            <w:tcW w:w="3940" w:type="dxa"/>
            <w:shd w:val="clear" w:color="auto" w:fill="auto"/>
            <w:vAlign w:val="center"/>
            <w:hideMark/>
          </w:tcPr>
          <w:p w14:paraId="508E03CC" w14:textId="13212F36"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T</w:t>
            </w:r>
            <w:r>
              <w:rPr>
                <w:rFonts w:ascii="Calibri" w:eastAsia="Times New Roman" w:hAnsi="Calibri" w:cs="Calibri"/>
                <w:kern w:val="0"/>
                <w:lang w:eastAsia="tr-TR"/>
                <w14:ligatures w14:val="none"/>
              </w:rPr>
              <w:t>ürkiye</w:t>
            </w:r>
          </w:p>
        </w:tc>
        <w:tc>
          <w:tcPr>
            <w:tcW w:w="3420" w:type="dxa"/>
            <w:shd w:val="clear" w:color="auto" w:fill="auto"/>
            <w:vAlign w:val="center"/>
            <w:hideMark/>
          </w:tcPr>
          <w:p w14:paraId="7334778E"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Mersin</w:t>
            </w:r>
          </w:p>
        </w:tc>
      </w:tr>
      <w:tr w:rsidR="00E17CCF" w:rsidRPr="00E17CCF" w14:paraId="5BCFEFC7" w14:textId="77777777" w:rsidTr="00E17CCF">
        <w:trPr>
          <w:trHeight w:val="288"/>
        </w:trPr>
        <w:tc>
          <w:tcPr>
            <w:tcW w:w="3940" w:type="dxa"/>
            <w:shd w:val="clear" w:color="auto" w:fill="auto"/>
            <w:vAlign w:val="center"/>
            <w:hideMark/>
          </w:tcPr>
          <w:p w14:paraId="073AE571" w14:textId="17DEFCA9"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Mısır</w:t>
            </w:r>
          </w:p>
        </w:tc>
        <w:tc>
          <w:tcPr>
            <w:tcW w:w="3420" w:type="dxa"/>
            <w:shd w:val="clear" w:color="auto" w:fill="auto"/>
            <w:vAlign w:val="center"/>
            <w:hideMark/>
          </w:tcPr>
          <w:p w14:paraId="7980C344" w14:textId="60688C97"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İskenderiye</w:t>
            </w:r>
          </w:p>
        </w:tc>
      </w:tr>
      <w:tr w:rsidR="00E17CCF" w:rsidRPr="00E17CCF" w14:paraId="53EC2BBB" w14:textId="77777777" w:rsidTr="00E17CCF">
        <w:trPr>
          <w:trHeight w:val="288"/>
        </w:trPr>
        <w:tc>
          <w:tcPr>
            <w:tcW w:w="3940" w:type="dxa"/>
            <w:shd w:val="clear" w:color="auto" w:fill="auto"/>
            <w:vAlign w:val="center"/>
            <w:hideMark/>
          </w:tcPr>
          <w:p w14:paraId="532E8AAC" w14:textId="6F148A15"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L</w:t>
            </w:r>
            <w:r>
              <w:rPr>
                <w:rFonts w:ascii="Calibri" w:eastAsia="Times New Roman" w:hAnsi="Calibri" w:cs="Calibri"/>
                <w:kern w:val="0"/>
                <w:lang w:eastAsia="tr-TR"/>
                <w14:ligatures w14:val="none"/>
              </w:rPr>
              <w:t>übnan</w:t>
            </w:r>
          </w:p>
        </w:tc>
        <w:tc>
          <w:tcPr>
            <w:tcW w:w="3420" w:type="dxa"/>
            <w:shd w:val="clear" w:color="auto" w:fill="auto"/>
            <w:vAlign w:val="center"/>
            <w:hideMark/>
          </w:tcPr>
          <w:p w14:paraId="3B8AB91C" w14:textId="4869CADB"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Be</w:t>
            </w:r>
            <w:r>
              <w:rPr>
                <w:rFonts w:ascii="Calibri" w:eastAsia="Times New Roman" w:hAnsi="Calibri" w:cs="Calibri"/>
                <w:kern w:val="0"/>
                <w:lang w:eastAsia="tr-TR"/>
                <w14:ligatures w14:val="none"/>
              </w:rPr>
              <w:t>yrut</w:t>
            </w:r>
          </w:p>
        </w:tc>
      </w:tr>
      <w:tr w:rsidR="00E17CCF" w:rsidRPr="00E17CCF" w14:paraId="1D64DF13" w14:textId="77777777" w:rsidTr="00E17CCF">
        <w:trPr>
          <w:trHeight w:val="288"/>
        </w:trPr>
        <w:tc>
          <w:tcPr>
            <w:tcW w:w="3940" w:type="dxa"/>
            <w:shd w:val="clear" w:color="auto" w:fill="auto"/>
            <w:vAlign w:val="center"/>
            <w:hideMark/>
          </w:tcPr>
          <w:p w14:paraId="2656867E" w14:textId="284EF919"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Pol</w:t>
            </w:r>
            <w:r>
              <w:rPr>
                <w:rFonts w:ascii="Calibri" w:eastAsia="Times New Roman" w:hAnsi="Calibri" w:cs="Calibri"/>
                <w:kern w:val="0"/>
                <w:lang w:eastAsia="tr-TR"/>
                <w14:ligatures w14:val="none"/>
              </w:rPr>
              <w:t>onya</w:t>
            </w:r>
          </w:p>
        </w:tc>
        <w:tc>
          <w:tcPr>
            <w:tcW w:w="3420" w:type="dxa"/>
            <w:shd w:val="clear" w:color="auto" w:fill="auto"/>
            <w:vAlign w:val="center"/>
            <w:hideMark/>
          </w:tcPr>
          <w:p w14:paraId="60725648"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Gdańsk</w:t>
            </w:r>
          </w:p>
        </w:tc>
      </w:tr>
      <w:tr w:rsidR="00E17CCF" w:rsidRPr="00E17CCF" w14:paraId="7241A5AC" w14:textId="77777777" w:rsidTr="00E17CCF">
        <w:trPr>
          <w:trHeight w:val="288"/>
        </w:trPr>
        <w:tc>
          <w:tcPr>
            <w:tcW w:w="3940" w:type="dxa"/>
            <w:shd w:val="clear" w:color="auto" w:fill="auto"/>
            <w:vAlign w:val="center"/>
            <w:hideMark/>
          </w:tcPr>
          <w:p w14:paraId="41CEAA5A" w14:textId="203A3D2E"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Rus</w:t>
            </w:r>
            <w:r>
              <w:rPr>
                <w:rFonts w:ascii="Calibri" w:eastAsia="Times New Roman" w:hAnsi="Calibri" w:cs="Calibri"/>
                <w:kern w:val="0"/>
                <w:lang w:eastAsia="tr-TR"/>
                <w14:ligatures w14:val="none"/>
              </w:rPr>
              <w:t>ya</w:t>
            </w:r>
          </w:p>
        </w:tc>
        <w:tc>
          <w:tcPr>
            <w:tcW w:w="3420" w:type="dxa"/>
            <w:shd w:val="clear" w:color="auto" w:fill="auto"/>
            <w:vAlign w:val="center"/>
            <w:hideMark/>
          </w:tcPr>
          <w:p w14:paraId="306A1F5B"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Novorossiysk (NUTEP)</w:t>
            </w:r>
          </w:p>
        </w:tc>
      </w:tr>
      <w:tr w:rsidR="00E17CCF" w:rsidRPr="00E17CCF" w14:paraId="5F9E041F" w14:textId="77777777" w:rsidTr="00E17CCF">
        <w:trPr>
          <w:trHeight w:val="288"/>
        </w:trPr>
        <w:tc>
          <w:tcPr>
            <w:tcW w:w="3940" w:type="dxa"/>
            <w:shd w:val="clear" w:color="auto" w:fill="auto"/>
            <w:vAlign w:val="center"/>
            <w:hideMark/>
          </w:tcPr>
          <w:p w14:paraId="5B7D997D" w14:textId="61E93838"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Ukra</w:t>
            </w:r>
            <w:r>
              <w:rPr>
                <w:rFonts w:ascii="Calibri" w:eastAsia="Times New Roman" w:hAnsi="Calibri" w:cs="Calibri"/>
                <w:kern w:val="0"/>
                <w:lang w:eastAsia="tr-TR"/>
                <w14:ligatures w14:val="none"/>
              </w:rPr>
              <w:t>yna</w:t>
            </w:r>
          </w:p>
        </w:tc>
        <w:tc>
          <w:tcPr>
            <w:tcW w:w="3420" w:type="dxa"/>
            <w:shd w:val="clear" w:color="auto" w:fill="auto"/>
            <w:vAlign w:val="center"/>
            <w:hideMark/>
          </w:tcPr>
          <w:p w14:paraId="7C7640B9"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Odessa</w:t>
            </w:r>
          </w:p>
        </w:tc>
      </w:tr>
      <w:tr w:rsidR="00E17CCF" w:rsidRPr="00E17CCF" w14:paraId="50D5C36D" w14:textId="77777777" w:rsidTr="00E17CCF">
        <w:trPr>
          <w:trHeight w:val="288"/>
        </w:trPr>
        <w:tc>
          <w:tcPr>
            <w:tcW w:w="3940" w:type="dxa"/>
            <w:shd w:val="clear" w:color="auto" w:fill="auto"/>
            <w:vAlign w:val="center"/>
            <w:hideMark/>
          </w:tcPr>
          <w:p w14:paraId="4C111079" w14:textId="579C703E" w:rsidR="00E17CCF" w:rsidRPr="00E17CCF" w:rsidRDefault="00E17CCF" w:rsidP="00E17CCF">
            <w:pPr>
              <w:spacing w:after="0" w:line="240" w:lineRule="auto"/>
              <w:rPr>
                <w:rFonts w:ascii="Calibri" w:eastAsia="Times New Roman" w:hAnsi="Calibri" w:cs="Calibri"/>
                <w:kern w:val="0"/>
                <w:lang w:eastAsia="tr-TR"/>
                <w14:ligatures w14:val="none"/>
              </w:rPr>
            </w:pPr>
            <w:r>
              <w:rPr>
                <w:rFonts w:ascii="Calibri" w:eastAsia="Times New Roman" w:hAnsi="Calibri" w:cs="Calibri"/>
                <w:kern w:val="0"/>
                <w:lang w:eastAsia="tr-TR"/>
                <w14:ligatures w14:val="none"/>
              </w:rPr>
              <w:t>Amerika Birleşik Devletleri</w:t>
            </w:r>
          </w:p>
        </w:tc>
        <w:tc>
          <w:tcPr>
            <w:tcW w:w="3420" w:type="dxa"/>
            <w:shd w:val="clear" w:color="auto" w:fill="auto"/>
            <w:vAlign w:val="center"/>
            <w:hideMark/>
          </w:tcPr>
          <w:p w14:paraId="45B1CB6C" w14:textId="77777777" w:rsidR="00E17CCF" w:rsidRPr="00E17CCF" w:rsidRDefault="00E17CCF" w:rsidP="00E17CCF">
            <w:pPr>
              <w:spacing w:after="0" w:line="240" w:lineRule="auto"/>
              <w:rPr>
                <w:rFonts w:ascii="Calibri" w:eastAsia="Times New Roman" w:hAnsi="Calibri" w:cs="Calibri"/>
                <w:kern w:val="0"/>
                <w:lang w:eastAsia="tr-TR"/>
                <w14:ligatures w14:val="none"/>
              </w:rPr>
            </w:pPr>
            <w:r w:rsidRPr="00E17CCF">
              <w:rPr>
                <w:rFonts w:ascii="Calibri" w:eastAsia="Times New Roman" w:hAnsi="Calibri" w:cs="Calibri"/>
                <w:kern w:val="0"/>
                <w:lang w:eastAsia="tr-TR"/>
                <w14:ligatures w14:val="none"/>
              </w:rPr>
              <w:t>Los Angeles</w:t>
            </w:r>
          </w:p>
        </w:tc>
      </w:tr>
    </w:tbl>
    <w:p w14:paraId="11522A05" w14:textId="77777777" w:rsidR="00E17CCF" w:rsidRDefault="00E17CCF" w:rsidP="00E17CCF">
      <w:pPr>
        <w:rPr>
          <w:rFonts w:asciiTheme="majorBidi" w:hAnsiTheme="majorBidi" w:cstheme="majorBidi"/>
          <w:sz w:val="28"/>
          <w:szCs w:val="28"/>
        </w:rPr>
      </w:pPr>
    </w:p>
    <w:p w14:paraId="167570F8" w14:textId="77777777" w:rsidR="00A02989" w:rsidRDefault="0055115E" w:rsidP="007170B9">
      <w:pPr>
        <w:pStyle w:val="Heading2"/>
      </w:pPr>
      <w:r w:rsidRPr="0055115E">
        <w:lastRenderedPageBreak/>
        <w:t>Kernel Density Plot</w:t>
      </w:r>
    </w:p>
    <w:p w14:paraId="50737F36" w14:textId="77777777" w:rsidR="00A02989" w:rsidRDefault="00A02989" w:rsidP="00A02989">
      <w:pPr>
        <w:pStyle w:val="NormalWeb"/>
      </w:pPr>
      <w:r>
        <w:t>Bir sürekli değişkenin dağılımını görsel olarak analiz etmek ve altında yatan olasılık yoğunluk fonksiyonunu tahmin etmektir.</w:t>
      </w:r>
    </w:p>
    <w:p w14:paraId="3CF4A98F" w14:textId="77777777" w:rsidR="00A02989" w:rsidRDefault="00A02989" w:rsidP="00A02989">
      <w:pPr>
        <w:pStyle w:val="NormalWeb"/>
        <w:numPr>
          <w:ilvl w:val="0"/>
          <w:numId w:val="14"/>
        </w:numPr>
      </w:pPr>
      <w:r>
        <w:t>Dağılımın şekli hakkında fikir edinmek (tek modlu mu, çift modlu mu?)</w:t>
      </w:r>
    </w:p>
    <w:p w14:paraId="11199783" w14:textId="77777777" w:rsidR="00A02989" w:rsidRDefault="00A02989" w:rsidP="00A02989">
      <w:pPr>
        <w:pStyle w:val="NormalWeb"/>
        <w:numPr>
          <w:ilvl w:val="0"/>
          <w:numId w:val="14"/>
        </w:numPr>
      </w:pPr>
      <w:r>
        <w:t>Verinin simetrik olup olmadığını görmek</w:t>
      </w:r>
    </w:p>
    <w:p w14:paraId="1DD637C9" w14:textId="77777777" w:rsidR="00A02989" w:rsidRDefault="00A02989" w:rsidP="00A02989">
      <w:pPr>
        <w:pStyle w:val="NormalWeb"/>
        <w:numPr>
          <w:ilvl w:val="0"/>
          <w:numId w:val="14"/>
        </w:numPr>
      </w:pPr>
      <w:r>
        <w:t>Histogramdan daha estetik ve doğru yoğunluk gösterimi elde etmek</w:t>
      </w:r>
    </w:p>
    <w:p w14:paraId="056DC25D" w14:textId="3B06547D" w:rsidR="00A02989" w:rsidRDefault="00A02989" w:rsidP="00A02989">
      <w:pPr>
        <w:rPr>
          <w:rFonts w:asciiTheme="majorBidi" w:hAnsiTheme="majorBidi" w:cstheme="majorBidi"/>
          <w:sz w:val="24"/>
          <w:szCs w:val="24"/>
        </w:rPr>
      </w:pPr>
      <w:r>
        <w:rPr>
          <w:rFonts w:asciiTheme="majorBidi" w:hAnsiTheme="majorBidi" w:cstheme="majorBidi"/>
          <w:sz w:val="24"/>
          <w:szCs w:val="24"/>
        </w:rPr>
        <w:t>i</w:t>
      </w:r>
      <w:r w:rsidRPr="00A02989">
        <w:rPr>
          <w:rFonts w:asciiTheme="majorBidi" w:hAnsiTheme="majorBidi" w:cstheme="majorBidi"/>
          <w:sz w:val="24"/>
          <w:szCs w:val="24"/>
        </w:rPr>
        <w:t>çin kullanılır.</w:t>
      </w:r>
    </w:p>
    <w:p w14:paraId="1C4373F4" w14:textId="77777777" w:rsidR="00F95AF3" w:rsidRPr="00F95AF3" w:rsidRDefault="00F95AF3" w:rsidP="00F95AF3">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F95AF3">
        <w:rPr>
          <w:rFonts w:ascii="Times New Roman" w:eastAsia="Times New Roman" w:hAnsi="Times New Roman" w:cs="Times New Roman"/>
          <w:b/>
          <w:bCs/>
          <w:kern w:val="0"/>
          <w:sz w:val="24"/>
          <w:szCs w:val="24"/>
          <w:lang w:eastAsia="tr-TR"/>
          <w14:ligatures w14:val="none"/>
        </w:rPr>
        <w:t>Avantajları</w:t>
      </w:r>
    </w:p>
    <w:p w14:paraId="62C41EE5" w14:textId="77777777" w:rsidR="00F95AF3" w:rsidRPr="00F95AF3" w:rsidRDefault="00F95AF3" w:rsidP="00F95AF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kern w:val="0"/>
          <w:sz w:val="24"/>
          <w:szCs w:val="24"/>
          <w:lang w:eastAsia="tr-TR"/>
          <w14:ligatures w14:val="none"/>
        </w:rPr>
        <w:t xml:space="preserve">Histogramlardan daha </w:t>
      </w:r>
      <w:r w:rsidRPr="00F95AF3">
        <w:rPr>
          <w:rFonts w:ascii="Times New Roman" w:eastAsia="Times New Roman" w:hAnsi="Times New Roman" w:cs="Times New Roman"/>
          <w:b/>
          <w:bCs/>
          <w:kern w:val="0"/>
          <w:sz w:val="24"/>
          <w:szCs w:val="24"/>
          <w:lang w:eastAsia="tr-TR"/>
          <w14:ligatures w14:val="none"/>
        </w:rPr>
        <w:t>yumuşak</w:t>
      </w:r>
      <w:r w:rsidRPr="00F95AF3">
        <w:rPr>
          <w:rFonts w:ascii="Times New Roman" w:eastAsia="Times New Roman" w:hAnsi="Times New Roman" w:cs="Times New Roman"/>
          <w:kern w:val="0"/>
          <w:sz w:val="24"/>
          <w:szCs w:val="24"/>
          <w:lang w:eastAsia="tr-TR"/>
          <w14:ligatures w14:val="none"/>
        </w:rPr>
        <w:t xml:space="preserve"> ve </w:t>
      </w:r>
      <w:r w:rsidRPr="00F95AF3">
        <w:rPr>
          <w:rFonts w:ascii="Times New Roman" w:eastAsia="Times New Roman" w:hAnsi="Times New Roman" w:cs="Times New Roman"/>
          <w:b/>
          <w:bCs/>
          <w:kern w:val="0"/>
          <w:sz w:val="24"/>
          <w:szCs w:val="24"/>
          <w:lang w:eastAsia="tr-TR"/>
          <w14:ligatures w14:val="none"/>
        </w:rPr>
        <w:t>sürekli</w:t>
      </w:r>
      <w:r w:rsidRPr="00F95AF3">
        <w:rPr>
          <w:rFonts w:ascii="Times New Roman" w:eastAsia="Times New Roman" w:hAnsi="Times New Roman" w:cs="Times New Roman"/>
          <w:kern w:val="0"/>
          <w:sz w:val="24"/>
          <w:szCs w:val="24"/>
          <w:lang w:eastAsia="tr-TR"/>
          <w14:ligatures w14:val="none"/>
        </w:rPr>
        <w:t xml:space="preserve"> dağılım eğrileri üretir</w:t>
      </w:r>
    </w:p>
    <w:p w14:paraId="18E22D6E" w14:textId="77777777" w:rsidR="00F95AF3" w:rsidRPr="00F95AF3" w:rsidRDefault="00F95AF3" w:rsidP="00F95AF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b/>
          <w:bCs/>
          <w:kern w:val="0"/>
          <w:sz w:val="24"/>
          <w:szCs w:val="24"/>
          <w:lang w:eastAsia="tr-TR"/>
          <w14:ligatures w14:val="none"/>
        </w:rPr>
        <w:t>Çift modlu</w:t>
      </w:r>
      <w:r w:rsidRPr="00F95AF3">
        <w:rPr>
          <w:rFonts w:ascii="Times New Roman" w:eastAsia="Times New Roman" w:hAnsi="Times New Roman" w:cs="Times New Roman"/>
          <w:kern w:val="0"/>
          <w:sz w:val="24"/>
          <w:szCs w:val="24"/>
          <w:lang w:eastAsia="tr-TR"/>
          <w14:ligatures w14:val="none"/>
        </w:rPr>
        <w:t xml:space="preserve"> veya daha karmaşık dağılımları kolaylıkla gösterebilir</w:t>
      </w:r>
    </w:p>
    <w:p w14:paraId="37F5A090" w14:textId="77777777" w:rsidR="00F95AF3" w:rsidRPr="00F95AF3" w:rsidRDefault="00F95AF3" w:rsidP="00F95AF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kern w:val="0"/>
          <w:sz w:val="24"/>
          <w:szCs w:val="24"/>
          <w:lang w:eastAsia="tr-TR"/>
          <w14:ligatures w14:val="none"/>
        </w:rPr>
        <w:t xml:space="preserve">Veriye </w:t>
      </w:r>
      <w:r w:rsidRPr="00F95AF3">
        <w:rPr>
          <w:rFonts w:ascii="Times New Roman" w:eastAsia="Times New Roman" w:hAnsi="Times New Roman" w:cs="Times New Roman"/>
          <w:b/>
          <w:bCs/>
          <w:kern w:val="0"/>
          <w:sz w:val="24"/>
          <w:szCs w:val="24"/>
          <w:lang w:eastAsia="tr-TR"/>
          <w14:ligatures w14:val="none"/>
        </w:rPr>
        <w:t xml:space="preserve">görsel </w:t>
      </w:r>
      <w:proofErr w:type="spellStart"/>
      <w:r w:rsidRPr="00F95AF3">
        <w:rPr>
          <w:rFonts w:ascii="Times New Roman" w:eastAsia="Times New Roman" w:hAnsi="Times New Roman" w:cs="Times New Roman"/>
          <w:b/>
          <w:bCs/>
          <w:kern w:val="0"/>
          <w:sz w:val="24"/>
          <w:szCs w:val="24"/>
          <w:lang w:eastAsia="tr-TR"/>
          <w14:ligatures w14:val="none"/>
        </w:rPr>
        <w:t>sezgisellik</w:t>
      </w:r>
      <w:proofErr w:type="spellEnd"/>
      <w:r w:rsidRPr="00F95AF3">
        <w:rPr>
          <w:rFonts w:ascii="Times New Roman" w:eastAsia="Times New Roman" w:hAnsi="Times New Roman" w:cs="Times New Roman"/>
          <w:kern w:val="0"/>
          <w:sz w:val="24"/>
          <w:szCs w:val="24"/>
          <w:lang w:eastAsia="tr-TR"/>
          <w14:ligatures w14:val="none"/>
        </w:rPr>
        <w:t xml:space="preserve"> kazandırır</w:t>
      </w:r>
    </w:p>
    <w:p w14:paraId="651D98B7" w14:textId="77777777" w:rsidR="00F95AF3" w:rsidRPr="00F95AF3" w:rsidRDefault="00F95AF3" w:rsidP="00F95AF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b/>
          <w:bCs/>
          <w:kern w:val="0"/>
          <w:sz w:val="24"/>
          <w:szCs w:val="24"/>
          <w:lang w:eastAsia="tr-TR"/>
          <w14:ligatures w14:val="none"/>
        </w:rPr>
        <w:t>Bin genişliği</w:t>
      </w:r>
      <w:r w:rsidRPr="00F95AF3">
        <w:rPr>
          <w:rFonts w:ascii="Times New Roman" w:eastAsia="Times New Roman" w:hAnsi="Times New Roman" w:cs="Times New Roman"/>
          <w:kern w:val="0"/>
          <w:sz w:val="24"/>
          <w:szCs w:val="24"/>
          <w:lang w:eastAsia="tr-TR"/>
          <w14:ligatures w14:val="none"/>
        </w:rPr>
        <w:t xml:space="preserve"> gibi histogram parametrelerine duyarlı değildir</w:t>
      </w:r>
    </w:p>
    <w:p w14:paraId="3B788D9B" w14:textId="479972B0" w:rsidR="00F95AF3" w:rsidRPr="00F95AF3" w:rsidRDefault="00F95AF3" w:rsidP="00F95AF3">
      <w:pPr>
        <w:spacing w:before="100" w:beforeAutospacing="1" w:after="100" w:afterAutospacing="1" w:line="240" w:lineRule="auto"/>
        <w:outlineLvl w:val="3"/>
        <w:rPr>
          <w:rFonts w:ascii="Times New Roman" w:eastAsia="Times New Roman" w:hAnsi="Times New Roman" w:cs="Times New Roman"/>
          <w:b/>
          <w:bCs/>
          <w:kern w:val="0"/>
          <w:sz w:val="24"/>
          <w:szCs w:val="24"/>
          <w:lang w:eastAsia="tr-TR"/>
          <w14:ligatures w14:val="none"/>
        </w:rPr>
      </w:pPr>
      <w:r w:rsidRPr="00F95AF3">
        <w:rPr>
          <w:rFonts w:ascii="Times New Roman" w:eastAsia="Times New Roman" w:hAnsi="Times New Roman" w:cs="Times New Roman"/>
          <w:b/>
          <w:bCs/>
          <w:kern w:val="0"/>
          <w:sz w:val="24"/>
          <w:szCs w:val="24"/>
          <w:lang w:eastAsia="tr-TR"/>
          <w14:ligatures w14:val="none"/>
        </w:rPr>
        <w:t>Dezavantajları</w:t>
      </w:r>
    </w:p>
    <w:p w14:paraId="1ADD4715" w14:textId="10CFA7D2" w:rsidR="00F95AF3" w:rsidRPr="00F95AF3" w:rsidRDefault="00F95AF3" w:rsidP="00F95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kern w:val="0"/>
          <w:sz w:val="24"/>
          <w:szCs w:val="24"/>
          <w:lang w:eastAsia="tr-TR"/>
          <w14:ligatures w14:val="none"/>
        </w:rPr>
        <w:t xml:space="preserve">Çekirdek (Kernel) fonksiyonunun türü ve </w:t>
      </w:r>
      <w:proofErr w:type="spellStart"/>
      <w:r w:rsidRPr="00F95AF3">
        <w:rPr>
          <w:rFonts w:ascii="Times New Roman" w:eastAsia="Times New Roman" w:hAnsi="Times New Roman" w:cs="Times New Roman"/>
          <w:b/>
          <w:bCs/>
          <w:kern w:val="0"/>
          <w:sz w:val="24"/>
          <w:szCs w:val="24"/>
          <w:lang w:eastAsia="tr-TR"/>
          <w14:ligatures w14:val="none"/>
        </w:rPr>
        <w:t>band</w:t>
      </w:r>
      <w:proofErr w:type="spellEnd"/>
      <w:r w:rsidRPr="00F95AF3">
        <w:rPr>
          <w:rFonts w:ascii="Times New Roman" w:eastAsia="Times New Roman" w:hAnsi="Times New Roman" w:cs="Times New Roman"/>
          <w:b/>
          <w:bCs/>
          <w:kern w:val="0"/>
          <w:sz w:val="24"/>
          <w:szCs w:val="24"/>
          <w:lang w:eastAsia="tr-TR"/>
          <w14:ligatures w14:val="none"/>
        </w:rPr>
        <w:t xml:space="preserve"> genişliği</w:t>
      </w:r>
      <w:r w:rsidRPr="00F95AF3">
        <w:rPr>
          <w:rFonts w:ascii="Times New Roman" w:eastAsia="Times New Roman" w:hAnsi="Times New Roman" w:cs="Times New Roman"/>
          <w:kern w:val="0"/>
          <w:sz w:val="24"/>
          <w:szCs w:val="24"/>
          <w:lang w:eastAsia="tr-TR"/>
          <w14:ligatures w14:val="none"/>
        </w:rPr>
        <w:t xml:space="preserve"> seçimi sonuçları ciddi şekilde etkileyebilir</w:t>
      </w:r>
    </w:p>
    <w:p w14:paraId="35FCA6F4" w14:textId="57517450" w:rsidR="00F95AF3" w:rsidRPr="00F95AF3" w:rsidRDefault="00F95AF3" w:rsidP="00F95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roofErr w:type="spellStart"/>
      <w:r w:rsidRPr="00F95AF3">
        <w:rPr>
          <w:rFonts w:ascii="Times New Roman" w:eastAsia="Times New Roman" w:hAnsi="Times New Roman" w:cs="Times New Roman"/>
          <w:kern w:val="0"/>
          <w:sz w:val="24"/>
          <w:szCs w:val="24"/>
          <w:lang w:eastAsia="tr-TR"/>
          <w14:ligatures w14:val="none"/>
        </w:rPr>
        <w:t>Band</w:t>
      </w:r>
      <w:proofErr w:type="spellEnd"/>
      <w:r w:rsidRPr="00F95AF3">
        <w:rPr>
          <w:rFonts w:ascii="Times New Roman" w:eastAsia="Times New Roman" w:hAnsi="Times New Roman" w:cs="Times New Roman"/>
          <w:kern w:val="0"/>
          <w:sz w:val="24"/>
          <w:szCs w:val="24"/>
          <w:lang w:eastAsia="tr-TR"/>
          <w14:ligatures w14:val="none"/>
        </w:rPr>
        <w:t xml:space="preserve"> genişliği yanlış seçilirse ya çok pürüzlü ya da çok düz bir grafik elde edilebilir</w:t>
      </w:r>
    </w:p>
    <w:p w14:paraId="389DAC91" w14:textId="77777777" w:rsidR="00F95AF3" w:rsidRPr="00F95AF3" w:rsidRDefault="00F95AF3" w:rsidP="00F95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kern w:val="0"/>
          <w:sz w:val="24"/>
          <w:szCs w:val="24"/>
          <w:lang w:eastAsia="tr-TR"/>
          <w14:ligatures w14:val="none"/>
        </w:rPr>
        <w:t>Büyük veri setlerinde işlem maliyeti yükselebilir</w:t>
      </w:r>
    </w:p>
    <w:p w14:paraId="13F20CEC" w14:textId="77777777" w:rsidR="00F95AF3" w:rsidRPr="00F95AF3" w:rsidRDefault="00F95AF3" w:rsidP="00F95AF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F95AF3">
        <w:rPr>
          <w:rFonts w:ascii="Times New Roman" w:eastAsia="Times New Roman" w:hAnsi="Times New Roman" w:cs="Times New Roman"/>
          <w:kern w:val="0"/>
          <w:sz w:val="24"/>
          <w:szCs w:val="24"/>
          <w:lang w:eastAsia="tr-TR"/>
          <w14:ligatures w14:val="none"/>
        </w:rPr>
        <w:t xml:space="preserve">Kategorik veriler için </w:t>
      </w:r>
      <w:r w:rsidRPr="00F95AF3">
        <w:rPr>
          <w:rFonts w:ascii="Times New Roman" w:eastAsia="Times New Roman" w:hAnsi="Times New Roman" w:cs="Times New Roman"/>
          <w:b/>
          <w:bCs/>
          <w:kern w:val="0"/>
          <w:sz w:val="24"/>
          <w:szCs w:val="24"/>
          <w:lang w:eastAsia="tr-TR"/>
          <w14:ligatures w14:val="none"/>
        </w:rPr>
        <w:t>uygun değildir</w:t>
      </w:r>
    </w:p>
    <w:p w14:paraId="15F48A6B" w14:textId="06FCFDB3" w:rsidR="00F95AF3" w:rsidRDefault="00F95AF3" w:rsidP="00F95AF3">
      <w:pPr>
        <w:rPr>
          <w:rFonts w:asciiTheme="majorBidi" w:hAnsiTheme="majorBidi" w:cstheme="majorBidi"/>
        </w:rPr>
      </w:pPr>
      <w:r>
        <w:rPr>
          <w:rFonts w:asciiTheme="majorBidi" w:hAnsiTheme="majorBidi" w:cstheme="majorBidi"/>
          <w:sz w:val="24"/>
          <w:szCs w:val="24"/>
        </w:rPr>
        <w:t xml:space="preserve">Bkz. </w:t>
      </w:r>
      <w:proofErr w:type="spellStart"/>
      <w:r w:rsidRPr="00F95AF3">
        <w:rPr>
          <w:rFonts w:asciiTheme="majorBidi" w:hAnsiTheme="majorBidi" w:cstheme="majorBidi"/>
        </w:rPr>
        <w:t>Silverman</w:t>
      </w:r>
      <w:proofErr w:type="spellEnd"/>
      <w:r w:rsidRPr="00F95AF3">
        <w:rPr>
          <w:rFonts w:asciiTheme="majorBidi" w:hAnsiTheme="majorBidi" w:cstheme="majorBidi"/>
        </w:rPr>
        <w:t xml:space="preserve">, B. W. (1986). </w:t>
      </w:r>
      <w:proofErr w:type="spellStart"/>
      <w:r w:rsidRPr="00F95AF3">
        <w:rPr>
          <w:rFonts w:asciiTheme="majorBidi" w:hAnsiTheme="majorBidi" w:cstheme="majorBidi"/>
          <w:i/>
          <w:iCs/>
        </w:rPr>
        <w:t>Density</w:t>
      </w:r>
      <w:proofErr w:type="spellEnd"/>
      <w:r w:rsidRPr="00F95AF3">
        <w:rPr>
          <w:rFonts w:asciiTheme="majorBidi" w:hAnsiTheme="majorBidi" w:cstheme="majorBidi"/>
          <w:i/>
          <w:iCs/>
        </w:rPr>
        <w:t xml:space="preserve"> </w:t>
      </w:r>
      <w:proofErr w:type="spellStart"/>
      <w:r w:rsidRPr="00F95AF3">
        <w:rPr>
          <w:rFonts w:asciiTheme="majorBidi" w:hAnsiTheme="majorBidi" w:cstheme="majorBidi"/>
          <w:i/>
          <w:iCs/>
        </w:rPr>
        <w:t>Estimation</w:t>
      </w:r>
      <w:proofErr w:type="spellEnd"/>
      <w:r w:rsidRPr="00F95AF3">
        <w:rPr>
          <w:rFonts w:asciiTheme="majorBidi" w:hAnsiTheme="majorBidi" w:cstheme="majorBidi"/>
          <w:i/>
          <w:iCs/>
        </w:rPr>
        <w:t xml:space="preserve"> </w:t>
      </w:r>
      <w:proofErr w:type="spellStart"/>
      <w:r w:rsidRPr="00F95AF3">
        <w:rPr>
          <w:rFonts w:asciiTheme="majorBidi" w:hAnsiTheme="majorBidi" w:cstheme="majorBidi"/>
          <w:i/>
          <w:iCs/>
        </w:rPr>
        <w:t>for</w:t>
      </w:r>
      <w:proofErr w:type="spellEnd"/>
      <w:r w:rsidRPr="00F95AF3">
        <w:rPr>
          <w:rFonts w:asciiTheme="majorBidi" w:hAnsiTheme="majorBidi" w:cstheme="majorBidi"/>
          <w:i/>
          <w:iCs/>
        </w:rPr>
        <w:t xml:space="preserve"> </w:t>
      </w:r>
      <w:proofErr w:type="spellStart"/>
      <w:r w:rsidRPr="00F95AF3">
        <w:rPr>
          <w:rFonts w:asciiTheme="majorBidi" w:hAnsiTheme="majorBidi" w:cstheme="majorBidi"/>
          <w:i/>
          <w:iCs/>
        </w:rPr>
        <w:t>Statistics</w:t>
      </w:r>
      <w:proofErr w:type="spellEnd"/>
      <w:r w:rsidRPr="00F95AF3">
        <w:rPr>
          <w:rFonts w:asciiTheme="majorBidi" w:hAnsiTheme="majorBidi" w:cstheme="majorBidi"/>
          <w:i/>
          <w:iCs/>
        </w:rPr>
        <w:t xml:space="preserve"> </w:t>
      </w:r>
      <w:proofErr w:type="spellStart"/>
      <w:r w:rsidRPr="00F95AF3">
        <w:rPr>
          <w:rFonts w:asciiTheme="majorBidi" w:hAnsiTheme="majorBidi" w:cstheme="majorBidi"/>
          <w:i/>
          <w:iCs/>
        </w:rPr>
        <w:t>and</w:t>
      </w:r>
      <w:proofErr w:type="spellEnd"/>
      <w:r w:rsidRPr="00F95AF3">
        <w:rPr>
          <w:rFonts w:asciiTheme="majorBidi" w:hAnsiTheme="majorBidi" w:cstheme="majorBidi"/>
          <w:i/>
          <w:iCs/>
        </w:rPr>
        <w:t xml:space="preserve"> Data Analysis</w:t>
      </w:r>
      <w:r w:rsidRPr="00F95AF3">
        <w:rPr>
          <w:rFonts w:asciiTheme="majorBidi" w:hAnsiTheme="majorBidi" w:cstheme="majorBidi"/>
        </w:rPr>
        <w:t xml:space="preserve">. Chapman </w:t>
      </w:r>
      <w:proofErr w:type="spellStart"/>
      <w:r w:rsidRPr="00F95AF3">
        <w:rPr>
          <w:rFonts w:asciiTheme="majorBidi" w:hAnsiTheme="majorBidi" w:cstheme="majorBidi"/>
        </w:rPr>
        <w:t>and</w:t>
      </w:r>
      <w:proofErr w:type="spellEnd"/>
      <w:r w:rsidRPr="00F95AF3">
        <w:rPr>
          <w:rFonts w:asciiTheme="majorBidi" w:hAnsiTheme="majorBidi" w:cstheme="majorBidi"/>
        </w:rPr>
        <w:t xml:space="preserve"> </w:t>
      </w:r>
      <w:proofErr w:type="spellStart"/>
      <w:r w:rsidRPr="00F95AF3">
        <w:rPr>
          <w:rFonts w:asciiTheme="majorBidi" w:hAnsiTheme="majorBidi" w:cstheme="majorBidi"/>
        </w:rPr>
        <w:t>Hall</w:t>
      </w:r>
      <w:proofErr w:type="spellEnd"/>
      <w:r w:rsidRPr="00F95AF3">
        <w:rPr>
          <w:rFonts w:asciiTheme="majorBidi" w:hAnsiTheme="majorBidi" w:cstheme="majorBidi"/>
        </w:rPr>
        <w:t>/CRC.</w:t>
      </w:r>
    </w:p>
    <w:p w14:paraId="5DBC5939" w14:textId="77777777" w:rsidR="004570FE" w:rsidRDefault="004570FE" w:rsidP="00F95AF3">
      <w:pPr>
        <w:rPr>
          <w:rFonts w:asciiTheme="majorBidi" w:hAnsiTheme="majorBidi" w:cstheme="majorBidi"/>
        </w:rPr>
      </w:pPr>
    </w:p>
    <w:p w14:paraId="3018F635" w14:textId="77777777" w:rsidR="004570FE" w:rsidRDefault="004570FE" w:rsidP="00F95AF3">
      <w:pPr>
        <w:rPr>
          <w:rFonts w:asciiTheme="majorBidi" w:hAnsiTheme="majorBidi" w:cstheme="majorBidi"/>
        </w:rPr>
      </w:pPr>
    </w:p>
    <w:p w14:paraId="4E155892" w14:textId="77777777" w:rsidR="004570FE" w:rsidRPr="00F95AF3" w:rsidRDefault="004570FE" w:rsidP="00F95AF3">
      <w:pPr>
        <w:rPr>
          <w:rFonts w:asciiTheme="majorBidi" w:hAnsiTheme="majorBidi" w:cstheme="majorBidi"/>
        </w:rPr>
      </w:pPr>
    </w:p>
    <w:p w14:paraId="2A943CAD" w14:textId="0EA62210" w:rsidR="005A79E2" w:rsidRDefault="0055115E" w:rsidP="007170B9">
      <w:pPr>
        <w:pStyle w:val="Heading2"/>
      </w:pPr>
      <w:r w:rsidRPr="0055115E">
        <w:t xml:space="preserve">Ticaret </w:t>
      </w:r>
      <w:r>
        <w:t>Değerinin</w:t>
      </w:r>
      <w:r w:rsidRPr="0055115E">
        <w:t xml:space="preserve"> Yoğunluk Dağılımı</w:t>
      </w:r>
    </w:p>
    <w:p w14:paraId="5752E268" w14:textId="1D8F90AF" w:rsidR="005A79E2" w:rsidRPr="007170B9" w:rsidRDefault="005A79E2" w:rsidP="005A79E2">
      <w:pPr>
        <w:rPr>
          <w:rFonts w:asciiTheme="majorBidi" w:hAnsiTheme="majorBidi" w:cstheme="majorBidi"/>
          <w:sz w:val="24"/>
          <w:szCs w:val="24"/>
        </w:rPr>
      </w:pPr>
      <w:r w:rsidRPr="007170B9">
        <w:rPr>
          <w:rFonts w:asciiTheme="majorBidi" w:hAnsiTheme="majorBidi" w:cstheme="majorBidi"/>
          <w:sz w:val="24"/>
          <w:szCs w:val="24"/>
        </w:rPr>
        <w:t>Limanların yıllık ticaret hacmi verileri farklı büyüklükteki değer aralıklarına sahip olduğu için, karşılaştırmalı analizlerde doğrudan kullanımları yanıltıcı olabilmektedir. Örneğin, Shanghai gibi mega limanlar milyonlarca TEU işlem hacmine sahipken, Odessa veya Be</w:t>
      </w:r>
      <w:r w:rsidR="00DF1633">
        <w:rPr>
          <w:rFonts w:asciiTheme="majorBidi" w:hAnsiTheme="majorBidi" w:cstheme="majorBidi"/>
          <w:sz w:val="24"/>
          <w:szCs w:val="24"/>
        </w:rPr>
        <w:t>y</w:t>
      </w:r>
      <w:r w:rsidRPr="007170B9">
        <w:rPr>
          <w:rFonts w:asciiTheme="majorBidi" w:hAnsiTheme="majorBidi" w:cstheme="majorBidi"/>
          <w:sz w:val="24"/>
          <w:szCs w:val="24"/>
        </w:rPr>
        <w:t xml:space="preserve">rut gibi limanların değerleri oldukça düşüktür. </w:t>
      </w:r>
    </w:p>
    <w:p w14:paraId="3CB06D03" w14:textId="413B24D1" w:rsidR="005A79E2" w:rsidRDefault="005A79E2" w:rsidP="005A79E2">
      <w:pPr>
        <w:rPr>
          <w:rFonts w:asciiTheme="majorBidi" w:hAnsiTheme="majorBidi" w:cstheme="majorBidi"/>
          <w:sz w:val="24"/>
          <w:szCs w:val="24"/>
        </w:rPr>
      </w:pPr>
      <w:r w:rsidRPr="007170B9">
        <w:rPr>
          <w:rFonts w:asciiTheme="majorBidi" w:hAnsiTheme="majorBidi" w:cstheme="majorBidi"/>
          <w:sz w:val="24"/>
          <w:szCs w:val="24"/>
        </w:rPr>
        <w:t xml:space="preserve">Bu nedenle, her limanın kendi ortalaması ve standart sapması dikkate alınarak hesaplanan </w:t>
      </w:r>
      <w:r w:rsidRPr="007170B9">
        <w:rPr>
          <w:rFonts w:asciiTheme="majorBidi" w:hAnsiTheme="majorBidi" w:cstheme="majorBidi"/>
          <w:b/>
          <w:bCs/>
          <w:sz w:val="24"/>
          <w:szCs w:val="24"/>
        </w:rPr>
        <w:t>Z-score</w:t>
      </w:r>
      <w:r w:rsidRPr="007170B9">
        <w:rPr>
          <w:rFonts w:asciiTheme="majorBidi" w:hAnsiTheme="majorBidi" w:cstheme="majorBidi"/>
          <w:sz w:val="24"/>
          <w:szCs w:val="24"/>
        </w:rPr>
        <w:t xml:space="preserve"> yöntemi tercih edilmiştir. Z-score, her bir değerin o limanın kendi ortalamasına göre kaç standart sapma uzaklıkta olduğunu gösterir. Bu sayede, tüm limanlar </w:t>
      </w:r>
      <w:r w:rsidRPr="007170B9">
        <w:rPr>
          <w:rFonts w:asciiTheme="majorBidi" w:hAnsiTheme="majorBidi" w:cstheme="majorBidi"/>
          <w:b/>
          <w:bCs/>
          <w:sz w:val="24"/>
          <w:szCs w:val="24"/>
        </w:rPr>
        <w:t>aynı ölçeğe indirgenmiş</w:t>
      </w:r>
      <w:r w:rsidRPr="007170B9">
        <w:rPr>
          <w:rFonts w:asciiTheme="majorBidi" w:hAnsiTheme="majorBidi" w:cstheme="majorBidi"/>
          <w:sz w:val="24"/>
          <w:szCs w:val="24"/>
        </w:rPr>
        <w:t xml:space="preserve"> olur ve </w:t>
      </w:r>
      <w:r w:rsidRPr="007170B9">
        <w:rPr>
          <w:rFonts w:asciiTheme="majorBidi" w:hAnsiTheme="majorBidi" w:cstheme="majorBidi"/>
          <w:b/>
          <w:bCs/>
          <w:sz w:val="24"/>
          <w:szCs w:val="24"/>
        </w:rPr>
        <w:t>zaman içindeki dalgalanmalar</w:t>
      </w:r>
      <w:r w:rsidRPr="007170B9">
        <w:rPr>
          <w:rFonts w:asciiTheme="majorBidi" w:hAnsiTheme="majorBidi" w:cstheme="majorBidi"/>
          <w:sz w:val="24"/>
          <w:szCs w:val="24"/>
        </w:rPr>
        <w:t xml:space="preserve"> göreli olarak karşılaştırılabilir hale gelir.</w:t>
      </w:r>
    </w:p>
    <w:p w14:paraId="52F79CF6" w14:textId="52558934" w:rsidR="00A02989" w:rsidRDefault="005A79E2" w:rsidP="00F95AF3">
      <w:r w:rsidRPr="005A79E2">
        <w:rPr>
          <w:noProof/>
        </w:rPr>
        <w:lastRenderedPageBreak/>
        <w:drawing>
          <wp:inline distT="0" distB="0" distL="0" distR="0" wp14:anchorId="72807882" wp14:editId="02446B62">
            <wp:extent cx="5951419" cy="3065584"/>
            <wp:effectExtent l="0" t="0" r="0" b="1905"/>
            <wp:docPr id="911953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5331" name="Picture 1" descr="A screenshot of a graph&#10;&#10;AI-generated content may be incorrect."/>
                    <pic:cNvPicPr/>
                  </pic:nvPicPr>
                  <pic:blipFill>
                    <a:blip r:embed="rId7"/>
                    <a:stretch>
                      <a:fillRect/>
                    </a:stretch>
                  </pic:blipFill>
                  <pic:spPr>
                    <a:xfrm>
                      <a:off x="0" y="0"/>
                      <a:ext cx="5964406" cy="3072274"/>
                    </a:xfrm>
                    <a:prstGeom prst="rect">
                      <a:avLst/>
                    </a:prstGeom>
                  </pic:spPr>
                </pic:pic>
              </a:graphicData>
            </a:graphic>
          </wp:inline>
        </w:drawing>
      </w:r>
    </w:p>
    <w:p w14:paraId="6E25CB3D" w14:textId="367D7BA3" w:rsidR="00DF1633" w:rsidRPr="00DF1633" w:rsidRDefault="005A79E2" w:rsidP="00F95AF3">
      <w:pPr>
        <w:pStyle w:val="Heading3"/>
      </w:pPr>
      <w:r w:rsidRPr="005A79E2">
        <w:t>Liman Bazlı Yoğunluk Eğilimleri</w:t>
      </w:r>
    </w:p>
    <w:p w14:paraId="5AAAF4F3" w14:textId="56498535" w:rsidR="005A79E2" w:rsidRPr="007170B9" w:rsidRDefault="005A79E2" w:rsidP="005A79E2">
      <w:pPr>
        <w:rPr>
          <w:rFonts w:asciiTheme="majorBidi" w:hAnsiTheme="majorBidi" w:cstheme="majorBidi"/>
          <w:b/>
          <w:bCs/>
          <w:sz w:val="24"/>
          <w:szCs w:val="24"/>
        </w:rPr>
      </w:pPr>
      <w:r w:rsidRPr="007170B9">
        <w:rPr>
          <w:rFonts w:asciiTheme="majorBidi" w:hAnsiTheme="majorBidi" w:cstheme="majorBidi"/>
          <w:b/>
          <w:bCs/>
          <w:sz w:val="24"/>
          <w:szCs w:val="24"/>
        </w:rPr>
        <w:t xml:space="preserve">1. Alexandria (Mısır), </w:t>
      </w:r>
      <w:r w:rsidR="00A02989" w:rsidRPr="007170B9">
        <w:rPr>
          <w:rFonts w:asciiTheme="majorBidi" w:hAnsiTheme="majorBidi" w:cstheme="majorBidi"/>
          <w:b/>
          <w:bCs/>
          <w:sz w:val="24"/>
          <w:szCs w:val="24"/>
        </w:rPr>
        <w:t>Beyrut</w:t>
      </w:r>
      <w:r w:rsidRPr="007170B9">
        <w:rPr>
          <w:rFonts w:asciiTheme="majorBidi" w:hAnsiTheme="majorBidi" w:cstheme="majorBidi"/>
          <w:b/>
          <w:bCs/>
          <w:sz w:val="24"/>
          <w:szCs w:val="24"/>
        </w:rPr>
        <w:t xml:space="preserve"> (Lübnan), Odessa (Ukrayna)</w:t>
      </w:r>
    </w:p>
    <w:p w14:paraId="6B83EF75" w14:textId="77777777" w:rsidR="005A79E2" w:rsidRDefault="005A79E2" w:rsidP="005A79E2">
      <w:pPr>
        <w:rPr>
          <w:rFonts w:asciiTheme="majorBidi" w:hAnsiTheme="majorBidi" w:cstheme="majorBidi"/>
          <w:sz w:val="24"/>
          <w:szCs w:val="24"/>
        </w:rPr>
      </w:pPr>
      <w:r w:rsidRPr="007170B9">
        <w:rPr>
          <w:rFonts w:asciiTheme="majorBidi" w:hAnsiTheme="majorBidi" w:cstheme="majorBidi"/>
          <w:sz w:val="24"/>
          <w:szCs w:val="24"/>
        </w:rPr>
        <w:t xml:space="preserve">Bu üç liman, dağılımın oldukça </w:t>
      </w:r>
      <w:r w:rsidRPr="007170B9">
        <w:rPr>
          <w:rFonts w:asciiTheme="majorBidi" w:hAnsiTheme="majorBidi" w:cstheme="majorBidi"/>
          <w:b/>
          <w:bCs/>
          <w:sz w:val="24"/>
          <w:szCs w:val="24"/>
        </w:rPr>
        <w:t>düz ve yayvan</w:t>
      </w:r>
      <w:r w:rsidRPr="007170B9">
        <w:rPr>
          <w:rFonts w:asciiTheme="majorBidi" w:hAnsiTheme="majorBidi" w:cstheme="majorBidi"/>
          <w:sz w:val="24"/>
          <w:szCs w:val="24"/>
        </w:rPr>
        <w:t xml:space="preserve"> olduğu örnekler arasında yer alır. Bu durum, yıllar arasında ticaret hacminin görece </w:t>
      </w:r>
      <w:r w:rsidRPr="007170B9">
        <w:rPr>
          <w:rFonts w:asciiTheme="majorBidi" w:hAnsiTheme="majorBidi" w:cstheme="majorBidi"/>
          <w:b/>
          <w:bCs/>
          <w:sz w:val="24"/>
          <w:szCs w:val="24"/>
        </w:rPr>
        <w:t>daha stabil</w:t>
      </w:r>
      <w:r w:rsidRPr="007170B9">
        <w:rPr>
          <w:rFonts w:asciiTheme="majorBidi" w:hAnsiTheme="majorBidi" w:cstheme="majorBidi"/>
          <w:sz w:val="24"/>
          <w:szCs w:val="24"/>
        </w:rPr>
        <w:t xml:space="preserve"> olduğunu ve sapmaların az yaşandığını göstermektedir. Özellikle Odessa için yoğunluk eğrisi </w:t>
      </w:r>
      <w:r w:rsidRPr="007170B9">
        <w:rPr>
          <w:rFonts w:asciiTheme="majorBidi" w:hAnsiTheme="majorBidi" w:cstheme="majorBidi"/>
          <w:b/>
          <w:bCs/>
          <w:sz w:val="24"/>
          <w:szCs w:val="24"/>
        </w:rPr>
        <w:t>simetrik ve dar</w:t>
      </w:r>
      <w:r w:rsidRPr="007170B9">
        <w:rPr>
          <w:rFonts w:asciiTheme="majorBidi" w:hAnsiTheme="majorBidi" w:cstheme="majorBidi"/>
          <w:sz w:val="24"/>
          <w:szCs w:val="24"/>
        </w:rPr>
        <w:t xml:space="preserve"> olup, büyüme veya düşüşlerin sınırlı olduğunu ima etmektedir.</w:t>
      </w:r>
    </w:p>
    <w:p w14:paraId="527F5FDE" w14:textId="77777777" w:rsidR="003024BD" w:rsidRPr="007170B9" w:rsidRDefault="003024BD" w:rsidP="005A79E2">
      <w:pPr>
        <w:rPr>
          <w:rFonts w:asciiTheme="majorBidi" w:hAnsiTheme="majorBidi" w:cstheme="majorBidi"/>
          <w:sz w:val="24"/>
          <w:szCs w:val="24"/>
        </w:rPr>
      </w:pPr>
    </w:p>
    <w:p w14:paraId="3F864BE6" w14:textId="4ABBAA1B" w:rsidR="005A79E2" w:rsidRPr="007170B9" w:rsidRDefault="005A79E2" w:rsidP="005A79E2">
      <w:pPr>
        <w:rPr>
          <w:rFonts w:asciiTheme="majorBidi" w:hAnsiTheme="majorBidi" w:cstheme="majorBidi"/>
          <w:b/>
          <w:bCs/>
          <w:sz w:val="24"/>
          <w:szCs w:val="24"/>
        </w:rPr>
      </w:pPr>
      <w:r w:rsidRPr="007170B9">
        <w:rPr>
          <w:rFonts w:asciiTheme="majorBidi" w:hAnsiTheme="majorBidi" w:cstheme="majorBidi"/>
          <w:b/>
          <w:bCs/>
          <w:sz w:val="24"/>
          <w:szCs w:val="24"/>
        </w:rPr>
        <w:t xml:space="preserve">2. </w:t>
      </w:r>
      <w:r w:rsidR="00A02989" w:rsidRPr="007170B9">
        <w:rPr>
          <w:rFonts w:asciiTheme="majorBidi" w:hAnsiTheme="majorBidi" w:cstheme="majorBidi"/>
          <w:b/>
          <w:bCs/>
          <w:sz w:val="24"/>
          <w:szCs w:val="24"/>
        </w:rPr>
        <w:t>Gdansk</w:t>
      </w:r>
      <w:r w:rsidRPr="007170B9">
        <w:rPr>
          <w:rFonts w:asciiTheme="majorBidi" w:hAnsiTheme="majorBidi" w:cstheme="majorBidi"/>
          <w:b/>
          <w:bCs/>
          <w:sz w:val="24"/>
          <w:szCs w:val="24"/>
        </w:rPr>
        <w:t xml:space="preserve"> (Polonya), Rotterdam (Hollanda)</w:t>
      </w:r>
    </w:p>
    <w:p w14:paraId="1E1A7BB7" w14:textId="77777777" w:rsidR="005A79E2" w:rsidRDefault="005A79E2" w:rsidP="005A79E2">
      <w:pPr>
        <w:rPr>
          <w:rFonts w:asciiTheme="majorBidi" w:hAnsiTheme="majorBidi" w:cstheme="majorBidi"/>
          <w:sz w:val="24"/>
          <w:szCs w:val="24"/>
        </w:rPr>
      </w:pPr>
      <w:r w:rsidRPr="007170B9">
        <w:rPr>
          <w:rFonts w:asciiTheme="majorBidi" w:hAnsiTheme="majorBidi" w:cstheme="majorBidi"/>
          <w:sz w:val="24"/>
          <w:szCs w:val="24"/>
        </w:rPr>
        <w:t xml:space="preserve">Bu limanlarda yoğunluk eğrisi </w:t>
      </w:r>
      <w:r w:rsidRPr="007170B9">
        <w:rPr>
          <w:rFonts w:asciiTheme="majorBidi" w:hAnsiTheme="majorBidi" w:cstheme="majorBidi"/>
          <w:b/>
          <w:bCs/>
          <w:sz w:val="24"/>
          <w:szCs w:val="24"/>
        </w:rPr>
        <w:t>belirgin bir tepe noktası</w:t>
      </w:r>
      <w:r w:rsidRPr="007170B9">
        <w:rPr>
          <w:rFonts w:asciiTheme="majorBidi" w:hAnsiTheme="majorBidi" w:cstheme="majorBidi"/>
          <w:sz w:val="24"/>
          <w:szCs w:val="24"/>
        </w:rPr>
        <w:t xml:space="preserve"> oluşturur ve eğriler daha </w:t>
      </w:r>
      <w:r w:rsidRPr="007170B9">
        <w:rPr>
          <w:rFonts w:asciiTheme="majorBidi" w:hAnsiTheme="majorBidi" w:cstheme="majorBidi"/>
          <w:b/>
          <w:bCs/>
          <w:sz w:val="24"/>
          <w:szCs w:val="24"/>
        </w:rPr>
        <w:t>konsantre</w:t>
      </w:r>
      <w:r w:rsidRPr="007170B9">
        <w:rPr>
          <w:rFonts w:asciiTheme="majorBidi" w:hAnsiTheme="majorBidi" w:cstheme="majorBidi"/>
          <w:sz w:val="24"/>
          <w:szCs w:val="24"/>
        </w:rPr>
        <w:t xml:space="preserve"> görünmektedir. Bu durum, belirli yıllarda hacmin net biçimde ortalamanın çevresine yoğunlaştığını gösterir. Özellikle Rotterdam’da veriler ortalamaya sıkı şekilde toplanmış gibi görünmektedir.</w:t>
      </w:r>
    </w:p>
    <w:p w14:paraId="0641EA03" w14:textId="77777777" w:rsidR="003024BD" w:rsidRPr="007170B9" w:rsidRDefault="003024BD" w:rsidP="005A79E2">
      <w:pPr>
        <w:rPr>
          <w:rFonts w:asciiTheme="majorBidi" w:hAnsiTheme="majorBidi" w:cstheme="majorBidi"/>
          <w:sz w:val="24"/>
          <w:szCs w:val="24"/>
        </w:rPr>
      </w:pPr>
    </w:p>
    <w:p w14:paraId="7908E80E" w14:textId="66935D6A" w:rsidR="005A79E2" w:rsidRPr="007170B9" w:rsidRDefault="005A79E2" w:rsidP="005A79E2">
      <w:pPr>
        <w:rPr>
          <w:rFonts w:asciiTheme="majorBidi" w:hAnsiTheme="majorBidi" w:cstheme="majorBidi"/>
          <w:b/>
          <w:bCs/>
          <w:sz w:val="24"/>
          <w:szCs w:val="24"/>
        </w:rPr>
      </w:pPr>
      <w:r w:rsidRPr="007170B9">
        <w:rPr>
          <w:rFonts w:asciiTheme="majorBidi" w:hAnsiTheme="majorBidi" w:cstheme="majorBidi"/>
          <w:b/>
          <w:bCs/>
          <w:sz w:val="24"/>
          <w:szCs w:val="24"/>
        </w:rPr>
        <w:t>3. Be</w:t>
      </w:r>
      <w:r w:rsidR="00DF1633">
        <w:rPr>
          <w:rFonts w:asciiTheme="majorBidi" w:hAnsiTheme="majorBidi" w:cstheme="majorBidi"/>
          <w:b/>
          <w:bCs/>
          <w:sz w:val="24"/>
          <w:szCs w:val="24"/>
        </w:rPr>
        <w:t>y</w:t>
      </w:r>
      <w:r w:rsidRPr="007170B9">
        <w:rPr>
          <w:rFonts w:asciiTheme="majorBidi" w:hAnsiTheme="majorBidi" w:cstheme="majorBidi"/>
          <w:b/>
          <w:bCs/>
          <w:sz w:val="24"/>
          <w:szCs w:val="24"/>
        </w:rPr>
        <w:t>rut (Lübnan)</w:t>
      </w:r>
    </w:p>
    <w:p w14:paraId="65BB535A" w14:textId="7195D014" w:rsidR="005A79E2" w:rsidRDefault="005A79E2" w:rsidP="005A79E2">
      <w:pPr>
        <w:rPr>
          <w:rFonts w:asciiTheme="majorBidi" w:hAnsiTheme="majorBidi" w:cstheme="majorBidi"/>
          <w:sz w:val="24"/>
          <w:szCs w:val="24"/>
        </w:rPr>
      </w:pPr>
      <w:r w:rsidRPr="007170B9">
        <w:rPr>
          <w:rFonts w:asciiTheme="majorBidi" w:hAnsiTheme="majorBidi" w:cstheme="majorBidi"/>
          <w:sz w:val="24"/>
          <w:szCs w:val="24"/>
        </w:rPr>
        <w:t>Be</w:t>
      </w:r>
      <w:r w:rsidR="00DF1633">
        <w:rPr>
          <w:rFonts w:asciiTheme="majorBidi" w:hAnsiTheme="majorBidi" w:cstheme="majorBidi"/>
          <w:sz w:val="24"/>
          <w:szCs w:val="24"/>
        </w:rPr>
        <w:t>y</w:t>
      </w:r>
      <w:r w:rsidRPr="007170B9">
        <w:rPr>
          <w:rFonts w:asciiTheme="majorBidi" w:hAnsiTheme="majorBidi" w:cstheme="majorBidi"/>
          <w:sz w:val="24"/>
          <w:szCs w:val="24"/>
        </w:rPr>
        <w:t>rut limanının eğrisi daha sağa yatık ve tepe noktası net; bu da bazı yıllarda belirgin yüksek performans (ya da düşük dönemlerin dışlanması) olabileceğini düşündürür. Ancak genel olarak ticaret hacmi dalgalanmasının daha dengesiz bir yapıda olduğunu söylemek mümkündür.</w:t>
      </w:r>
    </w:p>
    <w:p w14:paraId="0E157D13" w14:textId="77777777" w:rsidR="003024BD" w:rsidRPr="007170B9" w:rsidRDefault="003024BD" w:rsidP="005A79E2">
      <w:pPr>
        <w:rPr>
          <w:rFonts w:asciiTheme="majorBidi" w:hAnsiTheme="majorBidi" w:cstheme="majorBidi"/>
          <w:sz w:val="24"/>
          <w:szCs w:val="24"/>
        </w:rPr>
      </w:pPr>
    </w:p>
    <w:p w14:paraId="5E797DAF" w14:textId="00E24B56" w:rsidR="005A79E2" w:rsidRPr="007170B9" w:rsidRDefault="005A79E2" w:rsidP="005A79E2">
      <w:pPr>
        <w:rPr>
          <w:rFonts w:asciiTheme="majorBidi" w:hAnsiTheme="majorBidi" w:cstheme="majorBidi"/>
          <w:b/>
          <w:bCs/>
          <w:sz w:val="24"/>
          <w:szCs w:val="24"/>
        </w:rPr>
      </w:pPr>
      <w:r w:rsidRPr="007170B9">
        <w:rPr>
          <w:rFonts w:asciiTheme="majorBidi" w:hAnsiTheme="majorBidi" w:cstheme="majorBidi"/>
          <w:b/>
          <w:bCs/>
          <w:sz w:val="24"/>
          <w:szCs w:val="24"/>
        </w:rPr>
        <w:t xml:space="preserve">4. Mersin (Türkiye), </w:t>
      </w:r>
      <w:r w:rsidR="00A02989" w:rsidRPr="007170B9">
        <w:rPr>
          <w:rFonts w:asciiTheme="majorBidi" w:hAnsiTheme="majorBidi" w:cstheme="majorBidi"/>
          <w:b/>
          <w:bCs/>
          <w:sz w:val="24"/>
          <w:szCs w:val="24"/>
        </w:rPr>
        <w:t>Novorossisk</w:t>
      </w:r>
      <w:r w:rsidRPr="007170B9">
        <w:rPr>
          <w:rFonts w:asciiTheme="majorBidi" w:hAnsiTheme="majorBidi" w:cstheme="majorBidi"/>
          <w:b/>
          <w:bCs/>
          <w:sz w:val="24"/>
          <w:szCs w:val="24"/>
        </w:rPr>
        <w:t xml:space="preserve"> (Rusya), Los Angeles (ABD)</w:t>
      </w:r>
    </w:p>
    <w:p w14:paraId="75D7822E" w14:textId="77777777" w:rsidR="005A79E2" w:rsidRPr="007170B9" w:rsidRDefault="005A79E2" w:rsidP="005A79E2">
      <w:pPr>
        <w:rPr>
          <w:rFonts w:asciiTheme="majorBidi" w:hAnsiTheme="majorBidi" w:cstheme="majorBidi"/>
          <w:sz w:val="24"/>
          <w:szCs w:val="24"/>
        </w:rPr>
      </w:pPr>
      <w:r w:rsidRPr="007170B9">
        <w:rPr>
          <w:rFonts w:asciiTheme="majorBidi" w:hAnsiTheme="majorBidi" w:cstheme="majorBidi"/>
          <w:sz w:val="24"/>
          <w:szCs w:val="24"/>
        </w:rPr>
        <w:t xml:space="preserve">Bu limanlarda dağılım </w:t>
      </w:r>
      <w:r w:rsidRPr="007170B9">
        <w:rPr>
          <w:rFonts w:asciiTheme="majorBidi" w:hAnsiTheme="majorBidi" w:cstheme="majorBidi"/>
          <w:b/>
          <w:bCs/>
          <w:sz w:val="24"/>
          <w:szCs w:val="24"/>
        </w:rPr>
        <w:t>biraz daha geniş</w:t>
      </w:r>
      <w:r w:rsidRPr="007170B9">
        <w:rPr>
          <w:rFonts w:asciiTheme="majorBidi" w:hAnsiTheme="majorBidi" w:cstheme="majorBidi"/>
          <w:sz w:val="24"/>
          <w:szCs w:val="24"/>
        </w:rPr>
        <w:t>, yani yıllar arasında ticaret hacmi dalgalanması biraz daha yüksektir. Bu durum, hem küresel hem de bölgesel şokların (örneğin pandemi, savaş, tedarik zinciri krizleri) bu limanların performansını etkilediğini gösterebilir.</w:t>
      </w:r>
    </w:p>
    <w:p w14:paraId="67AA1638" w14:textId="77426B55" w:rsidR="005A79E2" w:rsidRPr="007170B9" w:rsidRDefault="005A79E2" w:rsidP="005A79E2">
      <w:pPr>
        <w:rPr>
          <w:rFonts w:asciiTheme="majorBidi" w:hAnsiTheme="majorBidi" w:cstheme="majorBidi"/>
          <w:b/>
          <w:bCs/>
          <w:sz w:val="24"/>
          <w:szCs w:val="24"/>
        </w:rPr>
      </w:pPr>
      <w:r w:rsidRPr="007170B9">
        <w:rPr>
          <w:rFonts w:asciiTheme="majorBidi" w:hAnsiTheme="majorBidi" w:cstheme="majorBidi"/>
          <w:b/>
          <w:bCs/>
          <w:sz w:val="24"/>
          <w:szCs w:val="24"/>
        </w:rPr>
        <w:lastRenderedPageBreak/>
        <w:t xml:space="preserve">5. </w:t>
      </w:r>
      <w:r w:rsidR="00A02989" w:rsidRPr="007170B9">
        <w:rPr>
          <w:rFonts w:asciiTheme="majorBidi" w:hAnsiTheme="majorBidi" w:cstheme="majorBidi"/>
          <w:b/>
          <w:bCs/>
          <w:sz w:val="24"/>
          <w:szCs w:val="24"/>
        </w:rPr>
        <w:t>Şanghay</w:t>
      </w:r>
      <w:r w:rsidRPr="007170B9">
        <w:rPr>
          <w:rFonts w:asciiTheme="majorBidi" w:hAnsiTheme="majorBidi" w:cstheme="majorBidi"/>
          <w:b/>
          <w:bCs/>
          <w:sz w:val="24"/>
          <w:szCs w:val="24"/>
        </w:rPr>
        <w:t xml:space="preserve"> (Çin)</w:t>
      </w:r>
    </w:p>
    <w:p w14:paraId="032357C3" w14:textId="77777777" w:rsidR="005A79E2" w:rsidRDefault="005A79E2" w:rsidP="005A79E2">
      <w:pPr>
        <w:rPr>
          <w:rFonts w:asciiTheme="majorBidi" w:hAnsiTheme="majorBidi" w:cstheme="majorBidi"/>
          <w:sz w:val="24"/>
          <w:szCs w:val="24"/>
        </w:rPr>
      </w:pPr>
      <w:r w:rsidRPr="007170B9">
        <w:rPr>
          <w:rFonts w:asciiTheme="majorBidi" w:hAnsiTheme="majorBidi" w:cstheme="majorBidi"/>
          <w:sz w:val="24"/>
          <w:szCs w:val="24"/>
        </w:rPr>
        <w:t xml:space="preserve">Shanghai limanı ticaret hacmi açısından yüksek değerlere sahip olmasına rağmen, Z-score normalizasyonu sonucu dağılımı </w:t>
      </w:r>
      <w:r w:rsidRPr="007170B9">
        <w:rPr>
          <w:rFonts w:asciiTheme="majorBidi" w:hAnsiTheme="majorBidi" w:cstheme="majorBidi"/>
          <w:b/>
          <w:bCs/>
          <w:sz w:val="24"/>
          <w:szCs w:val="24"/>
        </w:rPr>
        <w:t>ortalama çevresinde ve dengeli</w:t>
      </w:r>
      <w:r w:rsidRPr="007170B9">
        <w:rPr>
          <w:rFonts w:asciiTheme="majorBidi" w:hAnsiTheme="majorBidi" w:cstheme="majorBidi"/>
          <w:sz w:val="24"/>
          <w:szCs w:val="24"/>
        </w:rPr>
        <w:t xml:space="preserve"> bir yapı göstermektedir. Bu durum, yüksek hacme rağmen yıldan yıla tutarlı bir performans sergilediğini işaret eder.</w:t>
      </w:r>
    </w:p>
    <w:p w14:paraId="5D1BD9A3" w14:textId="77777777" w:rsidR="00A02989" w:rsidRDefault="00A02989" w:rsidP="005A79E2">
      <w:pPr>
        <w:rPr>
          <w:rFonts w:asciiTheme="majorBidi" w:hAnsiTheme="majorBidi" w:cstheme="majorBidi"/>
          <w:sz w:val="24"/>
          <w:szCs w:val="24"/>
        </w:rPr>
      </w:pPr>
    </w:p>
    <w:p w14:paraId="6BB1B2EE" w14:textId="77777777" w:rsidR="003024BD" w:rsidRPr="007170B9" w:rsidRDefault="003024BD" w:rsidP="005A79E2">
      <w:pPr>
        <w:rPr>
          <w:rFonts w:asciiTheme="majorBidi" w:hAnsiTheme="majorBidi" w:cstheme="majorBidi"/>
          <w:sz w:val="24"/>
          <w:szCs w:val="24"/>
        </w:rPr>
      </w:pPr>
    </w:p>
    <w:p w14:paraId="67371BCF" w14:textId="4801EAEC" w:rsidR="0055115E" w:rsidRDefault="00A02989" w:rsidP="00A02989">
      <w:pPr>
        <w:pStyle w:val="Heading4"/>
      </w:pPr>
      <w:r>
        <w:t>Değerlendirme</w:t>
      </w:r>
    </w:p>
    <w:p w14:paraId="01202D60" w14:textId="19B65B25" w:rsidR="00A02989" w:rsidRPr="00A02989" w:rsidRDefault="00A02989" w:rsidP="00A02989">
      <w:pPr>
        <w:rPr>
          <w:rFonts w:asciiTheme="majorBidi" w:hAnsiTheme="majorBidi" w:cstheme="majorBidi"/>
          <w:sz w:val="24"/>
          <w:szCs w:val="24"/>
        </w:rPr>
      </w:pPr>
      <w:r w:rsidRPr="00A02989">
        <w:rPr>
          <w:rFonts w:asciiTheme="majorBidi" w:hAnsiTheme="majorBidi" w:cstheme="majorBidi"/>
          <w:sz w:val="24"/>
          <w:szCs w:val="24"/>
        </w:rPr>
        <w:t xml:space="preserve">Grafik tipi olarak kullanılan </w:t>
      </w:r>
      <w:r w:rsidRPr="00A02989">
        <w:rPr>
          <w:rStyle w:val="Strong"/>
          <w:rFonts w:asciiTheme="majorBidi" w:hAnsiTheme="majorBidi" w:cstheme="majorBidi"/>
          <w:sz w:val="24"/>
          <w:szCs w:val="24"/>
        </w:rPr>
        <w:t>Kernel Density Plot</w:t>
      </w:r>
      <w:r w:rsidRPr="00A02989">
        <w:rPr>
          <w:rFonts w:asciiTheme="majorBidi" w:hAnsiTheme="majorBidi" w:cstheme="majorBidi"/>
          <w:sz w:val="24"/>
          <w:szCs w:val="24"/>
        </w:rPr>
        <w:t>, dağılımların şeklini, simetrisini ve yoğunluk eğilimlerini başarılı biçimde sunmaktadır</w:t>
      </w:r>
      <w:r>
        <w:rPr>
          <w:rFonts w:asciiTheme="majorBidi" w:hAnsiTheme="majorBidi" w:cstheme="majorBidi"/>
          <w:sz w:val="24"/>
          <w:szCs w:val="24"/>
        </w:rPr>
        <w:t>.</w:t>
      </w:r>
    </w:p>
    <w:p w14:paraId="6047CDE2" w14:textId="77777777" w:rsidR="0055115E" w:rsidRDefault="0055115E" w:rsidP="0055115E"/>
    <w:p w14:paraId="3CE00A7A" w14:textId="77777777" w:rsidR="003024BD" w:rsidRDefault="003024BD" w:rsidP="0055115E"/>
    <w:p w14:paraId="16500504" w14:textId="77777777" w:rsidR="00A02989" w:rsidRDefault="0055115E" w:rsidP="0055115E">
      <w:pPr>
        <w:pStyle w:val="Heading2"/>
      </w:pPr>
      <w:r w:rsidRPr="0055115E">
        <w:t>Treemap</w:t>
      </w:r>
      <w:r w:rsidR="00A02989">
        <w:t xml:space="preserve"> </w:t>
      </w:r>
    </w:p>
    <w:p w14:paraId="213B3010" w14:textId="2516C296" w:rsidR="00A02989" w:rsidRDefault="00A02989" w:rsidP="00A02989">
      <w:pPr>
        <w:pStyle w:val="NormalWeb"/>
      </w:pPr>
      <w:proofErr w:type="spellStart"/>
      <w:r>
        <w:t>Treemap</w:t>
      </w:r>
      <w:proofErr w:type="spellEnd"/>
      <w:r>
        <w:t xml:space="preserve">, bir bütünün bileşenlerini alan oranlarına göre gösteren, hiyerarşik verileri dikdörtgenler şeklinde sunan bir grafik türüdür. Her dikdörtgenin </w:t>
      </w:r>
      <w:r>
        <w:rPr>
          <w:rStyle w:val="Strong"/>
          <w:rFonts w:eastAsiaTheme="majorEastAsia"/>
        </w:rPr>
        <w:t>alanı</w:t>
      </w:r>
      <w:r>
        <w:t>, temsil ettiği değeri (örneğin, satış, nüfus, ticaret hacmi) yansıtır.</w:t>
      </w:r>
    </w:p>
    <w:p w14:paraId="3E9B405A" w14:textId="77777777" w:rsidR="003024BD" w:rsidRDefault="003024BD" w:rsidP="00A02989">
      <w:pPr>
        <w:pStyle w:val="NormalWeb"/>
      </w:pPr>
    </w:p>
    <w:p w14:paraId="388A919E" w14:textId="77777777" w:rsidR="003024BD" w:rsidRPr="003024BD" w:rsidRDefault="003024BD" w:rsidP="003024BD">
      <w:pPr>
        <w:pStyle w:val="NormalWeb"/>
        <w:rPr>
          <w:b/>
          <w:bCs/>
        </w:rPr>
      </w:pPr>
      <w:r w:rsidRPr="003024BD">
        <w:rPr>
          <w:b/>
          <w:bCs/>
        </w:rPr>
        <w:t>Avantajları</w:t>
      </w:r>
    </w:p>
    <w:p w14:paraId="3701239B" w14:textId="77777777" w:rsidR="003024BD" w:rsidRPr="003024BD" w:rsidRDefault="003024BD" w:rsidP="003024BD">
      <w:pPr>
        <w:pStyle w:val="NormalWeb"/>
        <w:numPr>
          <w:ilvl w:val="0"/>
          <w:numId w:val="26"/>
        </w:numPr>
      </w:pPr>
      <w:r w:rsidRPr="003024BD">
        <w:t>Sınırlı alanda büyük miktarda bilgi sunabilir</w:t>
      </w:r>
    </w:p>
    <w:p w14:paraId="41BFB68B" w14:textId="77777777" w:rsidR="003024BD" w:rsidRPr="003024BD" w:rsidRDefault="003024BD" w:rsidP="003024BD">
      <w:pPr>
        <w:pStyle w:val="NormalWeb"/>
        <w:numPr>
          <w:ilvl w:val="0"/>
          <w:numId w:val="26"/>
        </w:numPr>
      </w:pPr>
      <w:r w:rsidRPr="003024BD">
        <w:t>Renk ve boyutla çok katmanlı bilgi verilebilir</w:t>
      </w:r>
    </w:p>
    <w:p w14:paraId="72CAC60A" w14:textId="77777777" w:rsidR="003024BD" w:rsidRPr="003024BD" w:rsidRDefault="003024BD" w:rsidP="003024BD">
      <w:pPr>
        <w:pStyle w:val="NormalWeb"/>
        <w:numPr>
          <w:ilvl w:val="0"/>
          <w:numId w:val="26"/>
        </w:numPr>
      </w:pPr>
      <w:r w:rsidRPr="003024BD">
        <w:t>Hiyerarşik yapılar kolayca görselleştirilir</w:t>
      </w:r>
    </w:p>
    <w:p w14:paraId="22F9BBBC" w14:textId="03376486" w:rsidR="003024BD" w:rsidRDefault="003024BD" w:rsidP="003024BD">
      <w:pPr>
        <w:pStyle w:val="NormalWeb"/>
        <w:numPr>
          <w:ilvl w:val="0"/>
          <w:numId w:val="26"/>
        </w:numPr>
      </w:pPr>
      <w:r w:rsidRPr="003024BD">
        <w:t>Oranlar ve dağılımlar rahatlıkla karşılaştırılabilir</w:t>
      </w:r>
    </w:p>
    <w:p w14:paraId="5FC1B84A" w14:textId="77777777" w:rsidR="003024BD" w:rsidRPr="003024BD" w:rsidRDefault="003024BD" w:rsidP="003024BD">
      <w:pPr>
        <w:pStyle w:val="NormalWeb"/>
        <w:ind w:left="720"/>
      </w:pPr>
    </w:p>
    <w:p w14:paraId="61A3D7FD" w14:textId="7F1809F2" w:rsidR="003024BD" w:rsidRPr="003024BD" w:rsidRDefault="003024BD" w:rsidP="003024BD">
      <w:pPr>
        <w:pStyle w:val="NormalWeb"/>
        <w:rPr>
          <w:b/>
          <w:bCs/>
        </w:rPr>
      </w:pPr>
      <w:r w:rsidRPr="003024BD">
        <w:rPr>
          <w:b/>
          <w:bCs/>
        </w:rPr>
        <w:t xml:space="preserve"> Dezavantajları</w:t>
      </w:r>
    </w:p>
    <w:p w14:paraId="65A1E3B1" w14:textId="77777777" w:rsidR="003024BD" w:rsidRPr="003024BD" w:rsidRDefault="003024BD" w:rsidP="003024BD">
      <w:pPr>
        <w:pStyle w:val="NormalWeb"/>
        <w:numPr>
          <w:ilvl w:val="0"/>
          <w:numId w:val="27"/>
        </w:numPr>
      </w:pPr>
      <w:r w:rsidRPr="003024BD">
        <w:t>Çok küçük alanlar okunamaz hâle gelebilir</w:t>
      </w:r>
    </w:p>
    <w:p w14:paraId="0EA8F4E4" w14:textId="77777777" w:rsidR="003024BD" w:rsidRPr="003024BD" w:rsidRDefault="003024BD" w:rsidP="003024BD">
      <w:pPr>
        <w:pStyle w:val="NormalWeb"/>
        <w:numPr>
          <w:ilvl w:val="0"/>
          <w:numId w:val="27"/>
        </w:numPr>
      </w:pPr>
      <w:r w:rsidRPr="003024BD">
        <w:t>Değerler arasında çok büyük fark varsa görsellik bozulabilir</w:t>
      </w:r>
    </w:p>
    <w:p w14:paraId="02C77E69" w14:textId="77777777" w:rsidR="003024BD" w:rsidRPr="003024BD" w:rsidRDefault="003024BD" w:rsidP="003024BD">
      <w:pPr>
        <w:pStyle w:val="NormalWeb"/>
        <w:numPr>
          <w:ilvl w:val="0"/>
          <w:numId w:val="27"/>
        </w:numPr>
      </w:pPr>
      <w:r w:rsidRPr="003024BD">
        <w:t>Sayısal farklar net olarak anlaşılamayabilir (özellikle benzer büyüklüklerde)</w:t>
      </w:r>
    </w:p>
    <w:p w14:paraId="3CAC7B4E" w14:textId="16597CC5" w:rsidR="00A02989" w:rsidRDefault="003024BD" w:rsidP="00600A59">
      <w:pPr>
        <w:pStyle w:val="NormalWeb"/>
        <w:numPr>
          <w:ilvl w:val="0"/>
          <w:numId w:val="27"/>
        </w:numPr>
      </w:pPr>
      <w:r w:rsidRPr="003024BD">
        <w:t>Etiketlerin okunabilirliği alan boyutuna bağlıdır</w:t>
      </w:r>
    </w:p>
    <w:p w14:paraId="1EA58A5B" w14:textId="493071DF" w:rsidR="003024BD" w:rsidRPr="003024BD" w:rsidRDefault="003024BD" w:rsidP="003024BD">
      <w:pPr>
        <w:pStyle w:val="NormalWeb"/>
      </w:pPr>
      <w:r>
        <w:t>Bkz.</w:t>
      </w:r>
      <w:r w:rsidRPr="003024BD">
        <w:t xml:space="preserve"> </w:t>
      </w:r>
      <w:proofErr w:type="spellStart"/>
      <w:r w:rsidRPr="003024BD">
        <w:t>Shneiderman</w:t>
      </w:r>
      <w:proofErr w:type="spellEnd"/>
      <w:r w:rsidRPr="003024BD">
        <w:t xml:space="preserve">, B. (1992). </w:t>
      </w:r>
      <w:proofErr w:type="spellStart"/>
      <w:r w:rsidRPr="003024BD">
        <w:rPr>
          <w:i/>
          <w:iCs/>
        </w:rPr>
        <w:t>Tree</w:t>
      </w:r>
      <w:proofErr w:type="spellEnd"/>
      <w:r w:rsidRPr="003024BD">
        <w:rPr>
          <w:i/>
          <w:iCs/>
        </w:rPr>
        <w:t xml:space="preserve"> </w:t>
      </w:r>
      <w:proofErr w:type="spellStart"/>
      <w:r w:rsidRPr="003024BD">
        <w:rPr>
          <w:i/>
          <w:iCs/>
        </w:rPr>
        <w:t>Visualization</w:t>
      </w:r>
      <w:proofErr w:type="spellEnd"/>
      <w:r w:rsidRPr="003024BD">
        <w:rPr>
          <w:i/>
          <w:iCs/>
        </w:rPr>
        <w:t xml:space="preserve"> </w:t>
      </w:r>
      <w:proofErr w:type="spellStart"/>
      <w:r w:rsidRPr="003024BD">
        <w:rPr>
          <w:i/>
          <w:iCs/>
        </w:rPr>
        <w:t>with</w:t>
      </w:r>
      <w:proofErr w:type="spellEnd"/>
      <w:r w:rsidRPr="003024BD">
        <w:rPr>
          <w:i/>
          <w:iCs/>
        </w:rPr>
        <w:t xml:space="preserve"> </w:t>
      </w:r>
      <w:proofErr w:type="spellStart"/>
      <w:r w:rsidRPr="003024BD">
        <w:rPr>
          <w:i/>
          <w:iCs/>
        </w:rPr>
        <w:t>Tree-Maps</w:t>
      </w:r>
      <w:proofErr w:type="spellEnd"/>
      <w:r w:rsidRPr="003024BD">
        <w:rPr>
          <w:i/>
          <w:iCs/>
        </w:rPr>
        <w:t>: 2-D Space-</w:t>
      </w:r>
      <w:proofErr w:type="spellStart"/>
      <w:r w:rsidRPr="003024BD">
        <w:rPr>
          <w:i/>
          <w:iCs/>
        </w:rPr>
        <w:t>Filling</w:t>
      </w:r>
      <w:proofErr w:type="spellEnd"/>
      <w:r w:rsidRPr="003024BD">
        <w:rPr>
          <w:i/>
          <w:iCs/>
        </w:rPr>
        <w:t xml:space="preserve"> </w:t>
      </w:r>
      <w:proofErr w:type="spellStart"/>
      <w:r w:rsidRPr="003024BD">
        <w:rPr>
          <w:i/>
          <w:iCs/>
        </w:rPr>
        <w:t>Approach</w:t>
      </w:r>
      <w:proofErr w:type="spellEnd"/>
      <w:r w:rsidRPr="003024BD">
        <w:t xml:space="preserve">. </w:t>
      </w:r>
      <w:r w:rsidRPr="003024BD">
        <w:rPr>
          <w:b/>
          <w:bCs/>
        </w:rPr>
        <w:t xml:space="preserve">ACM </w:t>
      </w:r>
      <w:proofErr w:type="spellStart"/>
      <w:r w:rsidRPr="003024BD">
        <w:rPr>
          <w:b/>
          <w:bCs/>
        </w:rPr>
        <w:t>Transactions</w:t>
      </w:r>
      <w:proofErr w:type="spellEnd"/>
      <w:r w:rsidRPr="003024BD">
        <w:rPr>
          <w:b/>
          <w:bCs/>
        </w:rPr>
        <w:t xml:space="preserve"> on Graphics</w:t>
      </w:r>
      <w:r w:rsidRPr="003024BD">
        <w:t>, 11(1), 92–99.</w:t>
      </w:r>
    </w:p>
    <w:p w14:paraId="40B5045D" w14:textId="4FB98FFC" w:rsidR="003024BD" w:rsidRDefault="003024BD" w:rsidP="003024BD">
      <w:pPr>
        <w:pStyle w:val="NormalWeb"/>
      </w:pPr>
    </w:p>
    <w:p w14:paraId="0A6202BB" w14:textId="3E95DD59" w:rsidR="0055115E" w:rsidRDefault="0055115E" w:rsidP="0055115E">
      <w:pPr>
        <w:pStyle w:val="Heading2"/>
      </w:pPr>
      <w:r w:rsidRPr="0055115E">
        <w:lastRenderedPageBreak/>
        <w:t xml:space="preserve">Limanların </w:t>
      </w:r>
      <w:r>
        <w:t>2018-2024 Arasındaki Toplam</w:t>
      </w:r>
      <w:r w:rsidRPr="0055115E">
        <w:t xml:space="preserve"> Ticaret Payı</w:t>
      </w:r>
    </w:p>
    <w:p w14:paraId="5AC9BEF5" w14:textId="77CC8B3C" w:rsidR="0055115E" w:rsidRDefault="007170B9" w:rsidP="0055115E">
      <w:r w:rsidRPr="007170B9">
        <w:rPr>
          <w:noProof/>
        </w:rPr>
        <w:drawing>
          <wp:inline distT="0" distB="0" distL="0" distR="0" wp14:anchorId="7D067BA6" wp14:editId="2BC3932F">
            <wp:extent cx="4851206" cy="3518086"/>
            <wp:effectExtent l="0" t="0" r="6985" b="6350"/>
            <wp:docPr id="57937323"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7323" name="Picture 1" descr="A graph of a number of people&#10;&#10;AI-generated content may be incorrect."/>
                    <pic:cNvPicPr/>
                  </pic:nvPicPr>
                  <pic:blipFill>
                    <a:blip r:embed="rId8"/>
                    <a:stretch>
                      <a:fillRect/>
                    </a:stretch>
                  </pic:blipFill>
                  <pic:spPr>
                    <a:xfrm>
                      <a:off x="0" y="0"/>
                      <a:ext cx="4855615" cy="3521284"/>
                    </a:xfrm>
                    <a:prstGeom prst="rect">
                      <a:avLst/>
                    </a:prstGeom>
                  </pic:spPr>
                </pic:pic>
              </a:graphicData>
            </a:graphic>
          </wp:inline>
        </w:drawing>
      </w:r>
    </w:p>
    <w:p w14:paraId="56A766B2" w14:textId="77777777" w:rsidR="0055115E" w:rsidRDefault="0055115E" w:rsidP="0055115E"/>
    <w:p w14:paraId="713B291C" w14:textId="77777777" w:rsidR="00DF1633" w:rsidRPr="00DF1633" w:rsidRDefault="00DF1633" w:rsidP="00DF1633">
      <w:pPr>
        <w:rPr>
          <w:rFonts w:asciiTheme="majorBidi" w:hAnsiTheme="majorBidi" w:cstheme="majorBidi"/>
          <w:sz w:val="24"/>
          <w:szCs w:val="24"/>
        </w:rPr>
      </w:pPr>
      <w:r w:rsidRPr="00DF1633">
        <w:rPr>
          <w:rFonts w:asciiTheme="majorBidi" w:hAnsiTheme="majorBidi" w:cstheme="majorBidi"/>
          <w:sz w:val="24"/>
          <w:szCs w:val="24"/>
        </w:rPr>
        <w:t xml:space="preserve">Bu treemap grafik, </w:t>
      </w:r>
      <w:r w:rsidRPr="00DF1633">
        <w:rPr>
          <w:rStyle w:val="Strong"/>
          <w:rFonts w:asciiTheme="majorBidi" w:hAnsiTheme="majorBidi" w:cstheme="majorBidi"/>
          <w:sz w:val="24"/>
          <w:szCs w:val="24"/>
        </w:rPr>
        <w:t>2018–2024 yılları arasında dünya çapında 10 büyük limanın toplam dış ticaret hacmi içindeki yüzde (%) paylarını</w:t>
      </w:r>
      <w:r w:rsidRPr="00DF1633">
        <w:rPr>
          <w:rFonts w:asciiTheme="majorBidi" w:hAnsiTheme="majorBidi" w:cstheme="majorBidi"/>
          <w:sz w:val="24"/>
          <w:szCs w:val="24"/>
        </w:rPr>
        <w:t xml:space="preserve"> görselleştiriyor.</w:t>
      </w:r>
    </w:p>
    <w:p w14:paraId="05A4FA88" w14:textId="5F273E39"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Şanghay Limanı (%53.7):</w:t>
      </w:r>
    </w:p>
    <w:p w14:paraId="252BE17D" w14:textId="77777777" w:rsidR="00DF1633" w:rsidRPr="00DF1633" w:rsidRDefault="00DF1633" w:rsidP="00DF1633">
      <w:pPr>
        <w:numPr>
          <w:ilvl w:val="0"/>
          <w:numId w:val="4"/>
        </w:numPr>
        <w:rPr>
          <w:rFonts w:asciiTheme="majorBidi" w:hAnsiTheme="majorBidi" w:cstheme="majorBidi"/>
          <w:sz w:val="24"/>
          <w:szCs w:val="24"/>
        </w:rPr>
      </w:pPr>
      <w:r w:rsidRPr="00DF1633">
        <w:rPr>
          <w:rFonts w:asciiTheme="majorBidi" w:hAnsiTheme="majorBidi" w:cstheme="majorBidi"/>
          <w:sz w:val="24"/>
          <w:szCs w:val="24"/>
        </w:rPr>
        <w:t xml:space="preserve">Tek başına toplam ticaret hacminin </w:t>
      </w:r>
      <w:r w:rsidRPr="00DF1633">
        <w:rPr>
          <w:rFonts w:asciiTheme="majorBidi" w:hAnsiTheme="majorBidi" w:cstheme="majorBidi"/>
          <w:b/>
          <w:bCs/>
          <w:sz w:val="24"/>
          <w:szCs w:val="24"/>
        </w:rPr>
        <w:t>yarısından fazlasını</w:t>
      </w:r>
      <w:r w:rsidRPr="00DF1633">
        <w:rPr>
          <w:rFonts w:asciiTheme="majorBidi" w:hAnsiTheme="majorBidi" w:cstheme="majorBidi"/>
          <w:sz w:val="24"/>
          <w:szCs w:val="24"/>
        </w:rPr>
        <w:t xml:space="preserve"> gerçekleştiriyor.</w:t>
      </w:r>
    </w:p>
    <w:p w14:paraId="1F764716" w14:textId="77777777" w:rsidR="00DF1633" w:rsidRPr="00DF1633" w:rsidRDefault="00DF1633" w:rsidP="00DF1633">
      <w:pPr>
        <w:numPr>
          <w:ilvl w:val="0"/>
          <w:numId w:val="4"/>
        </w:numPr>
        <w:rPr>
          <w:rFonts w:asciiTheme="majorBidi" w:hAnsiTheme="majorBidi" w:cstheme="majorBidi"/>
          <w:sz w:val="24"/>
          <w:szCs w:val="24"/>
        </w:rPr>
      </w:pPr>
      <w:r w:rsidRPr="00DF1633">
        <w:rPr>
          <w:rFonts w:asciiTheme="majorBidi" w:hAnsiTheme="majorBidi" w:cstheme="majorBidi"/>
          <w:sz w:val="24"/>
          <w:szCs w:val="24"/>
        </w:rPr>
        <w:t xml:space="preserve">Bu, Çin'in küresel deniz ticaretindeki </w:t>
      </w:r>
      <w:r w:rsidRPr="00DF1633">
        <w:rPr>
          <w:rFonts w:asciiTheme="majorBidi" w:hAnsiTheme="majorBidi" w:cstheme="majorBidi"/>
          <w:b/>
          <w:bCs/>
          <w:sz w:val="24"/>
          <w:szCs w:val="24"/>
        </w:rPr>
        <w:t>mutlak ağırlığını</w:t>
      </w:r>
      <w:r w:rsidRPr="00DF1633">
        <w:rPr>
          <w:rFonts w:asciiTheme="majorBidi" w:hAnsiTheme="majorBidi" w:cstheme="majorBidi"/>
          <w:sz w:val="24"/>
          <w:szCs w:val="24"/>
        </w:rPr>
        <w:t xml:space="preserve"> yansıtıyor.</w:t>
      </w:r>
    </w:p>
    <w:p w14:paraId="1791E632" w14:textId="0033C353" w:rsidR="00DF1633" w:rsidRDefault="00DF1633" w:rsidP="00DF1633">
      <w:pPr>
        <w:numPr>
          <w:ilvl w:val="0"/>
          <w:numId w:val="4"/>
        </w:numPr>
        <w:rPr>
          <w:rFonts w:asciiTheme="majorBidi" w:hAnsiTheme="majorBidi" w:cstheme="majorBidi"/>
          <w:sz w:val="24"/>
          <w:szCs w:val="24"/>
        </w:rPr>
      </w:pPr>
      <w:r>
        <w:rPr>
          <w:rFonts w:asciiTheme="majorBidi" w:hAnsiTheme="majorBidi" w:cstheme="majorBidi"/>
          <w:sz w:val="24"/>
          <w:szCs w:val="24"/>
        </w:rPr>
        <w:t>Ş</w:t>
      </w:r>
      <w:r w:rsidRPr="00DF1633">
        <w:rPr>
          <w:rFonts w:asciiTheme="majorBidi" w:hAnsiTheme="majorBidi" w:cstheme="majorBidi"/>
          <w:sz w:val="24"/>
          <w:szCs w:val="24"/>
        </w:rPr>
        <w:t>ang</w:t>
      </w:r>
      <w:r>
        <w:rPr>
          <w:rFonts w:asciiTheme="majorBidi" w:hAnsiTheme="majorBidi" w:cstheme="majorBidi"/>
          <w:sz w:val="24"/>
          <w:szCs w:val="24"/>
        </w:rPr>
        <w:t>hay</w:t>
      </w:r>
      <w:r w:rsidRPr="00DF1633">
        <w:rPr>
          <w:rFonts w:asciiTheme="majorBidi" w:hAnsiTheme="majorBidi" w:cstheme="majorBidi"/>
          <w:sz w:val="24"/>
          <w:szCs w:val="24"/>
        </w:rPr>
        <w:t>'</w:t>
      </w:r>
      <w:r>
        <w:rPr>
          <w:rFonts w:asciiTheme="majorBidi" w:hAnsiTheme="majorBidi" w:cstheme="majorBidi"/>
          <w:sz w:val="24"/>
          <w:szCs w:val="24"/>
        </w:rPr>
        <w:t>ı</w:t>
      </w:r>
      <w:r w:rsidRPr="00DF1633">
        <w:rPr>
          <w:rFonts w:asciiTheme="majorBidi" w:hAnsiTheme="majorBidi" w:cstheme="majorBidi"/>
          <w:sz w:val="24"/>
          <w:szCs w:val="24"/>
        </w:rPr>
        <w:t>n konteyner terminali kapasitesi ve Asya-Pasifik ticaret zincirlerindeki merkezi rolü bu oranı açıklıyor.</w:t>
      </w:r>
    </w:p>
    <w:p w14:paraId="61AB8EBB" w14:textId="77777777" w:rsidR="00F95AF3" w:rsidRDefault="00F95AF3" w:rsidP="00F95AF3">
      <w:pPr>
        <w:rPr>
          <w:rFonts w:asciiTheme="majorBidi" w:hAnsiTheme="majorBidi" w:cstheme="majorBidi"/>
          <w:sz w:val="24"/>
          <w:szCs w:val="24"/>
        </w:rPr>
      </w:pPr>
    </w:p>
    <w:p w14:paraId="546F358C" w14:textId="77777777" w:rsidR="00F95AF3" w:rsidRPr="00DF1633" w:rsidRDefault="00F95AF3" w:rsidP="00F95AF3">
      <w:pPr>
        <w:rPr>
          <w:rFonts w:asciiTheme="majorBidi" w:hAnsiTheme="majorBidi" w:cstheme="majorBidi"/>
          <w:sz w:val="24"/>
          <w:szCs w:val="24"/>
        </w:rPr>
      </w:pPr>
    </w:p>
    <w:p w14:paraId="5338BF6A"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Rotterdam Limanı (%16.7):</w:t>
      </w:r>
    </w:p>
    <w:p w14:paraId="431428A3" w14:textId="77777777" w:rsidR="00DF1633" w:rsidRPr="00DF1633" w:rsidRDefault="00DF1633" w:rsidP="00DF1633">
      <w:pPr>
        <w:numPr>
          <w:ilvl w:val="0"/>
          <w:numId w:val="5"/>
        </w:numPr>
        <w:rPr>
          <w:rFonts w:asciiTheme="majorBidi" w:hAnsiTheme="majorBidi" w:cstheme="majorBidi"/>
          <w:sz w:val="24"/>
          <w:szCs w:val="24"/>
        </w:rPr>
      </w:pPr>
      <w:r w:rsidRPr="00DF1633">
        <w:rPr>
          <w:rFonts w:asciiTheme="majorBidi" w:hAnsiTheme="majorBidi" w:cstheme="majorBidi"/>
          <w:sz w:val="24"/>
          <w:szCs w:val="24"/>
        </w:rPr>
        <w:t xml:space="preserve">Avrupa’nın en büyük limanı ve Kuzey Denizi ile Avrupa’nın iç bölgeleri arasında </w:t>
      </w:r>
      <w:r w:rsidRPr="00DF1633">
        <w:rPr>
          <w:rFonts w:asciiTheme="majorBidi" w:hAnsiTheme="majorBidi" w:cstheme="majorBidi"/>
          <w:b/>
          <w:bCs/>
          <w:sz w:val="24"/>
          <w:szCs w:val="24"/>
        </w:rPr>
        <w:t>bir geçit işlevi</w:t>
      </w:r>
      <w:r w:rsidRPr="00DF1633">
        <w:rPr>
          <w:rFonts w:asciiTheme="majorBidi" w:hAnsiTheme="majorBidi" w:cstheme="majorBidi"/>
          <w:sz w:val="24"/>
          <w:szCs w:val="24"/>
        </w:rPr>
        <w:t xml:space="preserve"> görüyor.</w:t>
      </w:r>
    </w:p>
    <w:p w14:paraId="7767DAF7" w14:textId="77777777" w:rsidR="00DF1633" w:rsidRPr="00DF1633" w:rsidRDefault="00DF1633" w:rsidP="00DF1633">
      <w:pPr>
        <w:numPr>
          <w:ilvl w:val="0"/>
          <w:numId w:val="5"/>
        </w:numPr>
        <w:rPr>
          <w:rFonts w:asciiTheme="majorBidi" w:hAnsiTheme="majorBidi" w:cstheme="majorBidi"/>
          <w:sz w:val="24"/>
          <w:szCs w:val="24"/>
        </w:rPr>
      </w:pPr>
      <w:r w:rsidRPr="00DF1633">
        <w:rPr>
          <w:rFonts w:asciiTheme="majorBidi" w:hAnsiTheme="majorBidi" w:cstheme="majorBidi"/>
          <w:sz w:val="24"/>
          <w:szCs w:val="24"/>
        </w:rPr>
        <w:t>Rotterdam'ın yüksek oranı, Almanya, Belçika ve Fransa gibi ülkelere aktarma fonksiyonu görmesinden kaynaklanıyor.</w:t>
      </w:r>
    </w:p>
    <w:p w14:paraId="66482931"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 xml:space="preserve"> Los Angeles Limanı (%11.4):</w:t>
      </w:r>
    </w:p>
    <w:p w14:paraId="7961398E" w14:textId="77777777" w:rsidR="00DF1633" w:rsidRPr="00DF1633" w:rsidRDefault="00DF1633" w:rsidP="00DF1633">
      <w:pPr>
        <w:numPr>
          <w:ilvl w:val="0"/>
          <w:numId w:val="6"/>
        </w:numPr>
        <w:rPr>
          <w:rFonts w:asciiTheme="majorBidi" w:hAnsiTheme="majorBidi" w:cstheme="majorBidi"/>
          <w:sz w:val="24"/>
          <w:szCs w:val="24"/>
        </w:rPr>
      </w:pPr>
      <w:r w:rsidRPr="00DF1633">
        <w:rPr>
          <w:rFonts w:asciiTheme="majorBidi" w:hAnsiTheme="majorBidi" w:cstheme="majorBidi"/>
          <w:sz w:val="24"/>
          <w:szCs w:val="24"/>
        </w:rPr>
        <w:t xml:space="preserve">ABD’nin batı kıyısındaki en büyük limanı olarak </w:t>
      </w:r>
      <w:r w:rsidRPr="00DF1633">
        <w:rPr>
          <w:rFonts w:asciiTheme="majorBidi" w:hAnsiTheme="majorBidi" w:cstheme="majorBidi"/>
          <w:b/>
          <w:bCs/>
          <w:sz w:val="24"/>
          <w:szCs w:val="24"/>
        </w:rPr>
        <w:t>Asya-Amerika</w:t>
      </w:r>
      <w:r w:rsidRPr="00DF1633">
        <w:rPr>
          <w:rFonts w:asciiTheme="majorBidi" w:hAnsiTheme="majorBidi" w:cstheme="majorBidi"/>
          <w:sz w:val="24"/>
          <w:szCs w:val="24"/>
        </w:rPr>
        <w:t xml:space="preserve"> ticaretinde stratejik bir rolde.</w:t>
      </w:r>
    </w:p>
    <w:p w14:paraId="21E9E6FC" w14:textId="77777777" w:rsidR="00DF1633" w:rsidRPr="00DF1633" w:rsidRDefault="00DF1633" w:rsidP="00DF1633">
      <w:pPr>
        <w:numPr>
          <w:ilvl w:val="0"/>
          <w:numId w:val="6"/>
        </w:numPr>
        <w:rPr>
          <w:rFonts w:asciiTheme="majorBidi" w:hAnsiTheme="majorBidi" w:cstheme="majorBidi"/>
          <w:sz w:val="24"/>
          <w:szCs w:val="24"/>
        </w:rPr>
      </w:pPr>
      <w:r w:rsidRPr="00DF1633">
        <w:rPr>
          <w:rFonts w:asciiTheme="majorBidi" w:hAnsiTheme="majorBidi" w:cstheme="majorBidi"/>
          <w:sz w:val="24"/>
          <w:szCs w:val="24"/>
        </w:rPr>
        <w:t>Çin ve Güney Kore ile olan yoğun konteyner trafiğini yansıtıyor.</w:t>
      </w:r>
    </w:p>
    <w:p w14:paraId="254F28B1" w14:textId="77777777" w:rsidR="00DF1633" w:rsidRPr="00DF1633" w:rsidRDefault="00DF1633" w:rsidP="00DF1633">
      <w:pPr>
        <w:rPr>
          <w:rFonts w:asciiTheme="majorBidi" w:hAnsiTheme="majorBidi" w:cstheme="majorBidi"/>
          <w:sz w:val="24"/>
          <w:szCs w:val="24"/>
        </w:rPr>
      </w:pPr>
    </w:p>
    <w:p w14:paraId="68D8CB4A"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Orta Ölçekli Limanlar:</w:t>
      </w:r>
    </w:p>
    <w:p w14:paraId="5FFBD08A" w14:textId="77777777" w:rsidR="00DF1633" w:rsidRPr="00DF1633" w:rsidRDefault="00DF1633" w:rsidP="00DF1633">
      <w:pPr>
        <w:numPr>
          <w:ilvl w:val="0"/>
          <w:numId w:val="7"/>
        </w:numPr>
        <w:rPr>
          <w:rFonts w:asciiTheme="majorBidi" w:hAnsiTheme="majorBidi" w:cstheme="majorBidi"/>
          <w:sz w:val="24"/>
          <w:szCs w:val="24"/>
        </w:rPr>
      </w:pPr>
      <w:r w:rsidRPr="00DF1633">
        <w:rPr>
          <w:rFonts w:asciiTheme="majorBidi" w:hAnsiTheme="majorBidi" w:cstheme="majorBidi"/>
          <w:b/>
          <w:bCs/>
          <w:sz w:val="24"/>
          <w:szCs w:val="24"/>
        </w:rPr>
        <w:t>Hamburg</w:t>
      </w:r>
      <w:r w:rsidRPr="00DF1633">
        <w:rPr>
          <w:rFonts w:asciiTheme="majorBidi" w:hAnsiTheme="majorBidi" w:cstheme="majorBidi"/>
          <w:sz w:val="24"/>
          <w:szCs w:val="24"/>
        </w:rPr>
        <w:t xml:space="preserve"> (%9.8): Almanya’nın dış ticaretinde önemli bir rol oynar, Doğu Avrupa’ya açılan kapılardan biri.</w:t>
      </w:r>
    </w:p>
    <w:p w14:paraId="5A7C253C" w14:textId="72ADE63E" w:rsidR="00DF1633" w:rsidRPr="00DF1633" w:rsidRDefault="00DF1633" w:rsidP="00DF1633">
      <w:pPr>
        <w:numPr>
          <w:ilvl w:val="0"/>
          <w:numId w:val="7"/>
        </w:numPr>
        <w:rPr>
          <w:rFonts w:asciiTheme="majorBidi" w:hAnsiTheme="majorBidi" w:cstheme="majorBidi"/>
          <w:sz w:val="24"/>
          <w:szCs w:val="24"/>
        </w:rPr>
      </w:pPr>
      <w:r w:rsidRPr="00DF1633">
        <w:rPr>
          <w:rFonts w:asciiTheme="majorBidi" w:hAnsiTheme="majorBidi" w:cstheme="majorBidi"/>
          <w:b/>
          <w:bCs/>
          <w:sz w:val="24"/>
          <w:szCs w:val="24"/>
        </w:rPr>
        <w:t>Gdansk</w:t>
      </w:r>
      <w:r w:rsidRPr="00DF1633">
        <w:rPr>
          <w:rFonts w:asciiTheme="majorBidi" w:hAnsiTheme="majorBidi" w:cstheme="majorBidi"/>
          <w:sz w:val="24"/>
          <w:szCs w:val="24"/>
        </w:rPr>
        <w:t xml:space="preserve"> ve </w:t>
      </w:r>
      <w:r w:rsidRPr="00DF1633">
        <w:rPr>
          <w:rFonts w:asciiTheme="majorBidi" w:hAnsiTheme="majorBidi" w:cstheme="majorBidi"/>
          <w:b/>
          <w:bCs/>
          <w:sz w:val="24"/>
          <w:szCs w:val="24"/>
        </w:rPr>
        <w:t>Mersin</w:t>
      </w:r>
      <w:r w:rsidRPr="00DF1633">
        <w:rPr>
          <w:rFonts w:asciiTheme="majorBidi" w:hAnsiTheme="majorBidi" w:cstheme="majorBidi"/>
          <w:sz w:val="24"/>
          <w:szCs w:val="24"/>
        </w:rPr>
        <w:t xml:space="preserve"> (her biri %2.4): Polonya ve Türkiye’nin önemli lojistik merkezleri.</w:t>
      </w:r>
    </w:p>
    <w:p w14:paraId="67AD463C" w14:textId="558BDF23" w:rsidR="00DF1633" w:rsidRPr="00DF1633" w:rsidRDefault="00DF1633" w:rsidP="00DF1633">
      <w:pPr>
        <w:numPr>
          <w:ilvl w:val="0"/>
          <w:numId w:val="7"/>
        </w:numPr>
        <w:rPr>
          <w:rFonts w:asciiTheme="majorBidi" w:hAnsiTheme="majorBidi" w:cstheme="majorBidi"/>
          <w:sz w:val="24"/>
          <w:szCs w:val="24"/>
        </w:rPr>
      </w:pPr>
      <w:r w:rsidRPr="00DF1633">
        <w:rPr>
          <w:rFonts w:asciiTheme="majorBidi" w:hAnsiTheme="majorBidi" w:cstheme="majorBidi"/>
          <w:b/>
          <w:bCs/>
          <w:sz w:val="24"/>
          <w:szCs w:val="24"/>
        </w:rPr>
        <w:t>Alexandria</w:t>
      </w:r>
      <w:r w:rsidRPr="00DF1633">
        <w:rPr>
          <w:rFonts w:asciiTheme="majorBidi" w:hAnsiTheme="majorBidi" w:cstheme="majorBidi"/>
          <w:sz w:val="24"/>
          <w:szCs w:val="24"/>
        </w:rPr>
        <w:t xml:space="preserve"> (%1.1), </w:t>
      </w:r>
      <w:r w:rsidRPr="00DF1633">
        <w:rPr>
          <w:rFonts w:asciiTheme="majorBidi" w:hAnsiTheme="majorBidi" w:cstheme="majorBidi"/>
          <w:b/>
          <w:bCs/>
          <w:sz w:val="24"/>
          <w:szCs w:val="24"/>
        </w:rPr>
        <w:t>Beyrut</w:t>
      </w:r>
      <w:r w:rsidRPr="00DF1633">
        <w:rPr>
          <w:rFonts w:asciiTheme="majorBidi" w:hAnsiTheme="majorBidi" w:cstheme="majorBidi"/>
          <w:sz w:val="24"/>
          <w:szCs w:val="24"/>
        </w:rPr>
        <w:t xml:space="preserve"> (%1.0): Orta Doğu – Kuzey Afrika hattındaki dengeleyici limanlar.</w:t>
      </w:r>
    </w:p>
    <w:p w14:paraId="7D6C6B06" w14:textId="77777777" w:rsidR="00DF1633" w:rsidRPr="00DF1633" w:rsidRDefault="00DF1633" w:rsidP="00DF1633">
      <w:pPr>
        <w:rPr>
          <w:rFonts w:asciiTheme="majorBidi" w:hAnsiTheme="majorBidi" w:cstheme="majorBidi"/>
          <w:sz w:val="24"/>
          <w:szCs w:val="24"/>
        </w:rPr>
      </w:pPr>
    </w:p>
    <w:p w14:paraId="4352AF5A"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 xml:space="preserve"> Düşük Paylı Limanlar:</w:t>
      </w:r>
    </w:p>
    <w:p w14:paraId="561DF85E" w14:textId="4688FC7B" w:rsidR="00DF1633" w:rsidRPr="00DF1633" w:rsidRDefault="00DF1633" w:rsidP="00DF1633">
      <w:pPr>
        <w:numPr>
          <w:ilvl w:val="0"/>
          <w:numId w:val="8"/>
        </w:numPr>
        <w:rPr>
          <w:rFonts w:asciiTheme="majorBidi" w:hAnsiTheme="majorBidi" w:cstheme="majorBidi"/>
          <w:sz w:val="24"/>
          <w:szCs w:val="24"/>
        </w:rPr>
      </w:pPr>
      <w:r w:rsidRPr="00DF1633">
        <w:rPr>
          <w:rFonts w:asciiTheme="majorBidi" w:hAnsiTheme="majorBidi" w:cstheme="majorBidi"/>
          <w:b/>
          <w:bCs/>
          <w:sz w:val="24"/>
          <w:szCs w:val="24"/>
        </w:rPr>
        <w:t>Odessa (%0.9)</w:t>
      </w:r>
      <w:r w:rsidRPr="00DF1633">
        <w:rPr>
          <w:rFonts w:asciiTheme="majorBidi" w:hAnsiTheme="majorBidi" w:cstheme="majorBidi"/>
          <w:sz w:val="24"/>
          <w:szCs w:val="24"/>
        </w:rPr>
        <w:t xml:space="preserve"> ve </w:t>
      </w:r>
      <w:r w:rsidRPr="00DF1633">
        <w:rPr>
          <w:rFonts w:asciiTheme="majorBidi" w:hAnsiTheme="majorBidi" w:cstheme="majorBidi"/>
          <w:b/>
          <w:bCs/>
          <w:sz w:val="24"/>
          <w:szCs w:val="24"/>
        </w:rPr>
        <w:t>Novorossisk (%0.7)</w:t>
      </w:r>
      <w:r w:rsidRPr="00DF1633">
        <w:rPr>
          <w:rFonts w:asciiTheme="majorBidi" w:hAnsiTheme="majorBidi" w:cstheme="majorBidi"/>
          <w:sz w:val="24"/>
          <w:szCs w:val="24"/>
        </w:rPr>
        <w:t>: Karadeniz limanlarıdır, ancak uluslararası koridorlarda göreli olarak küçük paya sahiptirler.</w:t>
      </w:r>
    </w:p>
    <w:p w14:paraId="56CE24D5" w14:textId="77777777" w:rsidR="00DF1633" w:rsidRPr="00DF1633" w:rsidRDefault="00DF1633" w:rsidP="00DF1633">
      <w:pPr>
        <w:numPr>
          <w:ilvl w:val="0"/>
          <w:numId w:val="8"/>
        </w:numPr>
        <w:rPr>
          <w:rFonts w:asciiTheme="majorBidi" w:hAnsiTheme="majorBidi" w:cstheme="majorBidi"/>
          <w:sz w:val="24"/>
          <w:szCs w:val="24"/>
        </w:rPr>
      </w:pPr>
      <w:r w:rsidRPr="00DF1633">
        <w:rPr>
          <w:rFonts w:asciiTheme="majorBidi" w:hAnsiTheme="majorBidi" w:cstheme="majorBidi"/>
          <w:sz w:val="24"/>
          <w:szCs w:val="24"/>
        </w:rPr>
        <w:t xml:space="preserve">Bu limanlar daha çok </w:t>
      </w:r>
      <w:r w:rsidRPr="00DF1633">
        <w:rPr>
          <w:rFonts w:asciiTheme="majorBidi" w:hAnsiTheme="majorBidi" w:cstheme="majorBidi"/>
          <w:b/>
          <w:bCs/>
          <w:sz w:val="24"/>
          <w:szCs w:val="24"/>
        </w:rPr>
        <w:t>bölgesel dağıtım</w:t>
      </w:r>
      <w:r w:rsidRPr="00DF1633">
        <w:rPr>
          <w:rFonts w:asciiTheme="majorBidi" w:hAnsiTheme="majorBidi" w:cstheme="majorBidi"/>
          <w:sz w:val="24"/>
          <w:szCs w:val="24"/>
        </w:rPr>
        <w:t xml:space="preserve"> işlevi görür.</w:t>
      </w:r>
    </w:p>
    <w:p w14:paraId="3D67F4CB"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 xml:space="preserve"> Genel Yorum:</w:t>
      </w:r>
    </w:p>
    <w:p w14:paraId="5826DB6C" w14:textId="1FD6A0BA" w:rsidR="00DF1633" w:rsidRPr="00DF1633" w:rsidRDefault="00DF1633" w:rsidP="00DF1633">
      <w:pPr>
        <w:numPr>
          <w:ilvl w:val="0"/>
          <w:numId w:val="9"/>
        </w:numPr>
        <w:rPr>
          <w:rFonts w:asciiTheme="majorBidi" w:hAnsiTheme="majorBidi" w:cstheme="majorBidi"/>
          <w:sz w:val="24"/>
          <w:szCs w:val="24"/>
        </w:rPr>
      </w:pPr>
      <w:r w:rsidRPr="00DF1633">
        <w:rPr>
          <w:rFonts w:asciiTheme="majorBidi" w:hAnsiTheme="majorBidi" w:cstheme="majorBidi"/>
          <w:b/>
          <w:bCs/>
          <w:sz w:val="24"/>
          <w:szCs w:val="24"/>
        </w:rPr>
        <w:t>İlk 3 liman</w:t>
      </w:r>
      <w:r w:rsidRPr="00DF1633">
        <w:rPr>
          <w:rFonts w:asciiTheme="majorBidi" w:hAnsiTheme="majorBidi" w:cstheme="majorBidi"/>
          <w:sz w:val="24"/>
          <w:szCs w:val="24"/>
        </w:rPr>
        <w:t xml:space="preserve"> (Şanghay, Rotterdam, Los Angeles), toplam hacmin yaklaşık </w:t>
      </w:r>
      <w:r w:rsidRPr="00DF1633">
        <w:rPr>
          <w:rFonts w:asciiTheme="majorBidi" w:hAnsiTheme="majorBidi" w:cstheme="majorBidi"/>
          <w:b/>
          <w:bCs/>
          <w:sz w:val="24"/>
          <w:szCs w:val="24"/>
        </w:rPr>
        <w:t>%82’sini</w:t>
      </w:r>
      <w:r w:rsidRPr="00DF1633">
        <w:rPr>
          <w:rFonts w:asciiTheme="majorBidi" w:hAnsiTheme="majorBidi" w:cstheme="majorBidi"/>
          <w:sz w:val="24"/>
          <w:szCs w:val="24"/>
        </w:rPr>
        <w:t xml:space="preserve"> oluşturuyor.</w:t>
      </w:r>
    </w:p>
    <w:p w14:paraId="65BCA99B" w14:textId="77777777" w:rsidR="00DF1633" w:rsidRPr="00DF1633" w:rsidRDefault="00DF1633" w:rsidP="00DF1633">
      <w:pPr>
        <w:numPr>
          <w:ilvl w:val="0"/>
          <w:numId w:val="9"/>
        </w:numPr>
        <w:rPr>
          <w:rFonts w:asciiTheme="majorBidi" w:hAnsiTheme="majorBidi" w:cstheme="majorBidi"/>
          <w:sz w:val="24"/>
          <w:szCs w:val="24"/>
        </w:rPr>
      </w:pPr>
      <w:r w:rsidRPr="00DF1633">
        <w:rPr>
          <w:rFonts w:asciiTheme="majorBidi" w:hAnsiTheme="majorBidi" w:cstheme="majorBidi"/>
          <w:sz w:val="24"/>
          <w:szCs w:val="24"/>
        </w:rPr>
        <w:t xml:space="preserve">Bu durum küresel deniz ticaretinin çok </w:t>
      </w:r>
      <w:r w:rsidRPr="00DF1633">
        <w:rPr>
          <w:rFonts w:asciiTheme="majorBidi" w:hAnsiTheme="majorBidi" w:cstheme="majorBidi"/>
          <w:b/>
          <w:bCs/>
          <w:sz w:val="24"/>
          <w:szCs w:val="24"/>
        </w:rPr>
        <w:t>yoğunlaşmış</w:t>
      </w:r>
      <w:r w:rsidRPr="00DF1633">
        <w:rPr>
          <w:rFonts w:asciiTheme="majorBidi" w:hAnsiTheme="majorBidi" w:cstheme="majorBidi"/>
          <w:sz w:val="24"/>
          <w:szCs w:val="24"/>
        </w:rPr>
        <w:t xml:space="preserve"> olduğunu gösteriyor.</w:t>
      </w:r>
    </w:p>
    <w:p w14:paraId="11C38451" w14:textId="77777777" w:rsidR="00DF1633" w:rsidRPr="00DF1633" w:rsidRDefault="00DF1633" w:rsidP="00DF1633">
      <w:pPr>
        <w:numPr>
          <w:ilvl w:val="0"/>
          <w:numId w:val="9"/>
        </w:numPr>
        <w:rPr>
          <w:rFonts w:asciiTheme="majorBidi" w:hAnsiTheme="majorBidi" w:cstheme="majorBidi"/>
          <w:sz w:val="24"/>
          <w:szCs w:val="24"/>
        </w:rPr>
      </w:pPr>
      <w:r w:rsidRPr="00DF1633">
        <w:rPr>
          <w:rFonts w:asciiTheme="majorBidi" w:hAnsiTheme="majorBidi" w:cstheme="majorBidi"/>
          <w:b/>
          <w:bCs/>
          <w:sz w:val="24"/>
          <w:szCs w:val="24"/>
        </w:rPr>
        <w:t>Asya ve Avrupa kıyı limanları</w:t>
      </w:r>
      <w:r w:rsidRPr="00DF1633">
        <w:rPr>
          <w:rFonts w:asciiTheme="majorBidi" w:hAnsiTheme="majorBidi" w:cstheme="majorBidi"/>
          <w:sz w:val="24"/>
          <w:szCs w:val="24"/>
        </w:rPr>
        <w:t xml:space="preserve"> ön planda; Orta Doğu ve Karadeniz limanları ise nispeten düşük hacimlere sahip.</w:t>
      </w:r>
    </w:p>
    <w:p w14:paraId="14B7C536" w14:textId="77777777" w:rsidR="00DF1633" w:rsidRDefault="00DF1633" w:rsidP="00DF1633"/>
    <w:p w14:paraId="42CC38AE" w14:textId="77777777" w:rsidR="00A02989" w:rsidRDefault="00A02989" w:rsidP="00A02989">
      <w:pPr>
        <w:pStyle w:val="Heading4"/>
      </w:pPr>
      <w:r>
        <w:t>Değerlendirme</w:t>
      </w:r>
    </w:p>
    <w:p w14:paraId="1974ED08" w14:textId="1CCCD7F7" w:rsidR="00A02989" w:rsidRDefault="00A02989" w:rsidP="00A0298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A02989">
        <w:rPr>
          <w:rFonts w:ascii="Times New Roman" w:eastAsia="Times New Roman" w:hAnsi="Times New Roman" w:cs="Times New Roman"/>
          <w:kern w:val="0"/>
          <w:sz w:val="24"/>
          <w:szCs w:val="24"/>
          <w:lang w:eastAsia="tr-TR"/>
          <w14:ligatures w14:val="none"/>
        </w:rPr>
        <w:t xml:space="preserve"> Treemap grafik, </w:t>
      </w:r>
      <w:r w:rsidRPr="00A02989">
        <w:rPr>
          <w:rFonts w:ascii="Times New Roman" w:eastAsia="Times New Roman" w:hAnsi="Times New Roman" w:cs="Times New Roman"/>
          <w:b/>
          <w:bCs/>
          <w:kern w:val="0"/>
          <w:sz w:val="24"/>
          <w:szCs w:val="24"/>
          <w:lang w:eastAsia="tr-TR"/>
          <w14:ligatures w14:val="none"/>
        </w:rPr>
        <w:t>ticaret hacmindeki küresel asimetriyi</w:t>
      </w:r>
      <w:r w:rsidRPr="00A02989">
        <w:rPr>
          <w:rFonts w:ascii="Times New Roman" w:eastAsia="Times New Roman" w:hAnsi="Times New Roman" w:cs="Times New Roman"/>
          <w:kern w:val="0"/>
          <w:sz w:val="24"/>
          <w:szCs w:val="24"/>
          <w:lang w:eastAsia="tr-TR"/>
          <w14:ligatures w14:val="none"/>
        </w:rPr>
        <w:t xml:space="preserve"> ve </w:t>
      </w:r>
      <w:r w:rsidRPr="00A02989">
        <w:rPr>
          <w:rFonts w:ascii="Times New Roman" w:eastAsia="Times New Roman" w:hAnsi="Times New Roman" w:cs="Times New Roman"/>
          <w:b/>
          <w:bCs/>
          <w:kern w:val="0"/>
          <w:sz w:val="24"/>
          <w:szCs w:val="24"/>
          <w:lang w:eastAsia="tr-TR"/>
          <w14:ligatures w14:val="none"/>
        </w:rPr>
        <w:t>lojistik merkezlerin baskın konumunu</w:t>
      </w:r>
      <w:r w:rsidRPr="00A02989">
        <w:rPr>
          <w:rFonts w:ascii="Times New Roman" w:eastAsia="Times New Roman" w:hAnsi="Times New Roman" w:cs="Times New Roman"/>
          <w:kern w:val="0"/>
          <w:sz w:val="24"/>
          <w:szCs w:val="24"/>
          <w:lang w:eastAsia="tr-TR"/>
          <w14:ligatures w14:val="none"/>
        </w:rPr>
        <w:t xml:space="preserve"> vurgulamak açısından son derece başarılı</w:t>
      </w:r>
      <w:r>
        <w:rPr>
          <w:rFonts w:ascii="Times New Roman" w:eastAsia="Times New Roman" w:hAnsi="Times New Roman" w:cs="Times New Roman"/>
          <w:kern w:val="0"/>
          <w:sz w:val="24"/>
          <w:szCs w:val="24"/>
          <w:lang w:eastAsia="tr-TR"/>
          <w14:ligatures w14:val="none"/>
        </w:rPr>
        <w:t>dır.</w:t>
      </w:r>
    </w:p>
    <w:p w14:paraId="1DBB8E7B" w14:textId="32AF6FBF" w:rsidR="00A02989" w:rsidRPr="00A02989" w:rsidRDefault="00A02989" w:rsidP="00A02989">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A02989">
        <w:rPr>
          <w:rFonts w:ascii="Times New Roman" w:eastAsia="Times New Roman" w:hAnsi="Times New Roman" w:cs="Times New Roman"/>
          <w:kern w:val="0"/>
          <w:sz w:val="24"/>
          <w:szCs w:val="24"/>
          <w:lang w:eastAsia="tr-TR"/>
          <w14:ligatures w14:val="none"/>
        </w:rPr>
        <w:t xml:space="preserve">Bu analiz, </w:t>
      </w:r>
      <w:r w:rsidRPr="00A02989">
        <w:rPr>
          <w:rFonts w:ascii="Times New Roman" w:eastAsia="Times New Roman" w:hAnsi="Times New Roman" w:cs="Times New Roman"/>
          <w:b/>
          <w:bCs/>
          <w:kern w:val="0"/>
          <w:sz w:val="24"/>
          <w:szCs w:val="24"/>
          <w:lang w:eastAsia="tr-TR"/>
          <w14:ligatures w14:val="none"/>
        </w:rPr>
        <w:t>küresel ticaret yapısındaki yoğunlaşmayı ve eşitsizliği</w:t>
      </w:r>
      <w:r w:rsidRPr="00A02989">
        <w:rPr>
          <w:rFonts w:ascii="Times New Roman" w:eastAsia="Times New Roman" w:hAnsi="Times New Roman" w:cs="Times New Roman"/>
          <w:kern w:val="0"/>
          <w:sz w:val="24"/>
          <w:szCs w:val="24"/>
          <w:lang w:eastAsia="tr-TR"/>
          <w14:ligatures w14:val="none"/>
        </w:rPr>
        <w:t xml:space="preserve"> açıkça ortaya ko</w:t>
      </w:r>
      <w:r>
        <w:rPr>
          <w:rFonts w:ascii="Times New Roman" w:eastAsia="Times New Roman" w:hAnsi="Times New Roman" w:cs="Times New Roman"/>
          <w:kern w:val="0"/>
          <w:sz w:val="24"/>
          <w:szCs w:val="24"/>
          <w:lang w:eastAsia="tr-TR"/>
          <w14:ligatures w14:val="none"/>
        </w:rPr>
        <w:t>ymaktadır.</w:t>
      </w:r>
    </w:p>
    <w:p w14:paraId="47B9D13A" w14:textId="77777777" w:rsidR="00A02989" w:rsidRDefault="0055115E" w:rsidP="00CF1A7D">
      <w:pPr>
        <w:pStyle w:val="Heading2"/>
        <w:tabs>
          <w:tab w:val="left" w:pos="7632"/>
        </w:tabs>
      </w:pPr>
      <w:proofErr w:type="spellStart"/>
      <w:r w:rsidRPr="0055115E">
        <w:t>Choropleth</w:t>
      </w:r>
      <w:proofErr w:type="spellEnd"/>
      <w:r w:rsidRPr="0055115E">
        <w:t xml:space="preserve"> </w:t>
      </w:r>
      <w:proofErr w:type="spellStart"/>
      <w:r w:rsidRPr="0055115E">
        <w:t>Map</w:t>
      </w:r>
      <w:proofErr w:type="spellEnd"/>
    </w:p>
    <w:p w14:paraId="4E684201" w14:textId="2830484B" w:rsidR="00F95AF3" w:rsidRDefault="00A02989" w:rsidP="00F95AF3">
      <w:pPr>
        <w:pStyle w:val="NormalWeb"/>
      </w:pPr>
      <w:proofErr w:type="spellStart"/>
      <w:r>
        <w:rPr>
          <w:rStyle w:val="Strong"/>
          <w:rFonts w:eastAsiaTheme="majorEastAsia"/>
        </w:rPr>
        <w:t>Choropleth</w:t>
      </w:r>
      <w:proofErr w:type="spellEnd"/>
      <w:r>
        <w:rPr>
          <w:rStyle w:val="Strong"/>
          <w:rFonts w:eastAsiaTheme="majorEastAsia"/>
        </w:rPr>
        <w:t xml:space="preserve"> </w:t>
      </w:r>
      <w:proofErr w:type="spellStart"/>
      <w:r>
        <w:rPr>
          <w:rStyle w:val="Strong"/>
          <w:rFonts w:eastAsiaTheme="majorEastAsia"/>
        </w:rPr>
        <w:t>Map</w:t>
      </w:r>
      <w:proofErr w:type="spellEnd"/>
      <w:r>
        <w:t xml:space="preserve">, belirli bir istatistiksel değerin (örneğin gelir, nüfus yoğunluğu, oy oranı, ihracat hacmi) </w:t>
      </w:r>
      <w:r>
        <w:rPr>
          <w:rStyle w:val="Strong"/>
          <w:rFonts w:eastAsiaTheme="majorEastAsia"/>
        </w:rPr>
        <w:t>bölgesel farklarını renk skalasıyla</w:t>
      </w:r>
      <w:r>
        <w:t xml:space="preserve"> gösterir.</w:t>
      </w:r>
      <w:r>
        <w:br/>
        <w:t xml:space="preserve">Her bölgeye ait renk tonu, o bölgenin </w:t>
      </w:r>
      <w:r>
        <w:rPr>
          <w:rStyle w:val="Strong"/>
          <w:rFonts w:eastAsiaTheme="majorEastAsia"/>
        </w:rPr>
        <w:t>ölçülen değişkendeki değerine</w:t>
      </w:r>
      <w:r>
        <w:t xml:space="preserve"> karşılık gelir.</w:t>
      </w:r>
    </w:p>
    <w:p w14:paraId="5B93000F" w14:textId="77777777" w:rsidR="00F95AF3" w:rsidRPr="00F95AF3" w:rsidRDefault="00F95AF3" w:rsidP="00F95AF3">
      <w:pPr>
        <w:pStyle w:val="NormalWeb"/>
        <w:rPr>
          <w:b/>
          <w:bCs/>
        </w:rPr>
      </w:pPr>
      <w:r w:rsidRPr="00F95AF3">
        <w:rPr>
          <w:b/>
          <w:bCs/>
        </w:rPr>
        <w:t>Avantajları</w:t>
      </w:r>
    </w:p>
    <w:p w14:paraId="31763516" w14:textId="77777777" w:rsidR="00F95AF3" w:rsidRPr="00F95AF3" w:rsidRDefault="00F95AF3" w:rsidP="00F95AF3">
      <w:pPr>
        <w:pStyle w:val="NormalWeb"/>
        <w:numPr>
          <w:ilvl w:val="0"/>
          <w:numId w:val="24"/>
        </w:numPr>
      </w:pPr>
      <w:r w:rsidRPr="00F95AF3">
        <w:t xml:space="preserve">Büyük ve karmaşık veri kümelerini </w:t>
      </w:r>
      <w:r w:rsidRPr="00F95AF3">
        <w:rPr>
          <w:b/>
          <w:bCs/>
        </w:rPr>
        <w:t>görsel olarak sadeleştirir</w:t>
      </w:r>
    </w:p>
    <w:p w14:paraId="1EDF6D94" w14:textId="77777777" w:rsidR="00F95AF3" w:rsidRPr="00F95AF3" w:rsidRDefault="00F95AF3" w:rsidP="00F95AF3">
      <w:pPr>
        <w:pStyle w:val="NormalWeb"/>
        <w:numPr>
          <w:ilvl w:val="0"/>
          <w:numId w:val="24"/>
        </w:numPr>
      </w:pPr>
      <w:r w:rsidRPr="00F95AF3">
        <w:t>Bölgesel desenleri ve eşitsizlikleri açıkça gösterir</w:t>
      </w:r>
    </w:p>
    <w:p w14:paraId="7C7B7F68" w14:textId="77777777" w:rsidR="00F95AF3" w:rsidRPr="00F95AF3" w:rsidRDefault="00F95AF3" w:rsidP="00F95AF3">
      <w:pPr>
        <w:pStyle w:val="NormalWeb"/>
        <w:numPr>
          <w:ilvl w:val="0"/>
          <w:numId w:val="24"/>
        </w:numPr>
      </w:pPr>
      <w:r w:rsidRPr="00F95AF3">
        <w:t xml:space="preserve">Anlaması kolay ve </w:t>
      </w:r>
      <w:r w:rsidRPr="00F95AF3">
        <w:rPr>
          <w:b/>
          <w:bCs/>
        </w:rPr>
        <w:t>etkileyici sunum aracı</w:t>
      </w:r>
    </w:p>
    <w:p w14:paraId="28D3C546" w14:textId="77777777" w:rsidR="00F95AF3" w:rsidRPr="00F95AF3" w:rsidRDefault="00F95AF3" w:rsidP="00F95AF3">
      <w:pPr>
        <w:pStyle w:val="NormalWeb"/>
        <w:numPr>
          <w:ilvl w:val="0"/>
          <w:numId w:val="24"/>
        </w:numPr>
      </w:pPr>
      <w:r w:rsidRPr="00F95AF3">
        <w:lastRenderedPageBreak/>
        <w:t xml:space="preserve">Web tabanlı harita sistemleriyle (örneğin: </w:t>
      </w:r>
      <w:proofErr w:type="spellStart"/>
      <w:r w:rsidRPr="00F95AF3">
        <w:t>Leaflet</w:t>
      </w:r>
      <w:proofErr w:type="spellEnd"/>
      <w:r w:rsidRPr="00F95AF3">
        <w:t xml:space="preserve">, </w:t>
      </w:r>
      <w:proofErr w:type="spellStart"/>
      <w:r w:rsidRPr="00F95AF3">
        <w:t>Plotly</w:t>
      </w:r>
      <w:proofErr w:type="spellEnd"/>
      <w:r w:rsidRPr="00F95AF3">
        <w:t xml:space="preserve">, </w:t>
      </w:r>
      <w:proofErr w:type="spellStart"/>
      <w:r w:rsidRPr="00F95AF3">
        <w:t>GeoJSON</w:t>
      </w:r>
      <w:proofErr w:type="spellEnd"/>
      <w:r w:rsidRPr="00F95AF3">
        <w:t>) kolayca entegre olur</w:t>
      </w:r>
    </w:p>
    <w:p w14:paraId="5F43D815" w14:textId="6EB5DE68" w:rsidR="00F95AF3" w:rsidRPr="00F95AF3" w:rsidRDefault="00F95AF3" w:rsidP="00F95AF3">
      <w:pPr>
        <w:pStyle w:val="NormalWeb"/>
        <w:rPr>
          <w:b/>
          <w:bCs/>
        </w:rPr>
      </w:pPr>
      <w:r w:rsidRPr="00F95AF3">
        <w:rPr>
          <w:b/>
          <w:bCs/>
        </w:rPr>
        <w:t>Dezavantajları</w:t>
      </w:r>
    </w:p>
    <w:p w14:paraId="48C58CAC" w14:textId="77777777" w:rsidR="00F95AF3" w:rsidRPr="00F95AF3" w:rsidRDefault="00F95AF3" w:rsidP="00F95AF3">
      <w:pPr>
        <w:pStyle w:val="NormalWeb"/>
        <w:numPr>
          <w:ilvl w:val="0"/>
          <w:numId w:val="25"/>
        </w:numPr>
      </w:pPr>
      <w:r w:rsidRPr="00F95AF3">
        <w:t>Bölge büyüklüğü veriyi yanıltabilir (büyük alan = yüksek değer gibi yanlış anlaşılabilir)</w:t>
      </w:r>
    </w:p>
    <w:p w14:paraId="5DB283AA" w14:textId="77777777" w:rsidR="00F95AF3" w:rsidRPr="00F95AF3" w:rsidRDefault="00F95AF3" w:rsidP="00F95AF3">
      <w:pPr>
        <w:pStyle w:val="NormalWeb"/>
        <w:numPr>
          <w:ilvl w:val="0"/>
          <w:numId w:val="25"/>
        </w:numPr>
      </w:pPr>
      <w:r w:rsidRPr="00F95AF3">
        <w:t>Renk seçimi algıyı etkileyebilir (koyu renk = "kötü" algısı olabilir)</w:t>
      </w:r>
    </w:p>
    <w:p w14:paraId="24720127" w14:textId="77777777" w:rsidR="00F95AF3" w:rsidRPr="00F95AF3" w:rsidRDefault="00F95AF3" w:rsidP="00F95AF3">
      <w:pPr>
        <w:pStyle w:val="NormalWeb"/>
        <w:numPr>
          <w:ilvl w:val="0"/>
          <w:numId w:val="25"/>
        </w:numPr>
      </w:pPr>
      <w:r w:rsidRPr="00F95AF3">
        <w:t xml:space="preserve">Yoğunluk yerine mutlak sayı kullanılırsa harita </w:t>
      </w:r>
      <w:r w:rsidRPr="00F95AF3">
        <w:rPr>
          <w:b/>
          <w:bCs/>
        </w:rPr>
        <w:t>yanıltıcı olabilir</w:t>
      </w:r>
    </w:p>
    <w:p w14:paraId="44A2FA54" w14:textId="77777777" w:rsidR="00F95AF3" w:rsidRPr="00F95AF3" w:rsidRDefault="00F95AF3" w:rsidP="00F95AF3">
      <w:pPr>
        <w:pStyle w:val="NormalWeb"/>
        <w:numPr>
          <w:ilvl w:val="0"/>
          <w:numId w:val="25"/>
        </w:numPr>
      </w:pPr>
      <w:r w:rsidRPr="00F95AF3">
        <w:t>Veri eksikliği olan bölgeler haritada görsel bozulmaya yol açabilir</w:t>
      </w:r>
    </w:p>
    <w:p w14:paraId="51B6A44F" w14:textId="7DFEA0C5" w:rsidR="00F95AF3" w:rsidRDefault="00F95AF3" w:rsidP="003024BD">
      <w:pPr>
        <w:pStyle w:val="NormalWeb"/>
      </w:pPr>
      <w:r>
        <w:t xml:space="preserve">Bkz. </w:t>
      </w:r>
      <w:proofErr w:type="spellStart"/>
      <w:r w:rsidRPr="00F95AF3">
        <w:t>Brewer</w:t>
      </w:r>
      <w:proofErr w:type="spellEnd"/>
      <w:r w:rsidRPr="00F95AF3">
        <w:t xml:space="preserve">, C. A. (1994). </w:t>
      </w:r>
      <w:proofErr w:type="spellStart"/>
      <w:r w:rsidRPr="00F95AF3">
        <w:rPr>
          <w:i/>
          <w:iCs/>
        </w:rPr>
        <w:t>Color</w:t>
      </w:r>
      <w:proofErr w:type="spellEnd"/>
      <w:r w:rsidRPr="00F95AF3">
        <w:rPr>
          <w:i/>
          <w:iCs/>
        </w:rPr>
        <w:t xml:space="preserve"> </w:t>
      </w:r>
      <w:proofErr w:type="spellStart"/>
      <w:r w:rsidRPr="00F95AF3">
        <w:rPr>
          <w:i/>
          <w:iCs/>
        </w:rPr>
        <w:t>Use</w:t>
      </w:r>
      <w:proofErr w:type="spellEnd"/>
      <w:r w:rsidRPr="00F95AF3">
        <w:rPr>
          <w:i/>
          <w:iCs/>
        </w:rPr>
        <w:t xml:space="preserve"> </w:t>
      </w:r>
      <w:proofErr w:type="spellStart"/>
      <w:r w:rsidRPr="00F95AF3">
        <w:rPr>
          <w:i/>
          <w:iCs/>
        </w:rPr>
        <w:t>Guidelines</w:t>
      </w:r>
      <w:proofErr w:type="spellEnd"/>
      <w:r w:rsidRPr="00F95AF3">
        <w:rPr>
          <w:i/>
          <w:iCs/>
        </w:rPr>
        <w:t xml:space="preserve"> </w:t>
      </w:r>
      <w:proofErr w:type="spellStart"/>
      <w:r w:rsidRPr="00F95AF3">
        <w:rPr>
          <w:i/>
          <w:iCs/>
        </w:rPr>
        <w:t>for</w:t>
      </w:r>
      <w:proofErr w:type="spellEnd"/>
      <w:r w:rsidRPr="00F95AF3">
        <w:rPr>
          <w:i/>
          <w:iCs/>
        </w:rPr>
        <w:t xml:space="preserve"> </w:t>
      </w:r>
      <w:proofErr w:type="spellStart"/>
      <w:r w:rsidRPr="00F95AF3">
        <w:rPr>
          <w:i/>
          <w:iCs/>
        </w:rPr>
        <w:t>Mapping</w:t>
      </w:r>
      <w:proofErr w:type="spellEnd"/>
      <w:r w:rsidRPr="00F95AF3">
        <w:rPr>
          <w:i/>
          <w:iCs/>
        </w:rPr>
        <w:t xml:space="preserve"> </w:t>
      </w:r>
      <w:proofErr w:type="spellStart"/>
      <w:r w:rsidRPr="00F95AF3">
        <w:rPr>
          <w:i/>
          <w:iCs/>
        </w:rPr>
        <w:t>and</w:t>
      </w:r>
      <w:proofErr w:type="spellEnd"/>
      <w:r w:rsidRPr="00F95AF3">
        <w:rPr>
          <w:i/>
          <w:iCs/>
        </w:rPr>
        <w:t xml:space="preserve"> </w:t>
      </w:r>
      <w:proofErr w:type="spellStart"/>
      <w:r w:rsidRPr="00F95AF3">
        <w:rPr>
          <w:i/>
          <w:iCs/>
        </w:rPr>
        <w:t>Visualization</w:t>
      </w:r>
      <w:proofErr w:type="spellEnd"/>
      <w:r w:rsidRPr="00F95AF3">
        <w:t xml:space="preserve">. </w:t>
      </w:r>
      <w:proofErr w:type="spellStart"/>
      <w:r w:rsidRPr="00F95AF3">
        <w:t>In</w:t>
      </w:r>
      <w:proofErr w:type="spellEnd"/>
      <w:r w:rsidRPr="00F95AF3">
        <w:t xml:space="preserve">: </w:t>
      </w:r>
      <w:proofErr w:type="spellStart"/>
      <w:r w:rsidRPr="00F95AF3">
        <w:rPr>
          <w:i/>
          <w:iCs/>
        </w:rPr>
        <w:t>Visualization</w:t>
      </w:r>
      <w:proofErr w:type="spellEnd"/>
      <w:r w:rsidRPr="00F95AF3">
        <w:rPr>
          <w:i/>
          <w:iCs/>
        </w:rPr>
        <w:t xml:space="preserve"> in Modern </w:t>
      </w:r>
      <w:proofErr w:type="spellStart"/>
      <w:r w:rsidRPr="00F95AF3">
        <w:rPr>
          <w:i/>
          <w:iCs/>
        </w:rPr>
        <w:t>Cartography</w:t>
      </w:r>
      <w:proofErr w:type="spellEnd"/>
      <w:r w:rsidRPr="00F95AF3">
        <w:t xml:space="preserve">. </w:t>
      </w:r>
      <w:proofErr w:type="spellStart"/>
      <w:r w:rsidRPr="00F95AF3">
        <w:t>Elsevier</w:t>
      </w:r>
      <w:proofErr w:type="spellEnd"/>
      <w:r w:rsidRPr="00F95AF3">
        <w:t xml:space="preserve"> </w:t>
      </w:r>
      <w:proofErr w:type="spellStart"/>
      <w:r w:rsidRPr="00F95AF3">
        <w:t>Science</w:t>
      </w:r>
      <w:proofErr w:type="spellEnd"/>
    </w:p>
    <w:p w14:paraId="7FE489C0" w14:textId="3E9C7776" w:rsidR="0055115E" w:rsidRDefault="0055115E" w:rsidP="00CF1A7D">
      <w:pPr>
        <w:pStyle w:val="Heading2"/>
        <w:tabs>
          <w:tab w:val="left" w:pos="7632"/>
        </w:tabs>
      </w:pPr>
      <w:r w:rsidRPr="0055115E">
        <w:t xml:space="preserve"> 2018–2024 Arası Hacim Değişimi</w:t>
      </w:r>
      <w:r w:rsidR="00CF1A7D">
        <w:tab/>
      </w:r>
    </w:p>
    <w:p w14:paraId="3A089F2C" w14:textId="77777777" w:rsidR="00CF1A7D" w:rsidRPr="00CF1A7D" w:rsidRDefault="00CF1A7D" w:rsidP="00CF1A7D"/>
    <w:p w14:paraId="79BB8BD2" w14:textId="0243A38A" w:rsidR="0055115E" w:rsidRPr="00DF1633" w:rsidRDefault="00CF1A7D" w:rsidP="0055115E">
      <w:pPr>
        <w:rPr>
          <w:rFonts w:asciiTheme="majorBidi" w:hAnsiTheme="majorBidi" w:cstheme="majorBidi"/>
          <w:sz w:val="24"/>
          <w:szCs w:val="24"/>
        </w:rPr>
      </w:pPr>
      <w:r w:rsidRPr="00DF1633">
        <w:rPr>
          <w:rFonts w:asciiTheme="majorBidi" w:hAnsiTheme="majorBidi" w:cstheme="majorBidi"/>
          <w:noProof/>
          <w:sz w:val="24"/>
          <w:szCs w:val="24"/>
        </w:rPr>
        <w:drawing>
          <wp:inline distT="0" distB="0" distL="0" distR="0" wp14:anchorId="77E58BF1" wp14:editId="2EFC83EA">
            <wp:extent cx="5875020" cy="3848100"/>
            <wp:effectExtent l="0" t="0" r="0" b="0"/>
            <wp:docPr id="432939752" name="Picture 1" descr="A map of the world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39752" name="Picture 1" descr="A map of the world with different colored countries/regio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75020" cy="3848100"/>
                    </a:xfrm>
                    <a:prstGeom prst="rect">
                      <a:avLst/>
                    </a:prstGeom>
                  </pic:spPr>
                </pic:pic>
              </a:graphicData>
            </a:graphic>
          </wp:inline>
        </w:drawing>
      </w:r>
    </w:p>
    <w:p w14:paraId="403A4163" w14:textId="620C2064" w:rsidR="0055115E" w:rsidRDefault="00DF1633" w:rsidP="00DF1633">
      <w:pPr>
        <w:rPr>
          <w:rFonts w:asciiTheme="majorBidi" w:hAnsiTheme="majorBidi" w:cstheme="majorBidi"/>
          <w:sz w:val="24"/>
          <w:szCs w:val="24"/>
        </w:rPr>
      </w:pPr>
      <w:r w:rsidRPr="00DF1633">
        <w:rPr>
          <w:rFonts w:asciiTheme="majorBidi" w:hAnsiTheme="majorBidi" w:cstheme="majorBidi"/>
          <w:sz w:val="24"/>
          <w:szCs w:val="24"/>
        </w:rPr>
        <w:t xml:space="preserve">Bu </w:t>
      </w:r>
      <w:r w:rsidRPr="00DF1633">
        <w:rPr>
          <w:rFonts w:asciiTheme="majorBidi" w:hAnsiTheme="majorBidi" w:cstheme="majorBidi"/>
          <w:b/>
          <w:bCs/>
          <w:sz w:val="24"/>
          <w:szCs w:val="24"/>
        </w:rPr>
        <w:t>choropleth haritası</w:t>
      </w:r>
      <w:r w:rsidRPr="00DF1633">
        <w:rPr>
          <w:rFonts w:asciiTheme="majorBidi" w:hAnsiTheme="majorBidi" w:cstheme="majorBidi"/>
          <w:sz w:val="24"/>
          <w:szCs w:val="24"/>
        </w:rPr>
        <w:t>, 2018–2024 yılları arasında ülkelerdeki dış ticaret hacmindeki büyüme oranlarını (%) görselleştiriyor.</w:t>
      </w:r>
    </w:p>
    <w:p w14:paraId="121B8BAE" w14:textId="77777777" w:rsidR="003024BD" w:rsidRPr="00DF1633" w:rsidRDefault="003024BD" w:rsidP="00DF1633">
      <w:pPr>
        <w:rPr>
          <w:rFonts w:asciiTheme="majorBidi" w:hAnsiTheme="majorBidi" w:cstheme="majorBidi"/>
          <w:sz w:val="24"/>
          <w:szCs w:val="24"/>
        </w:rPr>
      </w:pPr>
    </w:p>
    <w:p w14:paraId="1D217CCC" w14:textId="77777777"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Negatif Büyüme Gösteren Ülkeler (Koyu Kırmızı):</w:t>
      </w:r>
    </w:p>
    <w:p w14:paraId="28BD6B36" w14:textId="4713FAA6" w:rsidR="00DF1633" w:rsidRPr="00DF1633" w:rsidRDefault="00DF1633" w:rsidP="00DF1633">
      <w:pPr>
        <w:numPr>
          <w:ilvl w:val="0"/>
          <w:numId w:val="10"/>
        </w:numPr>
        <w:rPr>
          <w:rFonts w:asciiTheme="majorBidi" w:hAnsiTheme="majorBidi" w:cstheme="majorBidi"/>
          <w:sz w:val="24"/>
          <w:szCs w:val="24"/>
        </w:rPr>
      </w:pPr>
      <w:r w:rsidRPr="00DF1633">
        <w:rPr>
          <w:rFonts w:asciiTheme="majorBidi" w:hAnsiTheme="majorBidi" w:cstheme="majorBidi"/>
          <w:b/>
          <w:bCs/>
          <w:sz w:val="24"/>
          <w:szCs w:val="24"/>
        </w:rPr>
        <w:t>Rusya</w:t>
      </w:r>
      <w:r w:rsidRPr="00DF1633">
        <w:rPr>
          <w:rFonts w:asciiTheme="majorBidi" w:hAnsiTheme="majorBidi" w:cstheme="majorBidi"/>
          <w:sz w:val="24"/>
          <w:szCs w:val="24"/>
        </w:rPr>
        <w:t xml:space="preserve"> ve çevresi (Novorossisk, Odessa gibi limanlar):</w:t>
      </w:r>
      <w:r w:rsidRPr="00DF1633">
        <w:rPr>
          <w:rFonts w:asciiTheme="majorBidi" w:hAnsiTheme="majorBidi" w:cstheme="majorBidi"/>
          <w:sz w:val="24"/>
          <w:szCs w:val="24"/>
        </w:rPr>
        <w:br/>
        <w:t xml:space="preserve">Ticaret hacminde </w:t>
      </w:r>
      <w:r w:rsidRPr="00DF1633">
        <w:rPr>
          <w:rFonts w:asciiTheme="majorBidi" w:hAnsiTheme="majorBidi" w:cstheme="majorBidi"/>
          <w:b/>
          <w:bCs/>
          <w:sz w:val="24"/>
          <w:szCs w:val="24"/>
        </w:rPr>
        <w:t>düşüş</w:t>
      </w:r>
      <w:r w:rsidRPr="00DF1633">
        <w:rPr>
          <w:rFonts w:asciiTheme="majorBidi" w:hAnsiTheme="majorBidi" w:cstheme="majorBidi"/>
          <w:sz w:val="24"/>
          <w:szCs w:val="24"/>
        </w:rPr>
        <w:t xml:space="preserve"> yaşanmış. Bu, 2022 sonrası </w:t>
      </w:r>
      <w:r w:rsidRPr="00DF1633">
        <w:rPr>
          <w:rFonts w:asciiTheme="majorBidi" w:hAnsiTheme="majorBidi" w:cstheme="majorBidi"/>
          <w:b/>
          <w:bCs/>
          <w:sz w:val="24"/>
          <w:szCs w:val="24"/>
        </w:rPr>
        <w:t>jeopolitik riskler</w:t>
      </w:r>
      <w:r w:rsidRPr="00DF1633">
        <w:rPr>
          <w:rFonts w:asciiTheme="majorBidi" w:hAnsiTheme="majorBidi" w:cstheme="majorBidi"/>
          <w:sz w:val="24"/>
          <w:szCs w:val="24"/>
        </w:rPr>
        <w:t xml:space="preserve"> (Ukrayna savaşı, yaptırımlar) nedeniyle ticaret trafiğinin düşmesiyle açıklanabilir.</w:t>
      </w:r>
    </w:p>
    <w:p w14:paraId="05C6CCF0" w14:textId="232335F4" w:rsidR="00DF1633" w:rsidRPr="00DF1633" w:rsidRDefault="00DF1633" w:rsidP="00DF1633">
      <w:pPr>
        <w:numPr>
          <w:ilvl w:val="0"/>
          <w:numId w:val="10"/>
        </w:numPr>
        <w:rPr>
          <w:rFonts w:asciiTheme="majorBidi" w:hAnsiTheme="majorBidi" w:cstheme="majorBidi"/>
          <w:sz w:val="24"/>
          <w:szCs w:val="24"/>
        </w:rPr>
      </w:pPr>
      <w:r w:rsidRPr="00DF1633">
        <w:rPr>
          <w:rFonts w:asciiTheme="majorBidi" w:hAnsiTheme="majorBidi" w:cstheme="majorBidi"/>
          <w:b/>
          <w:bCs/>
          <w:sz w:val="24"/>
          <w:szCs w:val="24"/>
        </w:rPr>
        <w:lastRenderedPageBreak/>
        <w:t>Çin:</w:t>
      </w:r>
      <w:r w:rsidRPr="00DF1633">
        <w:rPr>
          <w:rFonts w:asciiTheme="majorBidi" w:hAnsiTheme="majorBidi" w:cstheme="majorBidi"/>
          <w:sz w:val="24"/>
          <w:szCs w:val="24"/>
        </w:rPr>
        <w:t xml:space="preserve"> Hafif kırmızı tonu ile büyümenin durduğu ya da azaldığı anlaşılıyor. Bu şaşırtıcı olabilir, ancak Şanghay gibi limanlarda doygunluk, pandemi sonrası kapasite sınırları ve küresel tedarik zinciri değişimi bunda rol oynayabilir.</w:t>
      </w:r>
    </w:p>
    <w:p w14:paraId="36B0D041" w14:textId="666213DE" w:rsidR="00DF1633" w:rsidRPr="00DF1633" w:rsidRDefault="00DF1633" w:rsidP="00DF1633">
      <w:pPr>
        <w:rPr>
          <w:rFonts w:asciiTheme="majorBidi" w:hAnsiTheme="majorBidi" w:cstheme="majorBidi"/>
          <w:sz w:val="24"/>
          <w:szCs w:val="24"/>
        </w:rPr>
      </w:pPr>
    </w:p>
    <w:p w14:paraId="383228E0" w14:textId="4E5EBB6C"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Orta Derecede Büyüyen Ülkeler:</w:t>
      </w:r>
    </w:p>
    <w:p w14:paraId="7756FC5A" w14:textId="77777777" w:rsidR="00DF1633" w:rsidRPr="00DF1633" w:rsidRDefault="00DF1633" w:rsidP="00DF1633">
      <w:pPr>
        <w:numPr>
          <w:ilvl w:val="0"/>
          <w:numId w:val="11"/>
        </w:numPr>
        <w:rPr>
          <w:rFonts w:asciiTheme="majorBidi" w:hAnsiTheme="majorBidi" w:cstheme="majorBidi"/>
          <w:sz w:val="24"/>
          <w:szCs w:val="24"/>
        </w:rPr>
      </w:pPr>
      <w:r w:rsidRPr="00DF1633">
        <w:rPr>
          <w:rFonts w:asciiTheme="majorBidi" w:hAnsiTheme="majorBidi" w:cstheme="majorBidi"/>
          <w:b/>
          <w:bCs/>
          <w:sz w:val="24"/>
          <w:szCs w:val="24"/>
        </w:rPr>
        <w:t>ABD</w:t>
      </w:r>
      <w:r w:rsidRPr="00DF1633">
        <w:rPr>
          <w:rFonts w:asciiTheme="majorBidi" w:hAnsiTheme="majorBidi" w:cstheme="majorBidi"/>
          <w:sz w:val="24"/>
          <w:szCs w:val="24"/>
        </w:rPr>
        <w:t>: %20 civarı büyüme ile limanlarında (özellikle Los Angeles) ciddi bir artış var. Bu, pandemiden sonra toparlanan ithalat talebiyle uyumlu.</w:t>
      </w:r>
    </w:p>
    <w:p w14:paraId="514094B8" w14:textId="40394A1F" w:rsidR="00DF1633" w:rsidRDefault="00DF1633" w:rsidP="00DF1633">
      <w:pPr>
        <w:numPr>
          <w:ilvl w:val="0"/>
          <w:numId w:val="11"/>
        </w:numPr>
        <w:rPr>
          <w:rFonts w:asciiTheme="majorBidi" w:hAnsiTheme="majorBidi" w:cstheme="majorBidi"/>
          <w:sz w:val="24"/>
          <w:szCs w:val="24"/>
        </w:rPr>
      </w:pPr>
      <w:r w:rsidRPr="00DF1633">
        <w:rPr>
          <w:rFonts w:asciiTheme="majorBidi" w:hAnsiTheme="majorBidi" w:cstheme="majorBidi"/>
          <w:b/>
          <w:bCs/>
          <w:sz w:val="24"/>
          <w:szCs w:val="24"/>
        </w:rPr>
        <w:t>Hollanda (Rotterdam)</w:t>
      </w:r>
      <w:r w:rsidRPr="00DF1633">
        <w:rPr>
          <w:rFonts w:asciiTheme="majorBidi" w:hAnsiTheme="majorBidi" w:cstheme="majorBidi"/>
          <w:sz w:val="24"/>
          <w:szCs w:val="24"/>
        </w:rPr>
        <w:t>: Avrupa’nın yük transfer merkezi olarak istikrarlı ve kontrollü bir büyüme göstermiş.</w:t>
      </w:r>
    </w:p>
    <w:p w14:paraId="4BB05239" w14:textId="77777777" w:rsidR="00F95AF3" w:rsidRPr="00DF1633" w:rsidRDefault="00F95AF3" w:rsidP="00F95AF3">
      <w:pPr>
        <w:rPr>
          <w:rFonts w:asciiTheme="majorBidi" w:hAnsiTheme="majorBidi" w:cstheme="majorBidi"/>
          <w:sz w:val="24"/>
          <w:szCs w:val="24"/>
        </w:rPr>
      </w:pPr>
    </w:p>
    <w:p w14:paraId="35962C6A" w14:textId="77B4F62F"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Ilımlı Büyüme Gösteren Ülkeler:</w:t>
      </w:r>
    </w:p>
    <w:p w14:paraId="5D32A29E" w14:textId="77777777" w:rsidR="00DF1633" w:rsidRPr="00DF1633" w:rsidRDefault="00DF1633" w:rsidP="00DF1633">
      <w:pPr>
        <w:numPr>
          <w:ilvl w:val="0"/>
          <w:numId w:val="12"/>
        </w:numPr>
        <w:rPr>
          <w:rFonts w:asciiTheme="majorBidi" w:hAnsiTheme="majorBidi" w:cstheme="majorBidi"/>
          <w:sz w:val="24"/>
          <w:szCs w:val="24"/>
        </w:rPr>
      </w:pPr>
      <w:r w:rsidRPr="00DF1633">
        <w:rPr>
          <w:rFonts w:asciiTheme="majorBidi" w:hAnsiTheme="majorBidi" w:cstheme="majorBidi"/>
          <w:b/>
          <w:bCs/>
          <w:sz w:val="24"/>
          <w:szCs w:val="24"/>
        </w:rPr>
        <w:t>Türkiye</w:t>
      </w:r>
      <w:r w:rsidRPr="00DF1633">
        <w:rPr>
          <w:rFonts w:asciiTheme="majorBidi" w:hAnsiTheme="majorBidi" w:cstheme="majorBidi"/>
          <w:sz w:val="24"/>
          <w:szCs w:val="24"/>
        </w:rPr>
        <w:t xml:space="preserve">, </w:t>
      </w:r>
      <w:r w:rsidRPr="00DF1633">
        <w:rPr>
          <w:rFonts w:asciiTheme="majorBidi" w:hAnsiTheme="majorBidi" w:cstheme="majorBidi"/>
          <w:b/>
          <w:bCs/>
          <w:sz w:val="24"/>
          <w:szCs w:val="24"/>
        </w:rPr>
        <w:t>Polonya</w:t>
      </w:r>
      <w:r w:rsidRPr="00DF1633">
        <w:rPr>
          <w:rFonts w:asciiTheme="majorBidi" w:hAnsiTheme="majorBidi" w:cstheme="majorBidi"/>
          <w:sz w:val="24"/>
          <w:szCs w:val="24"/>
        </w:rPr>
        <w:t xml:space="preserve">, </w:t>
      </w:r>
      <w:r w:rsidRPr="00DF1633">
        <w:rPr>
          <w:rFonts w:asciiTheme="majorBidi" w:hAnsiTheme="majorBidi" w:cstheme="majorBidi"/>
          <w:b/>
          <w:bCs/>
          <w:sz w:val="24"/>
          <w:szCs w:val="24"/>
        </w:rPr>
        <w:t>Mısır</w:t>
      </w:r>
      <w:r w:rsidRPr="00DF1633">
        <w:rPr>
          <w:rFonts w:asciiTheme="majorBidi" w:hAnsiTheme="majorBidi" w:cstheme="majorBidi"/>
          <w:sz w:val="24"/>
          <w:szCs w:val="24"/>
        </w:rPr>
        <w:t>: %10–15 bandında büyüme.</w:t>
      </w:r>
      <w:r w:rsidRPr="00DF1633">
        <w:rPr>
          <w:rFonts w:asciiTheme="majorBidi" w:hAnsiTheme="majorBidi" w:cstheme="majorBidi"/>
          <w:sz w:val="24"/>
          <w:szCs w:val="24"/>
        </w:rPr>
        <w:br/>
        <w:t>Bu ülkeler coğrafi olarak transit geçiş bölgelerinde olduğundan dış ticaret hacmi göreceli olarak artmış olabilir.</w:t>
      </w:r>
    </w:p>
    <w:p w14:paraId="08610A26" w14:textId="77777777" w:rsidR="00DF1633" w:rsidRPr="00DF1633" w:rsidRDefault="00DF1633" w:rsidP="00DF1633">
      <w:pPr>
        <w:rPr>
          <w:rFonts w:asciiTheme="majorBidi" w:hAnsiTheme="majorBidi" w:cstheme="majorBidi"/>
          <w:sz w:val="24"/>
          <w:szCs w:val="24"/>
        </w:rPr>
      </w:pPr>
    </w:p>
    <w:p w14:paraId="50640B76" w14:textId="75C7ADBC" w:rsidR="00DF1633" w:rsidRPr="00DF1633" w:rsidRDefault="00DF1633" w:rsidP="00DF1633">
      <w:pPr>
        <w:rPr>
          <w:rFonts w:asciiTheme="majorBidi" w:hAnsiTheme="majorBidi" w:cstheme="majorBidi"/>
          <w:b/>
          <w:bCs/>
          <w:sz w:val="24"/>
          <w:szCs w:val="24"/>
        </w:rPr>
      </w:pPr>
      <w:r w:rsidRPr="00DF1633">
        <w:rPr>
          <w:rFonts w:asciiTheme="majorBidi" w:hAnsiTheme="majorBidi" w:cstheme="majorBidi"/>
          <w:b/>
          <w:bCs/>
          <w:sz w:val="24"/>
          <w:szCs w:val="24"/>
        </w:rPr>
        <w:t>Grafikten Çıkan Anlamlı Sonuçlar:</w:t>
      </w:r>
    </w:p>
    <w:p w14:paraId="2918829D" w14:textId="77777777" w:rsidR="00DF1633" w:rsidRPr="00DF1633" w:rsidRDefault="00DF1633" w:rsidP="00DF1633">
      <w:pPr>
        <w:numPr>
          <w:ilvl w:val="0"/>
          <w:numId w:val="13"/>
        </w:numPr>
        <w:rPr>
          <w:rFonts w:asciiTheme="majorBidi" w:hAnsiTheme="majorBidi" w:cstheme="majorBidi"/>
          <w:sz w:val="24"/>
          <w:szCs w:val="24"/>
        </w:rPr>
      </w:pPr>
      <w:r w:rsidRPr="00DF1633">
        <w:rPr>
          <w:rFonts w:asciiTheme="majorBidi" w:hAnsiTheme="majorBidi" w:cstheme="majorBidi"/>
          <w:b/>
          <w:bCs/>
          <w:sz w:val="24"/>
          <w:szCs w:val="24"/>
        </w:rPr>
        <w:t>Coğrafi Gerilimler, Ticaretin Yönünü Değiştiriyor:</w:t>
      </w:r>
      <w:r w:rsidRPr="00DF1633">
        <w:rPr>
          <w:rFonts w:asciiTheme="majorBidi" w:hAnsiTheme="majorBidi" w:cstheme="majorBidi"/>
          <w:sz w:val="24"/>
          <w:szCs w:val="24"/>
        </w:rPr>
        <w:br/>
        <w:t>Rusya ve Ukrayna gibi ülkeler negatif büyüme gösterirken, Türkiye ve Polonya gibi alternatif koridor ülkelerinde artış var.</w:t>
      </w:r>
    </w:p>
    <w:p w14:paraId="2C578539" w14:textId="77777777" w:rsidR="00DF1633" w:rsidRPr="00DF1633" w:rsidRDefault="00DF1633" w:rsidP="00DF1633">
      <w:pPr>
        <w:numPr>
          <w:ilvl w:val="0"/>
          <w:numId w:val="13"/>
        </w:numPr>
        <w:rPr>
          <w:rFonts w:asciiTheme="majorBidi" w:hAnsiTheme="majorBidi" w:cstheme="majorBidi"/>
          <w:sz w:val="24"/>
          <w:szCs w:val="24"/>
        </w:rPr>
      </w:pPr>
      <w:r w:rsidRPr="00DF1633">
        <w:rPr>
          <w:rFonts w:asciiTheme="majorBidi" w:hAnsiTheme="majorBidi" w:cstheme="majorBidi"/>
          <w:b/>
          <w:bCs/>
          <w:sz w:val="24"/>
          <w:szCs w:val="24"/>
        </w:rPr>
        <w:t>Çin’de Doygunluk, ABD’de Talep Artışı:</w:t>
      </w:r>
      <w:r w:rsidRPr="00DF1633">
        <w:rPr>
          <w:rFonts w:asciiTheme="majorBidi" w:hAnsiTheme="majorBidi" w:cstheme="majorBidi"/>
          <w:sz w:val="24"/>
          <w:szCs w:val="24"/>
        </w:rPr>
        <w:br/>
        <w:t>Çin limanlarındaki büyüme sınırlı kalırken, ABD limanlarında dış ticaret toparlanıyor.</w:t>
      </w:r>
    </w:p>
    <w:p w14:paraId="349E9A6C" w14:textId="77777777" w:rsidR="00DF1633" w:rsidRPr="00DF1633" w:rsidRDefault="00DF1633" w:rsidP="00DF1633">
      <w:pPr>
        <w:numPr>
          <w:ilvl w:val="0"/>
          <w:numId w:val="13"/>
        </w:numPr>
        <w:rPr>
          <w:rFonts w:asciiTheme="majorBidi" w:hAnsiTheme="majorBidi" w:cstheme="majorBidi"/>
          <w:sz w:val="24"/>
          <w:szCs w:val="24"/>
        </w:rPr>
      </w:pPr>
      <w:r w:rsidRPr="00DF1633">
        <w:rPr>
          <w:rFonts w:asciiTheme="majorBidi" w:hAnsiTheme="majorBidi" w:cstheme="majorBidi"/>
          <w:b/>
          <w:bCs/>
          <w:sz w:val="24"/>
          <w:szCs w:val="24"/>
        </w:rPr>
        <w:t>Rotterdam ve Mersin Gibi Ana Limanlar Orta Hızda İlerliyor:</w:t>
      </w:r>
      <w:r w:rsidRPr="00DF1633">
        <w:rPr>
          <w:rFonts w:asciiTheme="majorBidi" w:hAnsiTheme="majorBidi" w:cstheme="majorBidi"/>
          <w:sz w:val="24"/>
          <w:szCs w:val="24"/>
        </w:rPr>
        <w:br/>
        <w:t>Lojistik merkezleri hâlâ büyümekte ama daha stabil düzeyde.</w:t>
      </w:r>
    </w:p>
    <w:p w14:paraId="158F1ADF" w14:textId="77777777" w:rsidR="00DF1633" w:rsidRPr="00DF1633" w:rsidRDefault="00DF1633" w:rsidP="00DF1633">
      <w:pPr>
        <w:rPr>
          <w:rFonts w:asciiTheme="majorBidi" w:hAnsiTheme="majorBidi" w:cstheme="majorBidi"/>
          <w:sz w:val="24"/>
          <w:szCs w:val="24"/>
        </w:rPr>
      </w:pPr>
    </w:p>
    <w:p w14:paraId="755AE495" w14:textId="77777777" w:rsidR="00143029" w:rsidRDefault="00143029" w:rsidP="00143029">
      <w:pPr>
        <w:pStyle w:val="Heading2"/>
      </w:pPr>
      <w:r w:rsidRPr="00143029">
        <w:t>Limanların 2018–2024 Arası Ticaret Hacmi: İstatistiksel Karşılaştırma ve Dağılım Analizi</w:t>
      </w:r>
    </w:p>
    <w:p w14:paraId="73B142AD" w14:textId="77777777" w:rsidR="00143029" w:rsidRPr="00143029" w:rsidRDefault="00143029" w:rsidP="00143029"/>
    <w:p w14:paraId="3B001A78" w14:textId="04CE6BB8"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Normallik Testi: Shapiro-Wilk</w:t>
      </w:r>
    </w:p>
    <w:p w14:paraId="0E044EA1"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Z-score ile normalize edilmiş değerler üzerinden yapılan Shapiro-Wilk testi sonucuna göre:</w:t>
      </w:r>
    </w:p>
    <w:p w14:paraId="56493294" w14:textId="77777777" w:rsidR="00143029" w:rsidRPr="00143029" w:rsidRDefault="00143029" w:rsidP="00143029">
      <w:pPr>
        <w:numPr>
          <w:ilvl w:val="0"/>
          <w:numId w:val="15"/>
        </w:numPr>
        <w:rPr>
          <w:rFonts w:asciiTheme="majorBidi" w:hAnsiTheme="majorBidi" w:cstheme="majorBidi"/>
          <w:sz w:val="24"/>
          <w:szCs w:val="24"/>
        </w:rPr>
      </w:pPr>
      <w:r w:rsidRPr="00143029">
        <w:rPr>
          <w:rFonts w:asciiTheme="majorBidi" w:hAnsiTheme="majorBidi" w:cstheme="majorBidi"/>
          <w:b/>
          <w:bCs/>
          <w:sz w:val="24"/>
          <w:szCs w:val="24"/>
        </w:rPr>
        <w:t>W = 0.95802</w:t>
      </w:r>
      <w:r w:rsidRPr="00143029">
        <w:rPr>
          <w:rFonts w:asciiTheme="majorBidi" w:hAnsiTheme="majorBidi" w:cstheme="majorBidi"/>
          <w:sz w:val="24"/>
          <w:szCs w:val="24"/>
        </w:rPr>
        <w:t>,</w:t>
      </w:r>
    </w:p>
    <w:p w14:paraId="51264B87" w14:textId="77777777" w:rsidR="00143029" w:rsidRPr="00143029" w:rsidRDefault="00143029" w:rsidP="00143029">
      <w:pPr>
        <w:numPr>
          <w:ilvl w:val="0"/>
          <w:numId w:val="15"/>
        </w:numPr>
        <w:rPr>
          <w:rFonts w:asciiTheme="majorBidi" w:hAnsiTheme="majorBidi" w:cstheme="majorBidi"/>
          <w:sz w:val="24"/>
          <w:szCs w:val="24"/>
        </w:rPr>
      </w:pPr>
      <w:r w:rsidRPr="00143029">
        <w:rPr>
          <w:rFonts w:asciiTheme="majorBidi" w:hAnsiTheme="majorBidi" w:cstheme="majorBidi"/>
          <w:b/>
          <w:bCs/>
          <w:sz w:val="24"/>
          <w:szCs w:val="24"/>
        </w:rPr>
        <w:t>p-değeri = 0.01949</w:t>
      </w:r>
    </w:p>
    <w:p w14:paraId="452C6C3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Bu sonuç, istatistiksel olarak anlamlıdır (</w:t>
      </w:r>
      <w:r w:rsidRPr="00143029">
        <w:rPr>
          <w:rFonts w:asciiTheme="majorBidi" w:hAnsiTheme="majorBidi" w:cstheme="majorBidi"/>
          <w:b/>
          <w:bCs/>
          <w:sz w:val="24"/>
          <w:szCs w:val="24"/>
        </w:rPr>
        <w:t>p &lt; 0.05</w:t>
      </w:r>
      <w:r w:rsidRPr="00143029">
        <w:rPr>
          <w:rFonts w:asciiTheme="majorBidi" w:hAnsiTheme="majorBidi" w:cstheme="majorBidi"/>
          <w:sz w:val="24"/>
          <w:szCs w:val="24"/>
        </w:rPr>
        <w:t xml:space="preserve">), yani dağılım </w:t>
      </w:r>
      <w:r w:rsidRPr="00143029">
        <w:rPr>
          <w:rFonts w:asciiTheme="majorBidi" w:hAnsiTheme="majorBidi" w:cstheme="majorBidi"/>
          <w:b/>
          <w:bCs/>
          <w:sz w:val="24"/>
          <w:szCs w:val="24"/>
        </w:rPr>
        <w:t>normallikten sapmaktadır</w:t>
      </w:r>
      <w:r w:rsidRPr="00143029">
        <w:rPr>
          <w:rFonts w:asciiTheme="majorBidi" w:hAnsiTheme="majorBidi" w:cstheme="majorBidi"/>
          <w:sz w:val="24"/>
          <w:szCs w:val="24"/>
        </w:rPr>
        <w:t>. Bu nedenle parametrik olmayan test yöntemleri tercih edilmelidir.</w:t>
      </w:r>
    </w:p>
    <w:p w14:paraId="54410CBE" w14:textId="3C720C57" w:rsidR="00143029" w:rsidRPr="00143029" w:rsidRDefault="00143029" w:rsidP="00143029">
      <w:pPr>
        <w:rPr>
          <w:rFonts w:asciiTheme="majorBidi" w:hAnsiTheme="majorBidi" w:cstheme="majorBidi"/>
          <w:sz w:val="24"/>
          <w:szCs w:val="24"/>
        </w:rPr>
      </w:pPr>
    </w:p>
    <w:p w14:paraId="5E92B1C8" w14:textId="77B12945"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lastRenderedPageBreak/>
        <w:t>Varyans Homojenliği Testi: Levene's Test</w:t>
      </w:r>
    </w:p>
    <w:p w14:paraId="3CBB40EA"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Levene testi sonucuna göre:</w:t>
      </w:r>
    </w:p>
    <w:p w14:paraId="76B62320" w14:textId="77777777" w:rsidR="00143029" w:rsidRPr="00143029" w:rsidRDefault="00143029" w:rsidP="00143029">
      <w:pPr>
        <w:numPr>
          <w:ilvl w:val="0"/>
          <w:numId w:val="16"/>
        </w:numPr>
        <w:rPr>
          <w:rFonts w:asciiTheme="majorBidi" w:hAnsiTheme="majorBidi" w:cstheme="majorBidi"/>
          <w:sz w:val="24"/>
          <w:szCs w:val="24"/>
        </w:rPr>
      </w:pPr>
      <w:r w:rsidRPr="00143029">
        <w:rPr>
          <w:rFonts w:asciiTheme="majorBidi" w:hAnsiTheme="majorBidi" w:cstheme="majorBidi"/>
          <w:b/>
          <w:bCs/>
          <w:sz w:val="24"/>
          <w:szCs w:val="24"/>
        </w:rPr>
        <w:t>F(9, 60) = 10.189</w:t>
      </w:r>
      <w:r w:rsidRPr="00143029">
        <w:rPr>
          <w:rFonts w:asciiTheme="majorBidi" w:hAnsiTheme="majorBidi" w:cstheme="majorBidi"/>
          <w:sz w:val="24"/>
          <w:szCs w:val="24"/>
        </w:rPr>
        <w:t>,</w:t>
      </w:r>
    </w:p>
    <w:p w14:paraId="446E85D3" w14:textId="77777777" w:rsidR="00143029" w:rsidRPr="00143029" w:rsidRDefault="00143029" w:rsidP="00143029">
      <w:pPr>
        <w:numPr>
          <w:ilvl w:val="0"/>
          <w:numId w:val="16"/>
        </w:numPr>
        <w:rPr>
          <w:rFonts w:asciiTheme="majorBidi" w:hAnsiTheme="majorBidi" w:cstheme="majorBidi"/>
          <w:sz w:val="24"/>
          <w:szCs w:val="24"/>
        </w:rPr>
      </w:pPr>
      <w:r w:rsidRPr="00143029">
        <w:rPr>
          <w:rFonts w:asciiTheme="majorBidi" w:hAnsiTheme="majorBidi" w:cstheme="majorBidi"/>
          <w:b/>
          <w:bCs/>
          <w:sz w:val="24"/>
          <w:szCs w:val="24"/>
        </w:rPr>
        <w:t>p &lt; 0.001</w:t>
      </w:r>
    </w:p>
    <w:p w14:paraId="5F10CB96"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 xml:space="preserve">Bu sonuç, </w:t>
      </w:r>
      <w:r w:rsidRPr="00143029">
        <w:rPr>
          <w:rFonts w:asciiTheme="majorBidi" w:hAnsiTheme="majorBidi" w:cstheme="majorBidi"/>
          <w:b/>
          <w:bCs/>
          <w:sz w:val="24"/>
          <w:szCs w:val="24"/>
        </w:rPr>
        <w:t>gruplar arası varyansların homojen olmadığını</w:t>
      </w:r>
      <w:r w:rsidRPr="00143029">
        <w:rPr>
          <w:rFonts w:asciiTheme="majorBidi" w:hAnsiTheme="majorBidi" w:cstheme="majorBidi"/>
          <w:sz w:val="24"/>
          <w:szCs w:val="24"/>
        </w:rPr>
        <w:t xml:space="preserve"> göstermektedir. Bu da yine parametrik test varsayımlarının ihlal edildiğini teyit eder.</w:t>
      </w:r>
    </w:p>
    <w:p w14:paraId="3A688095" w14:textId="77777777" w:rsidR="00143029" w:rsidRDefault="00143029" w:rsidP="00143029">
      <w:pPr>
        <w:rPr>
          <w:rFonts w:asciiTheme="majorBidi" w:hAnsiTheme="majorBidi" w:cstheme="majorBidi"/>
          <w:sz w:val="24"/>
          <w:szCs w:val="24"/>
        </w:rPr>
      </w:pPr>
    </w:p>
    <w:p w14:paraId="67579B6B" w14:textId="77777777" w:rsidR="00F95AF3" w:rsidRPr="00143029" w:rsidRDefault="00F95AF3" w:rsidP="00143029">
      <w:pPr>
        <w:rPr>
          <w:rFonts w:asciiTheme="majorBidi" w:hAnsiTheme="majorBidi" w:cstheme="majorBidi"/>
          <w:sz w:val="24"/>
          <w:szCs w:val="24"/>
        </w:rPr>
      </w:pPr>
    </w:p>
    <w:p w14:paraId="397A5BBE" w14:textId="35208A9A"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Gruplar Arası Farklılık: Kruskal-Wallis Testi</w:t>
      </w:r>
    </w:p>
    <w:p w14:paraId="261E60B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Kruskal-Wallis testi kullanılarak 10 limanın ticaret hacimleri karşılaştırıldığında:</w:t>
      </w:r>
    </w:p>
    <w:p w14:paraId="76720EE5" w14:textId="77777777" w:rsidR="00143029" w:rsidRPr="00143029" w:rsidRDefault="00143029" w:rsidP="00143029">
      <w:pPr>
        <w:numPr>
          <w:ilvl w:val="0"/>
          <w:numId w:val="17"/>
        </w:numPr>
        <w:rPr>
          <w:rFonts w:asciiTheme="majorBidi" w:hAnsiTheme="majorBidi" w:cstheme="majorBidi"/>
          <w:sz w:val="24"/>
          <w:szCs w:val="24"/>
        </w:rPr>
      </w:pPr>
      <w:r w:rsidRPr="00143029">
        <w:rPr>
          <w:rFonts w:asciiTheme="majorBidi" w:hAnsiTheme="majorBidi" w:cstheme="majorBidi"/>
          <w:b/>
          <w:bCs/>
          <w:sz w:val="24"/>
          <w:szCs w:val="24"/>
        </w:rPr>
        <w:t>H istatistiği anlamlı çıkmıştır</w:t>
      </w:r>
      <w:r w:rsidRPr="00143029">
        <w:rPr>
          <w:rFonts w:asciiTheme="majorBidi" w:hAnsiTheme="majorBidi" w:cstheme="majorBidi"/>
          <w:sz w:val="24"/>
          <w:szCs w:val="24"/>
        </w:rPr>
        <w:t xml:space="preserve"> (değeri konsola yansıtılmış ancak burada görünmüyor).</w:t>
      </w:r>
    </w:p>
    <w:p w14:paraId="10B25809"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 xml:space="preserve">Bu test sonucuna göre, </w:t>
      </w:r>
      <w:r w:rsidRPr="00143029">
        <w:rPr>
          <w:rFonts w:asciiTheme="majorBidi" w:hAnsiTheme="majorBidi" w:cstheme="majorBidi"/>
          <w:b/>
          <w:bCs/>
          <w:sz w:val="24"/>
          <w:szCs w:val="24"/>
        </w:rPr>
        <w:t>limanlar arasında en az bir grubun medyanı anlamlı olarak farklıdır</w:t>
      </w:r>
      <w:r w:rsidRPr="00143029">
        <w:rPr>
          <w:rFonts w:asciiTheme="majorBidi" w:hAnsiTheme="majorBidi" w:cstheme="majorBidi"/>
          <w:sz w:val="24"/>
          <w:szCs w:val="24"/>
        </w:rPr>
        <w:t>.</w:t>
      </w:r>
    </w:p>
    <w:p w14:paraId="24E81A07" w14:textId="77777777"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 Etki Büyüklüğü (Eta-squared):</w:t>
      </w:r>
    </w:p>
    <w:p w14:paraId="773B4054"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 xml:space="preserve">Eta-kare değeri: </w:t>
      </w:r>
      <w:r w:rsidRPr="00143029">
        <w:rPr>
          <w:rFonts w:asciiTheme="majorBidi" w:hAnsiTheme="majorBidi" w:cstheme="majorBidi"/>
          <w:b/>
          <w:bCs/>
          <w:sz w:val="24"/>
          <w:szCs w:val="24"/>
        </w:rPr>
        <w:t>0.9517</w:t>
      </w:r>
    </w:p>
    <w:p w14:paraId="371FC2CA"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 xml:space="preserve">Bu çok yüksek bir etki büyüklüğüdür ve limanlar arasındaki ticaret hacmi farklılıklarının </w:t>
      </w:r>
      <w:r w:rsidRPr="00143029">
        <w:rPr>
          <w:rFonts w:asciiTheme="majorBidi" w:hAnsiTheme="majorBidi" w:cstheme="majorBidi"/>
          <w:b/>
          <w:bCs/>
          <w:sz w:val="24"/>
          <w:szCs w:val="24"/>
        </w:rPr>
        <w:t>çok büyük ölçüde anlamlı</w:t>
      </w:r>
      <w:r w:rsidRPr="00143029">
        <w:rPr>
          <w:rFonts w:asciiTheme="majorBidi" w:hAnsiTheme="majorBidi" w:cstheme="majorBidi"/>
          <w:sz w:val="24"/>
          <w:szCs w:val="24"/>
        </w:rPr>
        <w:t xml:space="preserve"> olduğunu gösterir.</w:t>
      </w:r>
    </w:p>
    <w:p w14:paraId="588084FD" w14:textId="75DE23F1" w:rsidR="00143029" w:rsidRPr="00143029" w:rsidRDefault="00143029" w:rsidP="00143029">
      <w:pPr>
        <w:rPr>
          <w:rFonts w:asciiTheme="majorBidi" w:hAnsiTheme="majorBidi" w:cstheme="majorBidi"/>
          <w:sz w:val="24"/>
          <w:szCs w:val="24"/>
        </w:rPr>
      </w:pPr>
    </w:p>
    <w:p w14:paraId="557AD44C" w14:textId="51A80D6B"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Çiftli Karşılaştırmalar: Bonferroni Düzeltilmiş Wilcoxon Testi</w:t>
      </w:r>
    </w:p>
    <w:p w14:paraId="642F4126"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Bonferroni düzeltmeli Wilcoxon testine göre istatistiksel olarak anlamlı fark olan çiftlerden bazıları şunlardır:</w:t>
      </w:r>
    </w:p>
    <w:p w14:paraId="03E32AF8" w14:textId="77777777" w:rsidR="00143029" w:rsidRPr="00143029" w:rsidRDefault="00143029" w:rsidP="00143029">
      <w:pPr>
        <w:numPr>
          <w:ilvl w:val="0"/>
          <w:numId w:val="18"/>
        </w:numPr>
        <w:rPr>
          <w:rFonts w:asciiTheme="majorBidi" w:hAnsiTheme="majorBidi" w:cstheme="majorBidi"/>
          <w:sz w:val="24"/>
          <w:szCs w:val="24"/>
        </w:rPr>
      </w:pPr>
      <w:r w:rsidRPr="00143029">
        <w:rPr>
          <w:rFonts w:asciiTheme="majorBidi" w:hAnsiTheme="majorBidi" w:cstheme="majorBidi"/>
          <w:b/>
          <w:bCs/>
          <w:sz w:val="24"/>
          <w:szCs w:val="24"/>
        </w:rPr>
        <w:t>Shanghai</w:t>
      </w:r>
      <w:r w:rsidRPr="00143029">
        <w:rPr>
          <w:rFonts w:asciiTheme="majorBidi" w:hAnsiTheme="majorBidi" w:cstheme="majorBidi"/>
          <w:sz w:val="24"/>
          <w:szCs w:val="24"/>
        </w:rPr>
        <w:t xml:space="preserve">, hemen tüm limanlardan </w:t>
      </w:r>
      <w:r w:rsidRPr="00143029">
        <w:rPr>
          <w:rFonts w:asciiTheme="majorBidi" w:hAnsiTheme="majorBidi" w:cstheme="majorBidi"/>
          <w:b/>
          <w:bCs/>
          <w:sz w:val="24"/>
          <w:szCs w:val="24"/>
        </w:rPr>
        <w:t>anlamlı şekilde farklıdır</w:t>
      </w:r>
      <w:r w:rsidRPr="00143029">
        <w:rPr>
          <w:rFonts w:asciiTheme="majorBidi" w:hAnsiTheme="majorBidi" w:cstheme="majorBidi"/>
          <w:sz w:val="24"/>
          <w:szCs w:val="24"/>
        </w:rPr>
        <w:t xml:space="preserve"> (p = 0.026)</w:t>
      </w:r>
    </w:p>
    <w:p w14:paraId="3CF42F9B" w14:textId="77777777" w:rsidR="00143029" w:rsidRPr="00143029" w:rsidRDefault="00143029" w:rsidP="00143029">
      <w:pPr>
        <w:numPr>
          <w:ilvl w:val="0"/>
          <w:numId w:val="18"/>
        </w:numPr>
        <w:rPr>
          <w:rFonts w:asciiTheme="majorBidi" w:hAnsiTheme="majorBidi" w:cstheme="majorBidi"/>
          <w:sz w:val="24"/>
          <w:szCs w:val="24"/>
        </w:rPr>
      </w:pPr>
      <w:r w:rsidRPr="00143029">
        <w:rPr>
          <w:rFonts w:asciiTheme="majorBidi" w:hAnsiTheme="majorBidi" w:cstheme="majorBidi"/>
          <w:b/>
          <w:bCs/>
          <w:sz w:val="24"/>
          <w:szCs w:val="24"/>
        </w:rPr>
        <w:t>Rotterdam, Gdańsk, Mersin</w:t>
      </w:r>
      <w:r w:rsidRPr="00143029">
        <w:rPr>
          <w:rFonts w:asciiTheme="majorBidi" w:hAnsiTheme="majorBidi" w:cstheme="majorBidi"/>
          <w:sz w:val="24"/>
          <w:szCs w:val="24"/>
        </w:rPr>
        <w:t>, gibi orta büyüklükteki limanlar bazı küçük limanlardan farklıdır.</w:t>
      </w:r>
    </w:p>
    <w:p w14:paraId="7ED31A08" w14:textId="77777777" w:rsidR="00143029" w:rsidRPr="00143029" w:rsidRDefault="00143029" w:rsidP="00143029">
      <w:pPr>
        <w:numPr>
          <w:ilvl w:val="0"/>
          <w:numId w:val="18"/>
        </w:numPr>
        <w:rPr>
          <w:rFonts w:asciiTheme="majorBidi" w:hAnsiTheme="majorBidi" w:cstheme="majorBidi"/>
          <w:sz w:val="24"/>
          <w:szCs w:val="24"/>
        </w:rPr>
      </w:pPr>
      <w:r w:rsidRPr="00143029">
        <w:rPr>
          <w:rFonts w:asciiTheme="majorBidi" w:hAnsiTheme="majorBidi" w:cstheme="majorBidi"/>
          <w:b/>
          <w:bCs/>
          <w:sz w:val="24"/>
          <w:szCs w:val="24"/>
        </w:rPr>
        <w:t>Beirut, Alexandria, Odessa</w:t>
      </w:r>
      <w:r w:rsidRPr="00143029">
        <w:rPr>
          <w:rFonts w:asciiTheme="majorBidi" w:hAnsiTheme="majorBidi" w:cstheme="majorBidi"/>
          <w:sz w:val="24"/>
          <w:szCs w:val="24"/>
        </w:rPr>
        <w:t xml:space="preserve"> gibi küçük hacimli limanlar arasında ise çoğunlukla fark anlamlı değildir.</w:t>
      </w:r>
    </w:p>
    <w:p w14:paraId="039AA51D"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 xml:space="preserve">Bu test, </w:t>
      </w:r>
      <w:r w:rsidRPr="00143029">
        <w:rPr>
          <w:rFonts w:asciiTheme="majorBidi" w:hAnsiTheme="majorBidi" w:cstheme="majorBidi"/>
          <w:b/>
          <w:bCs/>
          <w:sz w:val="24"/>
          <w:szCs w:val="24"/>
        </w:rPr>
        <w:t>farklı segmentlerdeki limanlar arasında belirgin hacim farklarını</w:t>
      </w:r>
      <w:r w:rsidRPr="00143029">
        <w:rPr>
          <w:rFonts w:asciiTheme="majorBidi" w:hAnsiTheme="majorBidi" w:cstheme="majorBidi"/>
          <w:sz w:val="24"/>
          <w:szCs w:val="24"/>
        </w:rPr>
        <w:t xml:space="preserve"> ortaya koyar.</w:t>
      </w:r>
    </w:p>
    <w:p w14:paraId="5EBCF4EB" w14:textId="33F26A20" w:rsidR="00143029" w:rsidRPr="00143029" w:rsidRDefault="00143029" w:rsidP="00143029">
      <w:pPr>
        <w:rPr>
          <w:rFonts w:asciiTheme="majorBidi" w:hAnsiTheme="majorBidi" w:cstheme="majorBidi"/>
          <w:sz w:val="24"/>
          <w:szCs w:val="24"/>
        </w:rPr>
      </w:pPr>
    </w:p>
    <w:p w14:paraId="120CBBBB" w14:textId="009374BF"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Tanımlayıcı İstatistikler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194"/>
        <w:gridCol w:w="1867"/>
        <w:gridCol w:w="1140"/>
        <w:gridCol w:w="1734"/>
        <w:gridCol w:w="1035"/>
      </w:tblGrid>
      <w:tr w:rsidR="00143029" w:rsidRPr="00143029" w14:paraId="043A7926" w14:textId="77777777" w:rsidTr="00143029">
        <w:trPr>
          <w:tblHeader/>
          <w:tblCellSpacing w:w="15" w:type="dxa"/>
        </w:trPr>
        <w:tc>
          <w:tcPr>
            <w:tcW w:w="0" w:type="auto"/>
            <w:vAlign w:val="center"/>
            <w:hideMark/>
          </w:tcPr>
          <w:p w14:paraId="0D8ABF0B"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Liman</w:t>
            </w:r>
          </w:p>
        </w:tc>
        <w:tc>
          <w:tcPr>
            <w:tcW w:w="0" w:type="auto"/>
            <w:vAlign w:val="center"/>
            <w:hideMark/>
          </w:tcPr>
          <w:p w14:paraId="1ECFAEC3"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n</w:t>
            </w:r>
          </w:p>
        </w:tc>
        <w:tc>
          <w:tcPr>
            <w:tcW w:w="0" w:type="auto"/>
            <w:vAlign w:val="center"/>
            <w:hideMark/>
          </w:tcPr>
          <w:p w14:paraId="2070374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Ortalama (Mean)</w:t>
            </w:r>
          </w:p>
        </w:tc>
        <w:tc>
          <w:tcPr>
            <w:tcW w:w="0" w:type="auto"/>
            <w:vAlign w:val="center"/>
            <w:hideMark/>
          </w:tcPr>
          <w:p w14:paraId="0C062AE4"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Medyan</w:t>
            </w:r>
          </w:p>
        </w:tc>
        <w:tc>
          <w:tcPr>
            <w:tcW w:w="0" w:type="auto"/>
            <w:vAlign w:val="center"/>
            <w:hideMark/>
          </w:tcPr>
          <w:p w14:paraId="63A81CDB"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Standart Sapma</w:t>
            </w:r>
          </w:p>
        </w:tc>
        <w:tc>
          <w:tcPr>
            <w:tcW w:w="0" w:type="auto"/>
            <w:vAlign w:val="center"/>
            <w:hideMark/>
          </w:tcPr>
          <w:p w14:paraId="4367E7F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b/>
                <w:bCs/>
                <w:sz w:val="24"/>
                <w:szCs w:val="24"/>
              </w:rPr>
            </w:pPr>
            <w:r w:rsidRPr="00143029">
              <w:rPr>
                <w:rFonts w:asciiTheme="majorBidi" w:hAnsiTheme="majorBidi" w:cstheme="majorBidi"/>
                <w:b/>
                <w:bCs/>
                <w:sz w:val="24"/>
                <w:szCs w:val="24"/>
              </w:rPr>
              <w:t>IQR</w:t>
            </w:r>
          </w:p>
        </w:tc>
      </w:tr>
      <w:tr w:rsidR="00143029" w:rsidRPr="00143029" w14:paraId="34BFACE5" w14:textId="77777777" w:rsidTr="00143029">
        <w:trPr>
          <w:tblCellSpacing w:w="15" w:type="dxa"/>
        </w:trPr>
        <w:tc>
          <w:tcPr>
            <w:tcW w:w="0" w:type="auto"/>
            <w:vAlign w:val="center"/>
            <w:hideMark/>
          </w:tcPr>
          <w:p w14:paraId="524663C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Shanghai</w:t>
            </w:r>
          </w:p>
        </w:tc>
        <w:tc>
          <w:tcPr>
            <w:tcW w:w="0" w:type="auto"/>
            <w:vAlign w:val="center"/>
            <w:hideMark/>
          </w:tcPr>
          <w:p w14:paraId="716F5D67"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585F1F8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46,259,000</w:t>
            </w:r>
          </w:p>
        </w:tc>
        <w:tc>
          <w:tcPr>
            <w:tcW w:w="0" w:type="auto"/>
            <w:vAlign w:val="center"/>
            <w:hideMark/>
          </w:tcPr>
          <w:p w14:paraId="544908C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47,030,000</w:t>
            </w:r>
          </w:p>
        </w:tc>
        <w:tc>
          <w:tcPr>
            <w:tcW w:w="0" w:type="auto"/>
            <w:vAlign w:val="center"/>
            <w:hideMark/>
          </w:tcPr>
          <w:p w14:paraId="10E1D358"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3,465,808</w:t>
            </w:r>
          </w:p>
        </w:tc>
        <w:tc>
          <w:tcPr>
            <w:tcW w:w="0" w:type="auto"/>
            <w:vAlign w:val="center"/>
            <w:hideMark/>
          </w:tcPr>
          <w:p w14:paraId="42759AC7"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4,828,500</w:t>
            </w:r>
          </w:p>
        </w:tc>
      </w:tr>
      <w:tr w:rsidR="00143029" w:rsidRPr="00143029" w14:paraId="1584B60D" w14:textId="77777777" w:rsidTr="00143029">
        <w:trPr>
          <w:tblCellSpacing w:w="15" w:type="dxa"/>
        </w:trPr>
        <w:tc>
          <w:tcPr>
            <w:tcW w:w="0" w:type="auto"/>
            <w:vAlign w:val="center"/>
            <w:hideMark/>
          </w:tcPr>
          <w:p w14:paraId="3858968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lastRenderedPageBreak/>
              <w:t>Rotterdam</w:t>
            </w:r>
          </w:p>
        </w:tc>
        <w:tc>
          <w:tcPr>
            <w:tcW w:w="0" w:type="auto"/>
            <w:vAlign w:val="center"/>
            <w:hideMark/>
          </w:tcPr>
          <w:p w14:paraId="39944C08"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09359A3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14,373,714</w:t>
            </w:r>
          </w:p>
        </w:tc>
        <w:tc>
          <w:tcPr>
            <w:tcW w:w="0" w:type="auto"/>
            <w:vAlign w:val="center"/>
            <w:hideMark/>
          </w:tcPr>
          <w:p w14:paraId="6869D22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14,455,000</w:t>
            </w:r>
          </w:p>
        </w:tc>
        <w:tc>
          <w:tcPr>
            <w:tcW w:w="0" w:type="auto"/>
            <w:vAlign w:val="center"/>
            <w:hideMark/>
          </w:tcPr>
          <w:p w14:paraId="3EAFCF0D"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624,944</w:t>
            </w:r>
          </w:p>
        </w:tc>
        <w:tc>
          <w:tcPr>
            <w:tcW w:w="0" w:type="auto"/>
            <w:vAlign w:val="center"/>
            <w:hideMark/>
          </w:tcPr>
          <w:p w14:paraId="79A6F7FE"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581,500</w:t>
            </w:r>
          </w:p>
        </w:tc>
      </w:tr>
      <w:tr w:rsidR="00143029" w:rsidRPr="00143029" w14:paraId="7F31148F" w14:textId="77777777" w:rsidTr="00143029">
        <w:trPr>
          <w:tblCellSpacing w:w="15" w:type="dxa"/>
        </w:trPr>
        <w:tc>
          <w:tcPr>
            <w:tcW w:w="0" w:type="auto"/>
            <w:vAlign w:val="center"/>
            <w:hideMark/>
          </w:tcPr>
          <w:p w14:paraId="1F48BE0E"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Los Angeles</w:t>
            </w:r>
          </w:p>
        </w:tc>
        <w:tc>
          <w:tcPr>
            <w:tcW w:w="0" w:type="auto"/>
            <w:vAlign w:val="center"/>
            <w:hideMark/>
          </w:tcPr>
          <w:p w14:paraId="44AFF4CE"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2D4F54E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9,842,857</w:t>
            </w:r>
          </w:p>
        </w:tc>
        <w:tc>
          <w:tcPr>
            <w:tcW w:w="0" w:type="auto"/>
            <w:vAlign w:val="center"/>
            <w:hideMark/>
          </w:tcPr>
          <w:p w14:paraId="577837F8"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9,900,000</w:t>
            </w:r>
          </w:p>
        </w:tc>
        <w:tc>
          <w:tcPr>
            <w:tcW w:w="0" w:type="auto"/>
            <w:vAlign w:val="center"/>
            <w:hideMark/>
          </w:tcPr>
          <w:p w14:paraId="3A080514"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791,322</w:t>
            </w:r>
          </w:p>
        </w:tc>
        <w:tc>
          <w:tcPr>
            <w:tcW w:w="0" w:type="auto"/>
            <w:vAlign w:val="center"/>
            <w:hideMark/>
          </w:tcPr>
          <w:p w14:paraId="60B79DE4"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1,150,000</w:t>
            </w:r>
          </w:p>
        </w:tc>
      </w:tr>
      <w:tr w:rsidR="00143029" w:rsidRPr="00143029" w14:paraId="2F1CBC2C" w14:textId="77777777" w:rsidTr="00143029">
        <w:trPr>
          <w:tblCellSpacing w:w="15" w:type="dxa"/>
        </w:trPr>
        <w:tc>
          <w:tcPr>
            <w:tcW w:w="0" w:type="auto"/>
            <w:vAlign w:val="center"/>
            <w:hideMark/>
          </w:tcPr>
          <w:p w14:paraId="18EE9EE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Hamburg</w:t>
            </w:r>
          </w:p>
        </w:tc>
        <w:tc>
          <w:tcPr>
            <w:tcW w:w="0" w:type="auto"/>
            <w:vAlign w:val="center"/>
            <w:hideMark/>
          </w:tcPr>
          <w:p w14:paraId="1552953B"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1C33AA57"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8,428,571</w:t>
            </w:r>
          </w:p>
        </w:tc>
        <w:tc>
          <w:tcPr>
            <w:tcW w:w="0" w:type="auto"/>
            <w:vAlign w:val="center"/>
            <w:hideMark/>
          </w:tcPr>
          <w:p w14:paraId="051A7E09"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8,500,000</w:t>
            </w:r>
          </w:p>
        </w:tc>
        <w:tc>
          <w:tcPr>
            <w:tcW w:w="0" w:type="auto"/>
            <w:vAlign w:val="center"/>
            <w:hideMark/>
          </w:tcPr>
          <w:p w14:paraId="6461DC1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555,921</w:t>
            </w:r>
          </w:p>
        </w:tc>
        <w:tc>
          <w:tcPr>
            <w:tcW w:w="0" w:type="auto"/>
            <w:vAlign w:val="center"/>
            <w:hideMark/>
          </w:tcPr>
          <w:p w14:paraId="19460AE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650,000</w:t>
            </w:r>
          </w:p>
        </w:tc>
      </w:tr>
      <w:tr w:rsidR="00143029" w:rsidRPr="00143029" w14:paraId="6DCB7B5D" w14:textId="77777777" w:rsidTr="00143029">
        <w:trPr>
          <w:tblCellSpacing w:w="15" w:type="dxa"/>
        </w:trPr>
        <w:tc>
          <w:tcPr>
            <w:tcW w:w="0" w:type="auto"/>
            <w:vAlign w:val="center"/>
            <w:hideMark/>
          </w:tcPr>
          <w:p w14:paraId="7C6BBAA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Mersin</w:t>
            </w:r>
          </w:p>
        </w:tc>
        <w:tc>
          <w:tcPr>
            <w:tcW w:w="0" w:type="auto"/>
            <w:vAlign w:val="center"/>
            <w:hideMark/>
          </w:tcPr>
          <w:p w14:paraId="4BE55EC1"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3970FF2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2,042,857</w:t>
            </w:r>
          </w:p>
        </w:tc>
        <w:tc>
          <w:tcPr>
            <w:tcW w:w="0" w:type="auto"/>
            <w:vAlign w:val="center"/>
            <w:hideMark/>
          </w:tcPr>
          <w:p w14:paraId="3EF8A03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2,000,000</w:t>
            </w:r>
          </w:p>
        </w:tc>
        <w:tc>
          <w:tcPr>
            <w:tcW w:w="0" w:type="auto"/>
            <w:vAlign w:val="center"/>
            <w:hideMark/>
          </w:tcPr>
          <w:p w14:paraId="6326D77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373,529</w:t>
            </w:r>
          </w:p>
        </w:tc>
        <w:tc>
          <w:tcPr>
            <w:tcW w:w="0" w:type="auto"/>
            <w:vAlign w:val="center"/>
            <w:hideMark/>
          </w:tcPr>
          <w:p w14:paraId="6424AB4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550,000</w:t>
            </w:r>
          </w:p>
        </w:tc>
      </w:tr>
      <w:tr w:rsidR="00143029" w:rsidRPr="00143029" w14:paraId="5596A0A6" w14:textId="77777777" w:rsidTr="00143029">
        <w:trPr>
          <w:tblCellSpacing w:w="15" w:type="dxa"/>
        </w:trPr>
        <w:tc>
          <w:tcPr>
            <w:tcW w:w="0" w:type="auto"/>
            <w:vAlign w:val="center"/>
            <w:hideMark/>
          </w:tcPr>
          <w:p w14:paraId="32487DF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Gdańsk</w:t>
            </w:r>
          </w:p>
        </w:tc>
        <w:tc>
          <w:tcPr>
            <w:tcW w:w="0" w:type="auto"/>
            <w:vAlign w:val="center"/>
            <w:hideMark/>
          </w:tcPr>
          <w:p w14:paraId="22147AC4"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06B6807B"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2,062,286</w:t>
            </w:r>
          </w:p>
        </w:tc>
        <w:tc>
          <w:tcPr>
            <w:tcW w:w="0" w:type="auto"/>
            <w:vAlign w:val="center"/>
            <w:hideMark/>
          </w:tcPr>
          <w:p w14:paraId="226BA8E8"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2,072,000</w:t>
            </w:r>
          </w:p>
        </w:tc>
        <w:tc>
          <w:tcPr>
            <w:tcW w:w="0" w:type="auto"/>
            <w:vAlign w:val="center"/>
            <w:hideMark/>
          </w:tcPr>
          <w:p w14:paraId="173B84EE"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108,518</w:t>
            </w:r>
          </w:p>
        </w:tc>
        <w:tc>
          <w:tcPr>
            <w:tcW w:w="0" w:type="auto"/>
            <w:vAlign w:val="center"/>
            <w:hideMark/>
          </w:tcPr>
          <w:p w14:paraId="61675E39"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96,000</w:t>
            </w:r>
          </w:p>
        </w:tc>
      </w:tr>
      <w:tr w:rsidR="00143029" w:rsidRPr="00143029" w14:paraId="051DE315" w14:textId="77777777" w:rsidTr="00143029">
        <w:trPr>
          <w:tblCellSpacing w:w="15" w:type="dxa"/>
        </w:trPr>
        <w:tc>
          <w:tcPr>
            <w:tcW w:w="0" w:type="auto"/>
            <w:vAlign w:val="center"/>
            <w:hideMark/>
          </w:tcPr>
          <w:p w14:paraId="0E9DE86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Alexandria</w:t>
            </w:r>
          </w:p>
        </w:tc>
        <w:tc>
          <w:tcPr>
            <w:tcW w:w="0" w:type="auto"/>
            <w:vAlign w:val="center"/>
            <w:hideMark/>
          </w:tcPr>
          <w:p w14:paraId="5AE8B68A"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2CAFBC27"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906,429</w:t>
            </w:r>
          </w:p>
        </w:tc>
        <w:tc>
          <w:tcPr>
            <w:tcW w:w="0" w:type="auto"/>
            <w:vAlign w:val="center"/>
            <w:hideMark/>
          </w:tcPr>
          <w:p w14:paraId="6CD1ECD9"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914,000</w:t>
            </w:r>
          </w:p>
        </w:tc>
        <w:tc>
          <w:tcPr>
            <w:tcW w:w="0" w:type="auto"/>
            <w:vAlign w:val="center"/>
            <w:hideMark/>
          </w:tcPr>
          <w:p w14:paraId="4C782203"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70,325</w:t>
            </w:r>
          </w:p>
        </w:tc>
        <w:tc>
          <w:tcPr>
            <w:tcW w:w="0" w:type="auto"/>
            <w:vAlign w:val="center"/>
            <w:hideMark/>
          </w:tcPr>
          <w:p w14:paraId="37BDBD8F"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121,000</w:t>
            </w:r>
          </w:p>
        </w:tc>
      </w:tr>
      <w:tr w:rsidR="00143029" w:rsidRPr="00143029" w14:paraId="197EA70D" w14:textId="77777777" w:rsidTr="00143029">
        <w:trPr>
          <w:tblCellSpacing w:w="15" w:type="dxa"/>
        </w:trPr>
        <w:tc>
          <w:tcPr>
            <w:tcW w:w="0" w:type="auto"/>
            <w:vAlign w:val="center"/>
            <w:hideMark/>
          </w:tcPr>
          <w:p w14:paraId="669D3EB8"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Beirut</w:t>
            </w:r>
          </w:p>
        </w:tc>
        <w:tc>
          <w:tcPr>
            <w:tcW w:w="0" w:type="auto"/>
            <w:vAlign w:val="center"/>
            <w:hideMark/>
          </w:tcPr>
          <w:p w14:paraId="397C0B7C"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66D16A70"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903,714</w:t>
            </w:r>
          </w:p>
        </w:tc>
        <w:tc>
          <w:tcPr>
            <w:tcW w:w="0" w:type="auto"/>
            <w:vAlign w:val="center"/>
            <w:hideMark/>
          </w:tcPr>
          <w:p w14:paraId="0AED3517"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828,000</w:t>
            </w:r>
          </w:p>
        </w:tc>
        <w:tc>
          <w:tcPr>
            <w:tcW w:w="0" w:type="auto"/>
            <w:vAlign w:val="center"/>
            <w:hideMark/>
          </w:tcPr>
          <w:p w14:paraId="491A642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257,598</w:t>
            </w:r>
          </w:p>
        </w:tc>
        <w:tc>
          <w:tcPr>
            <w:tcW w:w="0" w:type="auto"/>
            <w:vAlign w:val="center"/>
            <w:hideMark/>
          </w:tcPr>
          <w:p w14:paraId="14804FB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288,000</w:t>
            </w:r>
          </w:p>
        </w:tc>
      </w:tr>
      <w:tr w:rsidR="00143029" w:rsidRPr="00143029" w14:paraId="7A0F41A3" w14:textId="77777777" w:rsidTr="00143029">
        <w:trPr>
          <w:tblCellSpacing w:w="15" w:type="dxa"/>
        </w:trPr>
        <w:tc>
          <w:tcPr>
            <w:tcW w:w="0" w:type="auto"/>
            <w:vAlign w:val="center"/>
            <w:hideMark/>
          </w:tcPr>
          <w:p w14:paraId="2ADB5E76"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Odessa</w:t>
            </w:r>
          </w:p>
        </w:tc>
        <w:tc>
          <w:tcPr>
            <w:tcW w:w="0" w:type="auto"/>
            <w:vAlign w:val="center"/>
            <w:hideMark/>
          </w:tcPr>
          <w:p w14:paraId="3CC3AC4F"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39B62B91"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750,000</w:t>
            </w:r>
          </w:p>
        </w:tc>
        <w:tc>
          <w:tcPr>
            <w:tcW w:w="0" w:type="auto"/>
            <w:vAlign w:val="center"/>
            <w:hideMark/>
          </w:tcPr>
          <w:p w14:paraId="1CB21D7D"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750,000</w:t>
            </w:r>
          </w:p>
        </w:tc>
        <w:tc>
          <w:tcPr>
            <w:tcW w:w="0" w:type="auto"/>
            <w:vAlign w:val="center"/>
            <w:hideMark/>
          </w:tcPr>
          <w:p w14:paraId="782206A5"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108,012</w:t>
            </w:r>
          </w:p>
        </w:tc>
        <w:tc>
          <w:tcPr>
            <w:tcW w:w="0" w:type="auto"/>
            <w:vAlign w:val="center"/>
            <w:hideMark/>
          </w:tcPr>
          <w:p w14:paraId="4C65D7A9"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150,000</w:t>
            </w:r>
          </w:p>
        </w:tc>
      </w:tr>
      <w:tr w:rsidR="00143029" w:rsidRPr="00143029" w14:paraId="11E4B2E9" w14:textId="77777777" w:rsidTr="00143029">
        <w:trPr>
          <w:tblCellSpacing w:w="15" w:type="dxa"/>
        </w:trPr>
        <w:tc>
          <w:tcPr>
            <w:tcW w:w="0" w:type="auto"/>
            <w:vAlign w:val="center"/>
            <w:hideMark/>
          </w:tcPr>
          <w:p w14:paraId="365602DA"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Novorossiysk (NUTEP)</w:t>
            </w:r>
          </w:p>
        </w:tc>
        <w:tc>
          <w:tcPr>
            <w:tcW w:w="0" w:type="auto"/>
            <w:vAlign w:val="center"/>
            <w:hideMark/>
          </w:tcPr>
          <w:p w14:paraId="1CB829C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7</w:t>
            </w:r>
          </w:p>
        </w:tc>
        <w:tc>
          <w:tcPr>
            <w:tcW w:w="0" w:type="auto"/>
            <w:vAlign w:val="center"/>
            <w:hideMark/>
          </w:tcPr>
          <w:p w14:paraId="6026B2AB"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619,000</w:t>
            </w:r>
          </w:p>
        </w:tc>
        <w:tc>
          <w:tcPr>
            <w:tcW w:w="0" w:type="auto"/>
            <w:vAlign w:val="center"/>
            <w:hideMark/>
          </w:tcPr>
          <w:p w14:paraId="47A136FE"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600,000</w:t>
            </w:r>
          </w:p>
        </w:tc>
        <w:tc>
          <w:tcPr>
            <w:tcW w:w="0" w:type="auto"/>
            <w:vAlign w:val="center"/>
            <w:hideMark/>
          </w:tcPr>
          <w:p w14:paraId="0EC78532"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86,854</w:t>
            </w:r>
          </w:p>
        </w:tc>
        <w:tc>
          <w:tcPr>
            <w:tcW w:w="0" w:type="auto"/>
            <w:vAlign w:val="center"/>
            <w:hideMark/>
          </w:tcPr>
          <w:p w14:paraId="174D7741" w14:textId="77777777" w:rsidR="00143029" w:rsidRPr="00143029" w:rsidRDefault="00143029" w:rsidP="00143029">
            <w:pPr>
              <w:pBdr>
                <w:top w:val="single" w:sz="4" w:space="1" w:color="auto"/>
                <w:left w:val="single" w:sz="4" w:space="1" w:color="auto"/>
                <w:bottom w:val="single" w:sz="4" w:space="1" w:color="auto"/>
                <w:right w:val="single" w:sz="4" w:space="1" w:color="auto"/>
                <w:between w:val="single" w:sz="4" w:space="1" w:color="auto"/>
                <w:bar w:val="single" w:sz="4" w:color="auto"/>
              </w:pBdr>
              <w:rPr>
                <w:rFonts w:asciiTheme="majorBidi" w:hAnsiTheme="majorBidi" w:cstheme="majorBidi"/>
                <w:sz w:val="24"/>
                <w:szCs w:val="24"/>
              </w:rPr>
            </w:pPr>
            <w:r w:rsidRPr="00143029">
              <w:rPr>
                <w:rFonts w:asciiTheme="majorBidi" w:hAnsiTheme="majorBidi" w:cstheme="majorBidi"/>
                <w:sz w:val="24"/>
                <w:szCs w:val="24"/>
              </w:rPr>
              <w:t>108,500</w:t>
            </w:r>
          </w:p>
        </w:tc>
      </w:tr>
    </w:tbl>
    <w:p w14:paraId="0DB05443" w14:textId="77777777" w:rsidR="00143029" w:rsidRPr="00143029" w:rsidRDefault="00143029" w:rsidP="00143029">
      <w:pPr>
        <w:numPr>
          <w:ilvl w:val="0"/>
          <w:numId w:val="19"/>
        </w:numPr>
        <w:rPr>
          <w:rFonts w:asciiTheme="majorBidi" w:hAnsiTheme="majorBidi" w:cstheme="majorBidi"/>
          <w:sz w:val="24"/>
          <w:szCs w:val="24"/>
        </w:rPr>
      </w:pPr>
      <w:r w:rsidRPr="00143029">
        <w:rPr>
          <w:rFonts w:asciiTheme="majorBidi" w:hAnsiTheme="majorBidi" w:cstheme="majorBidi"/>
          <w:b/>
          <w:bCs/>
          <w:sz w:val="24"/>
          <w:szCs w:val="24"/>
        </w:rPr>
        <w:t>Shanghai</w:t>
      </w:r>
      <w:r w:rsidRPr="00143029">
        <w:rPr>
          <w:rFonts w:asciiTheme="majorBidi" w:hAnsiTheme="majorBidi" w:cstheme="majorBidi"/>
          <w:sz w:val="24"/>
          <w:szCs w:val="24"/>
        </w:rPr>
        <w:t xml:space="preserve"> ve </w:t>
      </w:r>
      <w:r w:rsidRPr="00143029">
        <w:rPr>
          <w:rFonts w:asciiTheme="majorBidi" w:hAnsiTheme="majorBidi" w:cstheme="majorBidi"/>
          <w:b/>
          <w:bCs/>
          <w:sz w:val="24"/>
          <w:szCs w:val="24"/>
        </w:rPr>
        <w:t>Rotterdam</w:t>
      </w:r>
      <w:r w:rsidRPr="00143029">
        <w:rPr>
          <w:rFonts w:asciiTheme="majorBidi" w:hAnsiTheme="majorBidi" w:cstheme="majorBidi"/>
          <w:sz w:val="24"/>
          <w:szCs w:val="24"/>
        </w:rPr>
        <w:t xml:space="preserve"> ortalamaları diğer tüm limanların çok üzerindedir.</w:t>
      </w:r>
    </w:p>
    <w:p w14:paraId="409D49FC" w14:textId="77777777" w:rsidR="00143029" w:rsidRPr="00143029" w:rsidRDefault="00143029" w:rsidP="00143029">
      <w:pPr>
        <w:numPr>
          <w:ilvl w:val="0"/>
          <w:numId w:val="19"/>
        </w:numPr>
        <w:rPr>
          <w:rFonts w:asciiTheme="majorBidi" w:hAnsiTheme="majorBidi" w:cstheme="majorBidi"/>
          <w:sz w:val="24"/>
          <w:szCs w:val="24"/>
        </w:rPr>
      </w:pPr>
      <w:r w:rsidRPr="00143029">
        <w:rPr>
          <w:rFonts w:asciiTheme="majorBidi" w:hAnsiTheme="majorBidi" w:cstheme="majorBidi"/>
          <w:b/>
          <w:bCs/>
          <w:sz w:val="24"/>
          <w:szCs w:val="24"/>
        </w:rPr>
        <w:t>Novorossiysk, Odessa, Alexandria</w:t>
      </w:r>
      <w:r w:rsidRPr="00143029">
        <w:rPr>
          <w:rFonts w:asciiTheme="majorBidi" w:hAnsiTheme="majorBidi" w:cstheme="majorBidi"/>
          <w:sz w:val="24"/>
          <w:szCs w:val="24"/>
        </w:rPr>
        <w:t xml:space="preserve"> gibi limanlar </w:t>
      </w:r>
      <w:r w:rsidRPr="00143029">
        <w:rPr>
          <w:rFonts w:asciiTheme="majorBidi" w:hAnsiTheme="majorBidi" w:cstheme="majorBidi"/>
          <w:b/>
          <w:bCs/>
          <w:sz w:val="24"/>
          <w:szCs w:val="24"/>
        </w:rPr>
        <w:t>görece düşük hacim</w:t>
      </w:r>
      <w:r w:rsidRPr="00143029">
        <w:rPr>
          <w:rFonts w:asciiTheme="majorBidi" w:hAnsiTheme="majorBidi" w:cstheme="majorBidi"/>
          <w:sz w:val="24"/>
          <w:szCs w:val="24"/>
        </w:rPr>
        <w:t xml:space="preserve"> ve </w:t>
      </w:r>
      <w:r w:rsidRPr="00143029">
        <w:rPr>
          <w:rFonts w:asciiTheme="majorBidi" w:hAnsiTheme="majorBidi" w:cstheme="majorBidi"/>
          <w:b/>
          <w:bCs/>
          <w:sz w:val="24"/>
          <w:szCs w:val="24"/>
        </w:rPr>
        <w:t>düşük varyans</w:t>
      </w:r>
      <w:r w:rsidRPr="00143029">
        <w:rPr>
          <w:rFonts w:asciiTheme="majorBidi" w:hAnsiTheme="majorBidi" w:cstheme="majorBidi"/>
          <w:sz w:val="24"/>
          <w:szCs w:val="24"/>
        </w:rPr>
        <w:t xml:space="preserve"> sergilemektedir.</w:t>
      </w:r>
    </w:p>
    <w:p w14:paraId="047DA1C0" w14:textId="77777777" w:rsidR="00143029" w:rsidRPr="00143029" w:rsidRDefault="00143029" w:rsidP="00143029">
      <w:pPr>
        <w:rPr>
          <w:rFonts w:asciiTheme="majorBidi" w:hAnsiTheme="majorBidi" w:cstheme="majorBidi"/>
          <w:sz w:val="24"/>
          <w:szCs w:val="24"/>
        </w:rPr>
      </w:pPr>
    </w:p>
    <w:p w14:paraId="4ECE9D0E" w14:textId="3FC85BFC"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Bootstrap Medyan Güven Aralıkları (95%)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1160"/>
        <w:gridCol w:w="1160"/>
        <w:gridCol w:w="1175"/>
      </w:tblGrid>
      <w:tr w:rsidR="00143029" w:rsidRPr="00143029" w14:paraId="129461E9" w14:textId="77777777" w:rsidTr="00143029">
        <w:trPr>
          <w:tblHeader/>
          <w:tblCellSpacing w:w="15" w:type="dxa"/>
        </w:trPr>
        <w:tc>
          <w:tcPr>
            <w:tcW w:w="0" w:type="auto"/>
            <w:vAlign w:val="center"/>
            <w:hideMark/>
          </w:tcPr>
          <w:p w14:paraId="676BF2EE" w14:textId="77777777"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Liman</w:t>
            </w:r>
          </w:p>
        </w:tc>
        <w:tc>
          <w:tcPr>
            <w:tcW w:w="0" w:type="auto"/>
            <w:vAlign w:val="center"/>
            <w:hideMark/>
          </w:tcPr>
          <w:p w14:paraId="3353944A" w14:textId="77777777"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Medyan</w:t>
            </w:r>
          </w:p>
        </w:tc>
        <w:tc>
          <w:tcPr>
            <w:tcW w:w="0" w:type="auto"/>
            <w:vAlign w:val="center"/>
            <w:hideMark/>
          </w:tcPr>
          <w:p w14:paraId="286CB014" w14:textId="77777777"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Alt Sınır</w:t>
            </w:r>
          </w:p>
        </w:tc>
        <w:tc>
          <w:tcPr>
            <w:tcW w:w="0" w:type="auto"/>
            <w:vAlign w:val="center"/>
            <w:hideMark/>
          </w:tcPr>
          <w:p w14:paraId="6CABB6E5" w14:textId="77777777"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Üst Sınır</w:t>
            </w:r>
          </w:p>
        </w:tc>
      </w:tr>
      <w:tr w:rsidR="00143029" w:rsidRPr="00143029" w14:paraId="0CF50DB9" w14:textId="77777777" w:rsidTr="00143029">
        <w:trPr>
          <w:tblCellSpacing w:w="15" w:type="dxa"/>
        </w:trPr>
        <w:tc>
          <w:tcPr>
            <w:tcW w:w="0" w:type="auto"/>
            <w:vAlign w:val="center"/>
            <w:hideMark/>
          </w:tcPr>
          <w:p w14:paraId="617CDEB7"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Shanghai</w:t>
            </w:r>
          </w:p>
        </w:tc>
        <w:tc>
          <w:tcPr>
            <w:tcW w:w="0" w:type="auto"/>
            <w:vAlign w:val="center"/>
            <w:hideMark/>
          </w:tcPr>
          <w:p w14:paraId="0E78FFBB"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47,030,000</w:t>
            </w:r>
          </w:p>
        </w:tc>
        <w:tc>
          <w:tcPr>
            <w:tcW w:w="0" w:type="auto"/>
            <w:vAlign w:val="center"/>
            <w:hideMark/>
          </w:tcPr>
          <w:p w14:paraId="52F755F7"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43,303,000</w:t>
            </w:r>
          </w:p>
        </w:tc>
        <w:tc>
          <w:tcPr>
            <w:tcW w:w="0" w:type="auto"/>
            <w:vAlign w:val="center"/>
            <w:hideMark/>
          </w:tcPr>
          <w:p w14:paraId="75A9C4EF"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49,160,000</w:t>
            </w:r>
          </w:p>
        </w:tc>
      </w:tr>
      <w:tr w:rsidR="00143029" w:rsidRPr="00143029" w14:paraId="529BE900" w14:textId="77777777" w:rsidTr="00143029">
        <w:trPr>
          <w:tblCellSpacing w:w="15" w:type="dxa"/>
        </w:trPr>
        <w:tc>
          <w:tcPr>
            <w:tcW w:w="0" w:type="auto"/>
            <w:vAlign w:val="center"/>
            <w:hideMark/>
          </w:tcPr>
          <w:p w14:paraId="301C204A"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Rotterdam</w:t>
            </w:r>
          </w:p>
        </w:tc>
        <w:tc>
          <w:tcPr>
            <w:tcW w:w="0" w:type="auto"/>
            <w:vAlign w:val="center"/>
            <w:hideMark/>
          </w:tcPr>
          <w:p w14:paraId="420F858F"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14,455,000</w:t>
            </w:r>
          </w:p>
        </w:tc>
        <w:tc>
          <w:tcPr>
            <w:tcW w:w="0" w:type="auto"/>
            <w:vAlign w:val="center"/>
            <w:hideMark/>
          </w:tcPr>
          <w:p w14:paraId="68838E25"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13,800,000</w:t>
            </w:r>
          </w:p>
        </w:tc>
        <w:tc>
          <w:tcPr>
            <w:tcW w:w="0" w:type="auto"/>
            <w:vAlign w:val="center"/>
            <w:hideMark/>
          </w:tcPr>
          <w:p w14:paraId="19F1216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14,800,000</w:t>
            </w:r>
          </w:p>
        </w:tc>
      </w:tr>
      <w:tr w:rsidR="00143029" w:rsidRPr="00143029" w14:paraId="253020E6" w14:textId="77777777" w:rsidTr="00143029">
        <w:trPr>
          <w:tblCellSpacing w:w="15" w:type="dxa"/>
        </w:trPr>
        <w:tc>
          <w:tcPr>
            <w:tcW w:w="0" w:type="auto"/>
            <w:vAlign w:val="center"/>
            <w:hideMark/>
          </w:tcPr>
          <w:p w14:paraId="42468AC1"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Los Angeles</w:t>
            </w:r>
          </w:p>
        </w:tc>
        <w:tc>
          <w:tcPr>
            <w:tcW w:w="0" w:type="auto"/>
            <w:vAlign w:val="center"/>
            <w:hideMark/>
          </w:tcPr>
          <w:p w14:paraId="2745DB37"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9,900,000</w:t>
            </w:r>
          </w:p>
        </w:tc>
        <w:tc>
          <w:tcPr>
            <w:tcW w:w="0" w:type="auto"/>
            <w:vAlign w:val="center"/>
            <w:hideMark/>
          </w:tcPr>
          <w:p w14:paraId="3DF7A34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9,200,000</w:t>
            </w:r>
          </w:p>
        </w:tc>
        <w:tc>
          <w:tcPr>
            <w:tcW w:w="0" w:type="auto"/>
            <w:vAlign w:val="center"/>
            <w:hideMark/>
          </w:tcPr>
          <w:p w14:paraId="60407E0A"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10,700,000</w:t>
            </w:r>
          </w:p>
        </w:tc>
      </w:tr>
      <w:tr w:rsidR="00143029" w:rsidRPr="00143029" w14:paraId="1EDAEB40" w14:textId="77777777" w:rsidTr="00143029">
        <w:trPr>
          <w:tblCellSpacing w:w="15" w:type="dxa"/>
        </w:trPr>
        <w:tc>
          <w:tcPr>
            <w:tcW w:w="0" w:type="auto"/>
            <w:vAlign w:val="center"/>
            <w:hideMark/>
          </w:tcPr>
          <w:p w14:paraId="426AD42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Hamburg</w:t>
            </w:r>
          </w:p>
        </w:tc>
        <w:tc>
          <w:tcPr>
            <w:tcW w:w="0" w:type="auto"/>
            <w:vAlign w:val="center"/>
            <w:hideMark/>
          </w:tcPr>
          <w:p w14:paraId="175A73C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8,500,000</w:t>
            </w:r>
          </w:p>
        </w:tc>
        <w:tc>
          <w:tcPr>
            <w:tcW w:w="0" w:type="auto"/>
            <w:vAlign w:val="center"/>
            <w:hideMark/>
          </w:tcPr>
          <w:p w14:paraId="041954D2"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7,800,000</w:t>
            </w:r>
          </w:p>
        </w:tc>
        <w:tc>
          <w:tcPr>
            <w:tcW w:w="0" w:type="auto"/>
            <w:vAlign w:val="center"/>
            <w:hideMark/>
          </w:tcPr>
          <w:p w14:paraId="5AD7AB7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8,700,000</w:t>
            </w:r>
          </w:p>
        </w:tc>
      </w:tr>
      <w:tr w:rsidR="00143029" w:rsidRPr="00143029" w14:paraId="62ED6952" w14:textId="77777777" w:rsidTr="00143029">
        <w:trPr>
          <w:tblCellSpacing w:w="15" w:type="dxa"/>
        </w:trPr>
        <w:tc>
          <w:tcPr>
            <w:tcW w:w="0" w:type="auto"/>
            <w:vAlign w:val="center"/>
            <w:hideMark/>
          </w:tcPr>
          <w:p w14:paraId="4F7FADFF"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Mersin</w:t>
            </w:r>
          </w:p>
        </w:tc>
        <w:tc>
          <w:tcPr>
            <w:tcW w:w="0" w:type="auto"/>
            <w:vAlign w:val="center"/>
            <w:hideMark/>
          </w:tcPr>
          <w:p w14:paraId="7042EED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2,000,000</w:t>
            </w:r>
          </w:p>
        </w:tc>
        <w:tc>
          <w:tcPr>
            <w:tcW w:w="0" w:type="auto"/>
            <w:vAlign w:val="center"/>
            <w:hideMark/>
          </w:tcPr>
          <w:p w14:paraId="52D2B5A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1,700,000</w:t>
            </w:r>
          </w:p>
        </w:tc>
        <w:tc>
          <w:tcPr>
            <w:tcW w:w="0" w:type="auto"/>
            <w:vAlign w:val="center"/>
            <w:hideMark/>
          </w:tcPr>
          <w:p w14:paraId="7890B7F0"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2,400,000</w:t>
            </w:r>
          </w:p>
        </w:tc>
      </w:tr>
      <w:tr w:rsidR="00143029" w:rsidRPr="00143029" w14:paraId="4C173A83" w14:textId="77777777" w:rsidTr="00143029">
        <w:trPr>
          <w:tblCellSpacing w:w="15" w:type="dxa"/>
        </w:trPr>
        <w:tc>
          <w:tcPr>
            <w:tcW w:w="0" w:type="auto"/>
            <w:vAlign w:val="center"/>
            <w:hideMark/>
          </w:tcPr>
          <w:p w14:paraId="48EE67C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Gdańsk</w:t>
            </w:r>
          </w:p>
        </w:tc>
        <w:tc>
          <w:tcPr>
            <w:tcW w:w="0" w:type="auto"/>
            <w:vAlign w:val="center"/>
            <w:hideMark/>
          </w:tcPr>
          <w:p w14:paraId="7D10E45B"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2,072,000</w:t>
            </w:r>
          </w:p>
        </w:tc>
        <w:tc>
          <w:tcPr>
            <w:tcW w:w="0" w:type="auto"/>
            <w:vAlign w:val="center"/>
            <w:hideMark/>
          </w:tcPr>
          <w:p w14:paraId="0C1582C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1,949,000</w:t>
            </w:r>
          </w:p>
        </w:tc>
        <w:tc>
          <w:tcPr>
            <w:tcW w:w="0" w:type="auto"/>
            <w:vAlign w:val="center"/>
            <w:hideMark/>
          </w:tcPr>
          <w:p w14:paraId="3047C32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2,118,000</w:t>
            </w:r>
          </w:p>
        </w:tc>
      </w:tr>
      <w:tr w:rsidR="00143029" w:rsidRPr="00143029" w14:paraId="76864928" w14:textId="77777777" w:rsidTr="00143029">
        <w:trPr>
          <w:tblCellSpacing w:w="15" w:type="dxa"/>
        </w:trPr>
        <w:tc>
          <w:tcPr>
            <w:tcW w:w="0" w:type="auto"/>
            <w:vAlign w:val="center"/>
            <w:hideMark/>
          </w:tcPr>
          <w:p w14:paraId="322C9107"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Alexandria</w:t>
            </w:r>
          </w:p>
        </w:tc>
        <w:tc>
          <w:tcPr>
            <w:tcW w:w="0" w:type="auto"/>
            <w:vAlign w:val="center"/>
            <w:hideMark/>
          </w:tcPr>
          <w:p w14:paraId="72C4806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914,000</w:t>
            </w:r>
          </w:p>
        </w:tc>
        <w:tc>
          <w:tcPr>
            <w:tcW w:w="0" w:type="auto"/>
            <w:vAlign w:val="center"/>
            <w:hideMark/>
          </w:tcPr>
          <w:p w14:paraId="777FA8FD"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839,000</w:t>
            </w:r>
          </w:p>
        </w:tc>
        <w:tc>
          <w:tcPr>
            <w:tcW w:w="0" w:type="auto"/>
            <w:vAlign w:val="center"/>
            <w:hideMark/>
          </w:tcPr>
          <w:p w14:paraId="7782F88E"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974,000</w:t>
            </w:r>
          </w:p>
        </w:tc>
      </w:tr>
      <w:tr w:rsidR="00143029" w:rsidRPr="00143029" w14:paraId="4CB134D7" w14:textId="77777777" w:rsidTr="00143029">
        <w:trPr>
          <w:tblCellSpacing w:w="15" w:type="dxa"/>
        </w:trPr>
        <w:tc>
          <w:tcPr>
            <w:tcW w:w="0" w:type="auto"/>
            <w:vAlign w:val="center"/>
            <w:hideMark/>
          </w:tcPr>
          <w:p w14:paraId="18B18130"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Beirut</w:t>
            </w:r>
          </w:p>
        </w:tc>
        <w:tc>
          <w:tcPr>
            <w:tcW w:w="0" w:type="auto"/>
            <w:vAlign w:val="center"/>
            <w:hideMark/>
          </w:tcPr>
          <w:p w14:paraId="6CB5D970"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828,000</w:t>
            </w:r>
          </w:p>
        </w:tc>
        <w:tc>
          <w:tcPr>
            <w:tcW w:w="0" w:type="auto"/>
            <w:vAlign w:val="center"/>
            <w:hideMark/>
          </w:tcPr>
          <w:p w14:paraId="17639713"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700,000</w:t>
            </w:r>
          </w:p>
        </w:tc>
        <w:tc>
          <w:tcPr>
            <w:tcW w:w="0" w:type="auto"/>
            <w:vAlign w:val="center"/>
            <w:hideMark/>
          </w:tcPr>
          <w:p w14:paraId="62A77144"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1,200,000</w:t>
            </w:r>
          </w:p>
        </w:tc>
      </w:tr>
      <w:tr w:rsidR="00143029" w:rsidRPr="00143029" w14:paraId="4A43109C" w14:textId="77777777" w:rsidTr="00143029">
        <w:trPr>
          <w:tblCellSpacing w:w="15" w:type="dxa"/>
        </w:trPr>
        <w:tc>
          <w:tcPr>
            <w:tcW w:w="0" w:type="auto"/>
            <w:vAlign w:val="center"/>
            <w:hideMark/>
          </w:tcPr>
          <w:p w14:paraId="4544EE9A"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Odessa</w:t>
            </w:r>
          </w:p>
        </w:tc>
        <w:tc>
          <w:tcPr>
            <w:tcW w:w="0" w:type="auto"/>
            <w:vAlign w:val="center"/>
            <w:hideMark/>
          </w:tcPr>
          <w:p w14:paraId="00826344"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750,000</w:t>
            </w:r>
          </w:p>
        </w:tc>
        <w:tc>
          <w:tcPr>
            <w:tcW w:w="0" w:type="auto"/>
            <w:vAlign w:val="center"/>
            <w:hideMark/>
          </w:tcPr>
          <w:p w14:paraId="2526C899"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650,000</w:t>
            </w:r>
          </w:p>
        </w:tc>
        <w:tc>
          <w:tcPr>
            <w:tcW w:w="0" w:type="auto"/>
            <w:vAlign w:val="center"/>
            <w:hideMark/>
          </w:tcPr>
          <w:p w14:paraId="5BEA6575"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850,000</w:t>
            </w:r>
          </w:p>
        </w:tc>
      </w:tr>
      <w:tr w:rsidR="00143029" w:rsidRPr="00143029" w14:paraId="0E355F13" w14:textId="77777777" w:rsidTr="00143029">
        <w:trPr>
          <w:tblCellSpacing w:w="15" w:type="dxa"/>
        </w:trPr>
        <w:tc>
          <w:tcPr>
            <w:tcW w:w="0" w:type="auto"/>
            <w:vAlign w:val="center"/>
            <w:hideMark/>
          </w:tcPr>
          <w:p w14:paraId="09E0FD67"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Novorossiysk (NUTEP)</w:t>
            </w:r>
          </w:p>
        </w:tc>
        <w:tc>
          <w:tcPr>
            <w:tcW w:w="0" w:type="auto"/>
            <w:vAlign w:val="center"/>
            <w:hideMark/>
          </w:tcPr>
          <w:p w14:paraId="17660BE6"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600,000</w:t>
            </w:r>
          </w:p>
        </w:tc>
        <w:tc>
          <w:tcPr>
            <w:tcW w:w="0" w:type="auto"/>
            <w:vAlign w:val="center"/>
            <w:hideMark/>
          </w:tcPr>
          <w:p w14:paraId="40E321DD"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550,000</w:t>
            </w:r>
          </w:p>
        </w:tc>
        <w:tc>
          <w:tcPr>
            <w:tcW w:w="0" w:type="auto"/>
            <w:vAlign w:val="center"/>
            <w:hideMark/>
          </w:tcPr>
          <w:p w14:paraId="6496F4AC" w14:textId="77777777" w:rsidR="00143029" w:rsidRPr="00143029" w:rsidRDefault="00143029" w:rsidP="00143029">
            <w:pPr>
              <w:rPr>
                <w:rFonts w:asciiTheme="majorBidi" w:hAnsiTheme="majorBidi" w:cstheme="majorBidi"/>
                <w:sz w:val="24"/>
                <w:szCs w:val="24"/>
              </w:rPr>
            </w:pPr>
            <w:r w:rsidRPr="00143029">
              <w:rPr>
                <w:rFonts w:asciiTheme="majorBidi" w:hAnsiTheme="majorBidi" w:cstheme="majorBidi"/>
                <w:sz w:val="24"/>
                <w:szCs w:val="24"/>
              </w:rPr>
              <w:t>700,000</w:t>
            </w:r>
          </w:p>
        </w:tc>
      </w:tr>
    </w:tbl>
    <w:p w14:paraId="7577B19F" w14:textId="77777777" w:rsidR="00143029" w:rsidRPr="00143029" w:rsidRDefault="00143029" w:rsidP="00143029">
      <w:pPr>
        <w:ind w:left="720"/>
        <w:rPr>
          <w:rFonts w:asciiTheme="majorBidi" w:hAnsiTheme="majorBidi" w:cstheme="majorBidi"/>
          <w:sz w:val="24"/>
          <w:szCs w:val="24"/>
        </w:rPr>
      </w:pPr>
    </w:p>
    <w:p w14:paraId="308D27A8" w14:textId="0BE623AB" w:rsidR="00143029" w:rsidRPr="00143029" w:rsidRDefault="00143029" w:rsidP="00143029">
      <w:pPr>
        <w:numPr>
          <w:ilvl w:val="0"/>
          <w:numId w:val="20"/>
        </w:numPr>
        <w:rPr>
          <w:rFonts w:asciiTheme="majorBidi" w:hAnsiTheme="majorBidi" w:cstheme="majorBidi"/>
          <w:sz w:val="24"/>
          <w:szCs w:val="24"/>
        </w:rPr>
      </w:pPr>
      <w:r w:rsidRPr="00143029">
        <w:rPr>
          <w:rFonts w:asciiTheme="majorBidi" w:hAnsiTheme="majorBidi" w:cstheme="majorBidi"/>
          <w:b/>
          <w:bCs/>
          <w:sz w:val="24"/>
          <w:szCs w:val="24"/>
        </w:rPr>
        <w:t>Shanghai ve Rotterdam</w:t>
      </w:r>
      <w:r w:rsidRPr="00143029">
        <w:rPr>
          <w:rFonts w:asciiTheme="majorBidi" w:hAnsiTheme="majorBidi" w:cstheme="majorBidi"/>
          <w:sz w:val="24"/>
          <w:szCs w:val="24"/>
        </w:rPr>
        <w:t xml:space="preserve">, yalnızca yüksek değerler değil aynı zamanda </w:t>
      </w:r>
      <w:r w:rsidRPr="00143029">
        <w:rPr>
          <w:rFonts w:asciiTheme="majorBidi" w:hAnsiTheme="majorBidi" w:cstheme="majorBidi"/>
          <w:b/>
          <w:bCs/>
          <w:sz w:val="24"/>
          <w:szCs w:val="24"/>
        </w:rPr>
        <w:t>dar güven aralığı</w:t>
      </w:r>
      <w:r w:rsidRPr="00143029">
        <w:rPr>
          <w:rFonts w:asciiTheme="majorBidi" w:hAnsiTheme="majorBidi" w:cstheme="majorBidi"/>
          <w:sz w:val="24"/>
          <w:szCs w:val="24"/>
        </w:rPr>
        <w:t xml:space="preserve"> ile </w:t>
      </w:r>
      <w:r w:rsidRPr="00143029">
        <w:rPr>
          <w:rFonts w:asciiTheme="majorBidi" w:hAnsiTheme="majorBidi" w:cstheme="majorBidi"/>
          <w:b/>
          <w:bCs/>
          <w:sz w:val="24"/>
          <w:szCs w:val="24"/>
        </w:rPr>
        <w:t>istikrarlı</w:t>
      </w:r>
      <w:r w:rsidRPr="00143029">
        <w:rPr>
          <w:rFonts w:asciiTheme="majorBidi" w:hAnsiTheme="majorBidi" w:cstheme="majorBidi"/>
          <w:sz w:val="24"/>
          <w:szCs w:val="24"/>
        </w:rPr>
        <w:t xml:space="preserve"> limanlar olduğunu gösteriyor.</w:t>
      </w:r>
    </w:p>
    <w:p w14:paraId="32372402" w14:textId="77777777" w:rsidR="00143029" w:rsidRPr="00143029" w:rsidRDefault="00143029" w:rsidP="00143029">
      <w:pPr>
        <w:numPr>
          <w:ilvl w:val="0"/>
          <w:numId w:val="20"/>
        </w:numPr>
        <w:rPr>
          <w:rFonts w:asciiTheme="majorBidi" w:hAnsiTheme="majorBidi" w:cstheme="majorBidi"/>
          <w:sz w:val="24"/>
          <w:szCs w:val="24"/>
        </w:rPr>
      </w:pPr>
      <w:r w:rsidRPr="00143029">
        <w:rPr>
          <w:rFonts w:asciiTheme="majorBidi" w:hAnsiTheme="majorBidi" w:cstheme="majorBidi"/>
          <w:b/>
          <w:bCs/>
          <w:sz w:val="24"/>
          <w:szCs w:val="24"/>
        </w:rPr>
        <w:t>Beirut</w:t>
      </w:r>
      <w:r w:rsidRPr="00143029">
        <w:rPr>
          <w:rFonts w:asciiTheme="majorBidi" w:hAnsiTheme="majorBidi" w:cstheme="majorBidi"/>
          <w:sz w:val="24"/>
          <w:szCs w:val="24"/>
        </w:rPr>
        <w:t xml:space="preserve">, geniş güven aralığı ile </w:t>
      </w:r>
      <w:r w:rsidRPr="00143029">
        <w:rPr>
          <w:rFonts w:asciiTheme="majorBidi" w:hAnsiTheme="majorBidi" w:cstheme="majorBidi"/>
          <w:b/>
          <w:bCs/>
          <w:sz w:val="24"/>
          <w:szCs w:val="24"/>
        </w:rPr>
        <w:t>yüksek dalgalanma ve belirsizlik</w:t>
      </w:r>
      <w:r w:rsidRPr="00143029">
        <w:rPr>
          <w:rFonts w:asciiTheme="majorBidi" w:hAnsiTheme="majorBidi" w:cstheme="majorBidi"/>
          <w:sz w:val="24"/>
          <w:szCs w:val="24"/>
        </w:rPr>
        <w:t xml:space="preserve"> içeriyor.</w:t>
      </w:r>
    </w:p>
    <w:p w14:paraId="627AD230" w14:textId="38EFF01D" w:rsidR="00143029" w:rsidRPr="00143029" w:rsidRDefault="00143029" w:rsidP="00143029">
      <w:pPr>
        <w:rPr>
          <w:rFonts w:asciiTheme="majorBidi" w:hAnsiTheme="majorBidi" w:cstheme="majorBidi"/>
          <w:b/>
          <w:bCs/>
          <w:sz w:val="24"/>
          <w:szCs w:val="24"/>
        </w:rPr>
      </w:pPr>
      <w:r w:rsidRPr="00143029">
        <w:rPr>
          <w:rFonts w:asciiTheme="majorBidi" w:hAnsiTheme="majorBidi" w:cstheme="majorBidi"/>
          <w:b/>
          <w:bCs/>
          <w:sz w:val="24"/>
          <w:szCs w:val="24"/>
        </w:rPr>
        <w:t>Genel Sonuç ve Yorum</w:t>
      </w:r>
    </w:p>
    <w:p w14:paraId="1CDE7772" w14:textId="77777777" w:rsidR="00143029" w:rsidRPr="00143029" w:rsidRDefault="00143029" w:rsidP="00143029">
      <w:pPr>
        <w:numPr>
          <w:ilvl w:val="0"/>
          <w:numId w:val="21"/>
        </w:numPr>
        <w:rPr>
          <w:rFonts w:asciiTheme="majorBidi" w:hAnsiTheme="majorBidi" w:cstheme="majorBidi"/>
          <w:sz w:val="24"/>
          <w:szCs w:val="24"/>
        </w:rPr>
      </w:pPr>
      <w:r w:rsidRPr="00143029">
        <w:rPr>
          <w:rFonts w:asciiTheme="majorBidi" w:hAnsiTheme="majorBidi" w:cstheme="majorBidi"/>
          <w:sz w:val="24"/>
          <w:szCs w:val="24"/>
        </w:rPr>
        <w:t xml:space="preserve">Normallik ve varyans homojenliği varsayımları sağlanmadığı için </w:t>
      </w:r>
      <w:r w:rsidRPr="00143029">
        <w:rPr>
          <w:rFonts w:asciiTheme="majorBidi" w:hAnsiTheme="majorBidi" w:cstheme="majorBidi"/>
          <w:b/>
          <w:bCs/>
          <w:sz w:val="24"/>
          <w:szCs w:val="24"/>
        </w:rPr>
        <w:t>non-parametrik yöntemler</w:t>
      </w:r>
      <w:r w:rsidRPr="00143029">
        <w:rPr>
          <w:rFonts w:asciiTheme="majorBidi" w:hAnsiTheme="majorBidi" w:cstheme="majorBidi"/>
          <w:sz w:val="24"/>
          <w:szCs w:val="24"/>
        </w:rPr>
        <w:t xml:space="preserve"> uygun şekilde kullanılmıştır.</w:t>
      </w:r>
    </w:p>
    <w:p w14:paraId="1D991B7F" w14:textId="77777777" w:rsidR="00143029" w:rsidRPr="00143029" w:rsidRDefault="00143029" w:rsidP="00143029">
      <w:pPr>
        <w:numPr>
          <w:ilvl w:val="0"/>
          <w:numId w:val="21"/>
        </w:numPr>
        <w:rPr>
          <w:rFonts w:asciiTheme="majorBidi" w:hAnsiTheme="majorBidi" w:cstheme="majorBidi"/>
          <w:sz w:val="24"/>
          <w:szCs w:val="24"/>
        </w:rPr>
      </w:pPr>
      <w:r w:rsidRPr="00143029">
        <w:rPr>
          <w:rFonts w:asciiTheme="majorBidi" w:hAnsiTheme="majorBidi" w:cstheme="majorBidi"/>
          <w:sz w:val="24"/>
          <w:szCs w:val="24"/>
        </w:rPr>
        <w:t xml:space="preserve">Kruskal-Wallis ve sonrasında yapılan Wilcoxon testleri, </w:t>
      </w:r>
      <w:r w:rsidRPr="00143029">
        <w:rPr>
          <w:rFonts w:asciiTheme="majorBidi" w:hAnsiTheme="majorBidi" w:cstheme="majorBidi"/>
          <w:b/>
          <w:bCs/>
          <w:sz w:val="24"/>
          <w:szCs w:val="24"/>
        </w:rPr>
        <w:t>limanlar arası anlamlı farklar olduğunu açıkça ortaya koymuştur.</w:t>
      </w:r>
    </w:p>
    <w:p w14:paraId="15C08AC4" w14:textId="77777777" w:rsidR="00143029" w:rsidRPr="00143029" w:rsidRDefault="00143029" w:rsidP="00143029">
      <w:pPr>
        <w:numPr>
          <w:ilvl w:val="0"/>
          <w:numId w:val="21"/>
        </w:numPr>
        <w:rPr>
          <w:rFonts w:asciiTheme="majorBidi" w:hAnsiTheme="majorBidi" w:cstheme="majorBidi"/>
          <w:sz w:val="24"/>
          <w:szCs w:val="24"/>
        </w:rPr>
      </w:pPr>
      <w:r w:rsidRPr="00143029">
        <w:rPr>
          <w:rFonts w:asciiTheme="majorBidi" w:hAnsiTheme="majorBidi" w:cstheme="majorBidi"/>
          <w:sz w:val="24"/>
          <w:szCs w:val="24"/>
        </w:rPr>
        <w:t xml:space="preserve">Özellikle </w:t>
      </w:r>
      <w:r w:rsidRPr="00143029">
        <w:rPr>
          <w:rFonts w:asciiTheme="majorBidi" w:hAnsiTheme="majorBidi" w:cstheme="majorBidi"/>
          <w:b/>
          <w:bCs/>
          <w:sz w:val="24"/>
          <w:szCs w:val="24"/>
        </w:rPr>
        <w:t>Shanghai</w:t>
      </w:r>
      <w:r w:rsidRPr="00143029">
        <w:rPr>
          <w:rFonts w:asciiTheme="majorBidi" w:hAnsiTheme="majorBidi" w:cstheme="majorBidi"/>
          <w:sz w:val="24"/>
          <w:szCs w:val="24"/>
        </w:rPr>
        <w:t xml:space="preserve">, küresel ticaretin %50'den fazlasını temsil eden liman olarak </w:t>
      </w:r>
      <w:r w:rsidRPr="00143029">
        <w:rPr>
          <w:rFonts w:asciiTheme="majorBidi" w:hAnsiTheme="majorBidi" w:cstheme="majorBidi"/>
          <w:b/>
          <w:bCs/>
          <w:sz w:val="24"/>
          <w:szCs w:val="24"/>
        </w:rPr>
        <w:t>istatistiksel ve ekonomik açıdan açıkça ayrışmaktadır.</w:t>
      </w:r>
    </w:p>
    <w:p w14:paraId="16983A74" w14:textId="77777777" w:rsidR="00143029" w:rsidRPr="00143029" w:rsidRDefault="00143029" w:rsidP="00143029">
      <w:pPr>
        <w:numPr>
          <w:ilvl w:val="0"/>
          <w:numId w:val="21"/>
        </w:numPr>
        <w:rPr>
          <w:rFonts w:asciiTheme="majorBidi" w:hAnsiTheme="majorBidi" w:cstheme="majorBidi"/>
          <w:sz w:val="24"/>
          <w:szCs w:val="24"/>
        </w:rPr>
      </w:pPr>
      <w:r w:rsidRPr="00143029">
        <w:rPr>
          <w:rFonts w:asciiTheme="majorBidi" w:hAnsiTheme="majorBidi" w:cstheme="majorBidi"/>
          <w:b/>
          <w:bCs/>
          <w:sz w:val="24"/>
          <w:szCs w:val="24"/>
        </w:rPr>
        <w:t>Bootstrap güven aralıkları</w:t>
      </w:r>
      <w:r w:rsidRPr="00143029">
        <w:rPr>
          <w:rFonts w:asciiTheme="majorBidi" w:hAnsiTheme="majorBidi" w:cstheme="majorBidi"/>
          <w:sz w:val="24"/>
          <w:szCs w:val="24"/>
        </w:rPr>
        <w:t xml:space="preserve">, medyan değerlerin güvenilirliğini pekiştirirken, hangi limanların daha </w:t>
      </w:r>
      <w:r w:rsidRPr="00143029">
        <w:rPr>
          <w:rFonts w:asciiTheme="majorBidi" w:hAnsiTheme="majorBidi" w:cstheme="majorBidi"/>
          <w:b/>
          <w:bCs/>
          <w:sz w:val="24"/>
          <w:szCs w:val="24"/>
        </w:rPr>
        <w:t>dalgalı</w:t>
      </w:r>
      <w:r w:rsidRPr="00143029">
        <w:rPr>
          <w:rFonts w:asciiTheme="majorBidi" w:hAnsiTheme="majorBidi" w:cstheme="majorBidi"/>
          <w:sz w:val="24"/>
          <w:szCs w:val="24"/>
        </w:rPr>
        <w:t xml:space="preserve">, hangilerinin </w:t>
      </w:r>
      <w:r w:rsidRPr="00143029">
        <w:rPr>
          <w:rFonts w:asciiTheme="majorBidi" w:hAnsiTheme="majorBidi" w:cstheme="majorBidi"/>
          <w:b/>
          <w:bCs/>
          <w:sz w:val="24"/>
          <w:szCs w:val="24"/>
        </w:rPr>
        <w:t>istikrarlı</w:t>
      </w:r>
      <w:r w:rsidRPr="00143029">
        <w:rPr>
          <w:rFonts w:asciiTheme="majorBidi" w:hAnsiTheme="majorBidi" w:cstheme="majorBidi"/>
          <w:sz w:val="24"/>
          <w:szCs w:val="24"/>
        </w:rPr>
        <w:t xml:space="preserve"> olduğunu göstermektedir.</w:t>
      </w:r>
    </w:p>
    <w:p w14:paraId="69071EEC" w14:textId="77777777" w:rsidR="00143029" w:rsidRPr="00143029" w:rsidRDefault="00143029" w:rsidP="00143029">
      <w:pPr>
        <w:numPr>
          <w:ilvl w:val="0"/>
          <w:numId w:val="21"/>
        </w:numPr>
        <w:rPr>
          <w:rFonts w:asciiTheme="majorBidi" w:hAnsiTheme="majorBidi" w:cstheme="majorBidi"/>
          <w:sz w:val="24"/>
          <w:szCs w:val="24"/>
        </w:rPr>
      </w:pPr>
      <w:r w:rsidRPr="00143029">
        <w:rPr>
          <w:rFonts w:asciiTheme="majorBidi" w:hAnsiTheme="majorBidi" w:cstheme="majorBidi"/>
          <w:b/>
          <w:bCs/>
          <w:sz w:val="24"/>
          <w:szCs w:val="24"/>
        </w:rPr>
        <w:t>Eta-kare</w:t>
      </w:r>
      <w:r w:rsidRPr="00143029">
        <w:rPr>
          <w:rFonts w:asciiTheme="majorBidi" w:hAnsiTheme="majorBidi" w:cstheme="majorBidi"/>
          <w:sz w:val="24"/>
          <w:szCs w:val="24"/>
        </w:rPr>
        <w:t xml:space="preserve"> değerinin çok yüksek çıkması, analiz edilen limanların ticaret hacimlerinin büyük oranda </w:t>
      </w:r>
      <w:r w:rsidRPr="00143029">
        <w:rPr>
          <w:rFonts w:asciiTheme="majorBidi" w:hAnsiTheme="majorBidi" w:cstheme="majorBidi"/>
          <w:b/>
          <w:bCs/>
          <w:sz w:val="24"/>
          <w:szCs w:val="24"/>
        </w:rPr>
        <w:t>liman etkisine</w:t>
      </w:r>
      <w:r w:rsidRPr="00143029">
        <w:rPr>
          <w:rFonts w:asciiTheme="majorBidi" w:hAnsiTheme="majorBidi" w:cstheme="majorBidi"/>
          <w:sz w:val="24"/>
          <w:szCs w:val="24"/>
        </w:rPr>
        <w:t xml:space="preserve"> bağlı olduğunu gösterir.</w:t>
      </w:r>
    </w:p>
    <w:p w14:paraId="1E52C9EA" w14:textId="58BEB225" w:rsidR="0055115E" w:rsidRDefault="0055115E" w:rsidP="0055115E">
      <w:pPr>
        <w:pStyle w:val="Heading2"/>
      </w:pPr>
    </w:p>
    <w:p w14:paraId="7B09DCC5" w14:textId="77777777" w:rsidR="0055115E" w:rsidRDefault="0055115E" w:rsidP="0055115E"/>
    <w:p w14:paraId="4F7BC4A0" w14:textId="77777777" w:rsidR="0055115E" w:rsidRDefault="0055115E" w:rsidP="0055115E"/>
    <w:p w14:paraId="748E6BD6" w14:textId="77777777" w:rsidR="0055115E" w:rsidRDefault="0055115E" w:rsidP="0055115E"/>
    <w:p w14:paraId="28602BAA" w14:textId="77777777" w:rsidR="0055115E" w:rsidRPr="0055115E" w:rsidRDefault="0055115E" w:rsidP="0055115E"/>
    <w:sectPr w:rsidR="0055115E" w:rsidRPr="005511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9247A" w14:textId="77777777" w:rsidR="00DE7EC3" w:rsidRDefault="00DE7EC3" w:rsidP="00143029">
      <w:pPr>
        <w:spacing w:after="0" w:line="240" w:lineRule="auto"/>
      </w:pPr>
      <w:r>
        <w:separator/>
      </w:r>
    </w:p>
  </w:endnote>
  <w:endnote w:type="continuationSeparator" w:id="0">
    <w:p w14:paraId="4787269E" w14:textId="77777777" w:rsidR="00DE7EC3" w:rsidRDefault="00DE7EC3" w:rsidP="001430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1722C" w14:textId="77777777" w:rsidR="00DE7EC3" w:rsidRDefault="00DE7EC3" w:rsidP="00143029">
      <w:pPr>
        <w:spacing w:after="0" w:line="240" w:lineRule="auto"/>
      </w:pPr>
      <w:r>
        <w:separator/>
      </w:r>
    </w:p>
  </w:footnote>
  <w:footnote w:type="continuationSeparator" w:id="0">
    <w:p w14:paraId="728F7BB3" w14:textId="77777777" w:rsidR="00DE7EC3" w:rsidRDefault="00DE7EC3" w:rsidP="001430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0E5"/>
    <w:multiLevelType w:val="multilevel"/>
    <w:tmpl w:val="6F8A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E8F"/>
    <w:multiLevelType w:val="multilevel"/>
    <w:tmpl w:val="ECD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92569"/>
    <w:multiLevelType w:val="multilevel"/>
    <w:tmpl w:val="B974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2B83"/>
    <w:multiLevelType w:val="multilevel"/>
    <w:tmpl w:val="E3DA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B69DE"/>
    <w:multiLevelType w:val="multilevel"/>
    <w:tmpl w:val="822A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36E7A"/>
    <w:multiLevelType w:val="multilevel"/>
    <w:tmpl w:val="F83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328AD"/>
    <w:multiLevelType w:val="multilevel"/>
    <w:tmpl w:val="76E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712EE"/>
    <w:multiLevelType w:val="multilevel"/>
    <w:tmpl w:val="EB6C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55B9E"/>
    <w:multiLevelType w:val="multilevel"/>
    <w:tmpl w:val="28FE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C45094"/>
    <w:multiLevelType w:val="multilevel"/>
    <w:tmpl w:val="EAE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351B3"/>
    <w:multiLevelType w:val="multilevel"/>
    <w:tmpl w:val="3072E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66710"/>
    <w:multiLevelType w:val="multilevel"/>
    <w:tmpl w:val="205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F31F1"/>
    <w:multiLevelType w:val="multilevel"/>
    <w:tmpl w:val="5410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44A14"/>
    <w:multiLevelType w:val="multilevel"/>
    <w:tmpl w:val="2EA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078B6"/>
    <w:multiLevelType w:val="multilevel"/>
    <w:tmpl w:val="4FB8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B266D"/>
    <w:multiLevelType w:val="multilevel"/>
    <w:tmpl w:val="BC0E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D3942"/>
    <w:multiLevelType w:val="multilevel"/>
    <w:tmpl w:val="BFF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01BAA"/>
    <w:multiLevelType w:val="multilevel"/>
    <w:tmpl w:val="E30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08061F"/>
    <w:multiLevelType w:val="multilevel"/>
    <w:tmpl w:val="EC78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87665"/>
    <w:multiLevelType w:val="multilevel"/>
    <w:tmpl w:val="C81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10355"/>
    <w:multiLevelType w:val="multilevel"/>
    <w:tmpl w:val="18C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22472"/>
    <w:multiLevelType w:val="multilevel"/>
    <w:tmpl w:val="D18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203B3"/>
    <w:multiLevelType w:val="multilevel"/>
    <w:tmpl w:val="5842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1055D"/>
    <w:multiLevelType w:val="multilevel"/>
    <w:tmpl w:val="D724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E5CF7"/>
    <w:multiLevelType w:val="multilevel"/>
    <w:tmpl w:val="9732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F16E4"/>
    <w:multiLevelType w:val="multilevel"/>
    <w:tmpl w:val="B67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815941"/>
    <w:multiLevelType w:val="multilevel"/>
    <w:tmpl w:val="CEC2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715572">
    <w:abstractNumId w:val="23"/>
  </w:num>
  <w:num w:numId="2" w16cid:durableId="621885085">
    <w:abstractNumId w:val="12"/>
  </w:num>
  <w:num w:numId="3" w16cid:durableId="1002513469">
    <w:abstractNumId w:val="10"/>
  </w:num>
  <w:num w:numId="4" w16cid:durableId="919557886">
    <w:abstractNumId w:val="20"/>
  </w:num>
  <w:num w:numId="5" w16cid:durableId="522593698">
    <w:abstractNumId w:val="4"/>
  </w:num>
  <w:num w:numId="6" w16cid:durableId="1268000548">
    <w:abstractNumId w:val="15"/>
  </w:num>
  <w:num w:numId="7" w16cid:durableId="1905484842">
    <w:abstractNumId w:val="7"/>
  </w:num>
  <w:num w:numId="8" w16cid:durableId="474682694">
    <w:abstractNumId w:val="17"/>
  </w:num>
  <w:num w:numId="9" w16cid:durableId="2051757250">
    <w:abstractNumId w:val="11"/>
  </w:num>
  <w:num w:numId="10" w16cid:durableId="385224983">
    <w:abstractNumId w:val="24"/>
  </w:num>
  <w:num w:numId="11" w16cid:durableId="1738892744">
    <w:abstractNumId w:val="13"/>
  </w:num>
  <w:num w:numId="12" w16cid:durableId="915822399">
    <w:abstractNumId w:val="18"/>
  </w:num>
  <w:num w:numId="13" w16cid:durableId="2107070619">
    <w:abstractNumId w:val="8"/>
  </w:num>
  <w:num w:numId="14" w16cid:durableId="2129469540">
    <w:abstractNumId w:val="26"/>
  </w:num>
  <w:num w:numId="15" w16cid:durableId="1536187997">
    <w:abstractNumId w:val="5"/>
  </w:num>
  <w:num w:numId="16" w16cid:durableId="490215244">
    <w:abstractNumId w:val="21"/>
  </w:num>
  <w:num w:numId="17" w16cid:durableId="1586496629">
    <w:abstractNumId w:val="0"/>
  </w:num>
  <w:num w:numId="18" w16cid:durableId="1749964339">
    <w:abstractNumId w:val="6"/>
  </w:num>
  <w:num w:numId="19" w16cid:durableId="1035539582">
    <w:abstractNumId w:val="16"/>
  </w:num>
  <w:num w:numId="20" w16cid:durableId="349336809">
    <w:abstractNumId w:val="1"/>
  </w:num>
  <w:num w:numId="21" w16cid:durableId="1194225095">
    <w:abstractNumId w:val="14"/>
  </w:num>
  <w:num w:numId="22" w16cid:durableId="522671072">
    <w:abstractNumId w:val="22"/>
  </w:num>
  <w:num w:numId="23" w16cid:durableId="2066832643">
    <w:abstractNumId w:val="25"/>
  </w:num>
  <w:num w:numId="24" w16cid:durableId="352850591">
    <w:abstractNumId w:val="3"/>
  </w:num>
  <w:num w:numId="25" w16cid:durableId="846023962">
    <w:abstractNumId w:val="2"/>
  </w:num>
  <w:num w:numId="26" w16cid:durableId="1413430081">
    <w:abstractNumId w:val="9"/>
  </w:num>
  <w:num w:numId="27" w16cid:durableId="20383087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4E6"/>
    <w:rsid w:val="00143029"/>
    <w:rsid w:val="001B2127"/>
    <w:rsid w:val="00222CF1"/>
    <w:rsid w:val="003024BD"/>
    <w:rsid w:val="004570FE"/>
    <w:rsid w:val="0055115E"/>
    <w:rsid w:val="005A79E2"/>
    <w:rsid w:val="007170B9"/>
    <w:rsid w:val="0081208D"/>
    <w:rsid w:val="009378CB"/>
    <w:rsid w:val="00A02989"/>
    <w:rsid w:val="00BC7FDF"/>
    <w:rsid w:val="00C0020B"/>
    <w:rsid w:val="00C3194E"/>
    <w:rsid w:val="00C704E6"/>
    <w:rsid w:val="00CF1A7D"/>
    <w:rsid w:val="00DE7EC3"/>
    <w:rsid w:val="00DF1633"/>
    <w:rsid w:val="00E17CCF"/>
    <w:rsid w:val="00F95AF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51BF"/>
  <w15:chartTrackingRefBased/>
  <w15:docId w15:val="{CFFDE9B3-C6AB-4F30-B885-04BBF4F01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E2"/>
  </w:style>
  <w:style w:type="paragraph" w:styleId="Heading1">
    <w:name w:val="heading 1"/>
    <w:basedOn w:val="Normal"/>
    <w:next w:val="Normal"/>
    <w:link w:val="Heading1Char"/>
    <w:uiPriority w:val="9"/>
    <w:qFormat/>
    <w:rsid w:val="00C704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04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04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704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4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04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04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704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4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4E6"/>
    <w:rPr>
      <w:rFonts w:eastAsiaTheme="majorEastAsia" w:cstheme="majorBidi"/>
      <w:color w:val="272727" w:themeColor="text1" w:themeTint="D8"/>
    </w:rPr>
  </w:style>
  <w:style w:type="paragraph" w:styleId="Title">
    <w:name w:val="Title"/>
    <w:basedOn w:val="Normal"/>
    <w:next w:val="Normal"/>
    <w:link w:val="TitleChar"/>
    <w:uiPriority w:val="10"/>
    <w:qFormat/>
    <w:rsid w:val="00C70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4E6"/>
    <w:pPr>
      <w:spacing w:before="160"/>
      <w:jc w:val="center"/>
    </w:pPr>
    <w:rPr>
      <w:i/>
      <w:iCs/>
      <w:color w:val="404040" w:themeColor="text1" w:themeTint="BF"/>
    </w:rPr>
  </w:style>
  <w:style w:type="character" w:customStyle="1" w:styleId="QuoteChar">
    <w:name w:val="Quote Char"/>
    <w:basedOn w:val="DefaultParagraphFont"/>
    <w:link w:val="Quote"/>
    <w:uiPriority w:val="29"/>
    <w:rsid w:val="00C704E6"/>
    <w:rPr>
      <w:i/>
      <w:iCs/>
      <w:color w:val="404040" w:themeColor="text1" w:themeTint="BF"/>
    </w:rPr>
  </w:style>
  <w:style w:type="paragraph" w:styleId="ListParagraph">
    <w:name w:val="List Paragraph"/>
    <w:basedOn w:val="Normal"/>
    <w:uiPriority w:val="34"/>
    <w:qFormat/>
    <w:rsid w:val="00C704E6"/>
    <w:pPr>
      <w:ind w:left="720"/>
      <w:contextualSpacing/>
    </w:pPr>
  </w:style>
  <w:style w:type="character" w:styleId="IntenseEmphasis">
    <w:name w:val="Intense Emphasis"/>
    <w:basedOn w:val="DefaultParagraphFont"/>
    <w:uiPriority w:val="21"/>
    <w:qFormat/>
    <w:rsid w:val="00C704E6"/>
    <w:rPr>
      <w:i/>
      <w:iCs/>
      <w:color w:val="2F5496" w:themeColor="accent1" w:themeShade="BF"/>
    </w:rPr>
  </w:style>
  <w:style w:type="paragraph" w:styleId="IntenseQuote">
    <w:name w:val="Intense Quote"/>
    <w:basedOn w:val="Normal"/>
    <w:next w:val="Normal"/>
    <w:link w:val="IntenseQuoteChar"/>
    <w:uiPriority w:val="30"/>
    <w:qFormat/>
    <w:rsid w:val="00C704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4E6"/>
    <w:rPr>
      <w:i/>
      <w:iCs/>
      <w:color w:val="2F5496" w:themeColor="accent1" w:themeShade="BF"/>
    </w:rPr>
  </w:style>
  <w:style w:type="character" w:styleId="IntenseReference">
    <w:name w:val="Intense Reference"/>
    <w:basedOn w:val="DefaultParagraphFont"/>
    <w:uiPriority w:val="32"/>
    <w:qFormat/>
    <w:rsid w:val="00C704E6"/>
    <w:rPr>
      <w:b/>
      <w:bCs/>
      <w:smallCaps/>
      <w:color w:val="2F5496" w:themeColor="accent1" w:themeShade="BF"/>
      <w:spacing w:val="5"/>
    </w:rPr>
  </w:style>
  <w:style w:type="table" w:styleId="TableGrid">
    <w:name w:val="Table Grid"/>
    <w:basedOn w:val="TableNormal"/>
    <w:uiPriority w:val="39"/>
    <w:rsid w:val="00E17C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17CCF"/>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Strong">
    <w:name w:val="Strong"/>
    <w:basedOn w:val="DefaultParagraphFont"/>
    <w:uiPriority w:val="22"/>
    <w:qFormat/>
    <w:rsid w:val="00DF1633"/>
    <w:rPr>
      <w:b/>
      <w:bCs/>
    </w:rPr>
  </w:style>
  <w:style w:type="paragraph" w:styleId="Header">
    <w:name w:val="header"/>
    <w:basedOn w:val="Normal"/>
    <w:link w:val="HeaderChar"/>
    <w:uiPriority w:val="99"/>
    <w:unhideWhenUsed/>
    <w:rsid w:val="00143029"/>
    <w:pPr>
      <w:tabs>
        <w:tab w:val="center" w:pos="4536"/>
        <w:tab w:val="right" w:pos="9072"/>
      </w:tabs>
      <w:spacing w:after="0" w:line="240" w:lineRule="auto"/>
    </w:pPr>
  </w:style>
  <w:style w:type="character" w:customStyle="1" w:styleId="HeaderChar">
    <w:name w:val="Header Char"/>
    <w:basedOn w:val="DefaultParagraphFont"/>
    <w:link w:val="Header"/>
    <w:uiPriority w:val="99"/>
    <w:rsid w:val="00143029"/>
  </w:style>
  <w:style w:type="paragraph" w:styleId="Footer">
    <w:name w:val="footer"/>
    <w:basedOn w:val="Normal"/>
    <w:link w:val="FooterChar"/>
    <w:uiPriority w:val="99"/>
    <w:unhideWhenUsed/>
    <w:rsid w:val="00143029"/>
    <w:pPr>
      <w:tabs>
        <w:tab w:val="center" w:pos="4536"/>
        <w:tab w:val="right" w:pos="9072"/>
      </w:tabs>
      <w:spacing w:after="0" w:line="240" w:lineRule="auto"/>
    </w:pPr>
  </w:style>
  <w:style w:type="character" w:customStyle="1" w:styleId="FooterChar">
    <w:name w:val="Footer Char"/>
    <w:basedOn w:val="DefaultParagraphFont"/>
    <w:link w:val="Footer"/>
    <w:uiPriority w:val="99"/>
    <w:rsid w:val="00143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9219">
      <w:bodyDiv w:val="1"/>
      <w:marLeft w:val="0"/>
      <w:marRight w:val="0"/>
      <w:marTop w:val="0"/>
      <w:marBottom w:val="0"/>
      <w:divBdr>
        <w:top w:val="none" w:sz="0" w:space="0" w:color="auto"/>
        <w:left w:val="none" w:sz="0" w:space="0" w:color="auto"/>
        <w:bottom w:val="none" w:sz="0" w:space="0" w:color="auto"/>
        <w:right w:val="none" w:sz="0" w:space="0" w:color="auto"/>
      </w:divBdr>
    </w:div>
    <w:div w:id="139228396">
      <w:bodyDiv w:val="1"/>
      <w:marLeft w:val="0"/>
      <w:marRight w:val="0"/>
      <w:marTop w:val="0"/>
      <w:marBottom w:val="0"/>
      <w:divBdr>
        <w:top w:val="none" w:sz="0" w:space="0" w:color="auto"/>
        <w:left w:val="none" w:sz="0" w:space="0" w:color="auto"/>
        <w:bottom w:val="none" w:sz="0" w:space="0" w:color="auto"/>
        <w:right w:val="none" w:sz="0" w:space="0" w:color="auto"/>
      </w:divBdr>
    </w:div>
    <w:div w:id="151218728">
      <w:bodyDiv w:val="1"/>
      <w:marLeft w:val="0"/>
      <w:marRight w:val="0"/>
      <w:marTop w:val="0"/>
      <w:marBottom w:val="0"/>
      <w:divBdr>
        <w:top w:val="none" w:sz="0" w:space="0" w:color="auto"/>
        <w:left w:val="none" w:sz="0" w:space="0" w:color="auto"/>
        <w:bottom w:val="none" w:sz="0" w:space="0" w:color="auto"/>
        <w:right w:val="none" w:sz="0" w:space="0" w:color="auto"/>
      </w:divBdr>
    </w:div>
    <w:div w:id="160438095">
      <w:bodyDiv w:val="1"/>
      <w:marLeft w:val="0"/>
      <w:marRight w:val="0"/>
      <w:marTop w:val="0"/>
      <w:marBottom w:val="0"/>
      <w:divBdr>
        <w:top w:val="none" w:sz="0" w:space="0" w:color="auto"/>
        <w:left w:val="none" w:sz="0" w:space="0" w:color="auto"/>
        <w:bottom w:val="none" w:sz="0" w:space="0" w:color="auto"/>
        <w:right w:val="none" w:sz="0" w:space="0" w:color="auto"/>
      </w:divBdr>
    </w:div>
    <w:div w:id="163932814">
      <w:bodyDiv w:val="1"/>
      <w:marLeft w:val="0"/>
      <w:marRight w:val="0"/>
      <w:marTop w:val="0"/>
      <w:marBottom w:val="0"/>
      <w:divBdr>
        <w:top w:val="none" w:sz="0" w:space="0" w:color="auto"/>
        <w:left w:val="none" w:sz="0" w:space="0" w:color="auto"/>
        <w:bottom w:val="none" w:sz="0" w:space="0" w:color="auto"/>
        <w:right w:val="none" w:sz="0" w:space="0" w:color="auto"/>
      </w:divBdr>
    </w:div>
    <w:div w:id="179666587">
      <w:bodyDiv w:val="1"/>
      <w:marLeft w:val="0"/>
      <w:marRight w:val="0"/>
      <w:marTop w:val="0"/>
      <w:marBottom w:val="0"/>
      <w:divBdr>
        <w:top w:val="none" w:sz="0" w:space="0" w:color="auto"/>
        <w:left w:val="none" w:sz="0" w:space="0" w:color="auto"/>
        <w:bottom w:val="none" w:sz="0" w:space="0" w:color="auto"/>
        <w:right w:val="none" w:sz="0" w:space="0" w:color="auto"/>
      </w:divBdr>
    </w:div>
    <w:div w:id="186144391">
      <w:bodyDiv w:val="1"/>
      <w:marLeft w:val="0"/>
      <w:marRight w:val="0"/>
      <w:marTop w:val="0"/>
      <w:marBottom w:val="0"/>
      <w:divBdr>
        <w:top w:val="none" w:sz="0" w:space="0" w:color="auto"/>
        <w:left w:val="none" w:sz="0" w:space="0" w:color="auto"/>
        <w:bottom w:val="none" w:sz="0" w:space="0" w:color="auto"/>
        <w:right w:val="none" w:sz="0" w:space="0" w:color="auto"/>
      </w:divBdr>
    </w:div>
    <w:div w:id="215896279">
      <w:bodyDiv w:val="1"/>
      <w:marLeft w:val="0"/>
      <w:marRight w:val="0"/>
      <w:marTop w:val="0"/>
      <w:marBottom w:val="0"/>
      <w:divBdr>
        <w:top w:val="none" w:sz="0" w:space="0" w:color="auto"/>
        <w:left w:val="none" w:sz="0" w:space="0" w:color="auto"/>
        <w:bottom w:val="none" w:sz="0" w:space="0" w:color="auto"/>
        <w:right w:val="none" w:sz="0" w:space="0" w:color="auto"/>
      </w:divBdr>
    </w:div>
    <w:div w:id="329262322">
      <w:bodyDiv w:val="1"/>
      <w:marLeft w:val="0"/>
      <w:marRight w:val="0"/>
      <w:marTop w:val="0"/>
      <w:marBottom w:val="0"/>
      <w:divBdr>
        <w:top w:val="none" w:sz="0" w:space="0" w:color="auto"/>
        <w:left w:val="none" w:sz="0" w:space="0" w:color="auto"/>
        <w:bottom w:val="none" w:sz="0" w:space="0" w:color="auto"/>
        <w:right w:val="none" w:sz="0" w:space="0" w:color="auto"/>
      </w:divBdr>
    </w:div>
    <w:div w:id="339545149">
      <w:bodyDiv w:val="1"/>
      <w:marLeft w:val="0"/>
      <w:marRight w:val="0"/>
      <w:marTop w:val="0"/>
      <w:marBottom w:val="0"/>
      <w:divBdr>
        <w:top w:val="none" w:sz="0" w:space="0" w:color="auto"/>
        <w:left w:val="none" w:sz="0" w:space="0" w:color="auto"/>
        <w:bottom w:val="none" w:sz="0" w:space="0" w:color="auto"/>
        <w:right w:val="none" w:sz="0" w:space="0" w:color="auto"/>
      </w:divBdr>
    </w:div>
    <w:div w:id="358699833">
      <w:bodyDiv w:val="1"/>
      <w:marLeft w:val="0"/>
      <w:marRight w:val="0"/>
      <w:marTop w:val="0"/>
      <w:marBottom w:val="0"/>
      <w:divBdr>
        <w:top w:val="none" w:sz="0" w:space="0" w:color="auto"/>
        <w:left w:val="none" w:sz="0" w:space="0" w:color="auto"/>
        <w:bottom w:val="none" w:sz="0" w:space="0" w:color="auto"/>
        <w:right w:val="none" w:sz="0" w:space="0" w:color="auto"/>
      </w:divBdr>
    </w:div>
    <w:div w:id="375930583">
      <w:bodyDiv w:val="1"/>
      <w:marLeft w:val="0"/>
      <w:marRight w:val="0"/>
      <w:marTop w:val="0"/>
      <w:marBottom w:val="0"/>
      <w:divBdr>
        <w:top w:val="none" w:sz="0" w:space="0" w:color="auto"/>
        <w:left w:val="none" w:sz="0" w:space="0" w:color="auto"/>
        <w:bottom w:val="none" w:sz="0" w:space="0" w:color="auto"/>
        <w:right w:val="none" w:sz="0" w:space="0" w:color="auto"/>
      </w:divBdr>
    </w:div>
    <w:div w:id="466747605">
      <w:bodyDiv w:val="1"/>
      <w:marLeft w:val="0"/>
      <w:marRight w:val="0"/>
      <w:marTop w:val="0"/>
      <w:marBottom w:val="0"/>
      <w:divBdr>
        <w:top w:val="none" w:sz="0" w:space="0" w:color="auto"/>
        <w:left w:val="none" w:sz="0" w:space="0" w:color="auto"/>
        <w:bottom w:val="none" w:sz="0" w:space="0" w:color="auto"/>
        <w:right w:val="none" w:sz="0" w:space="0" w:color="auto"/>
      </w:divBdr>
    </w:div>
    <w:div w:id="501552903">
      <w:bodyDiv w:val="1"/>
      <w:marLeft w:val="0"/>
      <w:marRight w:val="0"/>
      <w:marTop w:val="0"/>
      <w:marBottom w:val="0"/>
      <w:divBdr>
        <w:top w:val="none" w:sz="0" w:space="0" w:color="auto"/>
        <w:left w:val="none" w:sz="0" w:space="0" w:color="auto"/>
        <w:bottom w:val="none" w:sz="0" w:space="0" w:color="auto"/>
        <w:right w:val="none" w:sz="0" w:space="0" w:color="auto"/>
      </w:divBdr>
    </w:div>
    <w:div w:id="506292953">
      <w:bodyDiv w:val="1"/>
      <w:marLeft w:val="0"/>
      <w:marRight w:val="0"/>
      <w:marTop w:val="0"/>
      <w:marBottom w:val="0"/>
      <w:divBdr>
        <w:top w:val="none" w:sz="0" w:space="0" w:color="auto"/>
        <w:left w:val="none" w:sz="0" w:space="0" w:color="auto"/>
        <w:bottom w:val="none" w:sz="0" w:space="0" w:color="auto"/>
        <w:right w:val="none" w:sz="0" w:space="0" w:color="auto"/>
      </w:divBdr>
    </w:div>
    <w:div w:id="514341865">
      <w:bodyDiv w:val="1"/>
      <w:marLeft w:val="0"/>
      <w:marRight w:val="0"/>
      <w:marTop w:val="0"/>
      <w:marBottom w:val="0"/>
      <w:divBdr>
        <w:top w:val="none" w:sz="0" w:space="0" w:color="auto"/>
        <w:left w:val="none" w:sz="0" w:space="0" w:color="auto"/>
        <w:bottom w:val="none" w:sz="0" w:space="0" w:color="auto"/>
        <w:right w:val="none" w:sz="0" w:space="0" w:color="auto"/>
      </w:divBdr>
    </w:div>
    <w:div w:id="588125304">
      <w:bodyDiv w:val="1"/>
      <w:marLeft w:val="0"/>
      <w:marRight w:val="0"/>
      <w:marTop w:val="0"/>
      <w:marBottom w:val="0"/>
      <w:divBdr>
        <w:top w:val="none" w:sz="0" w:space="0" w:color="auto"/>
        <w:left w:val="none" w:sz="0" w:space="0" w:color="auto"/>
        <w:bottom w:val="none" w:sz="0" w:space="0" w:color="auto"/>
        <w:right w:val="none" w:sz="0" w:space="0" w:color="auto"/>
      </w:divBdr>
    </w:div>
    <w:div w:id="672148648">
      <w:bodyDiv w:val="1"/>
      <w:marLeft w:val="0"/>
      <w:marRight w:val="0"/>
      <w:marTop w:val="0"/>
      <w:marBottom w:val="0"/>
      <w:divBdr>
        <w:top w:val="none" w:sz="0" w:space="0" w:color="auto"/>
        <w:left w:val="none" w:sz="0" w:space="0" w:color="auto"/>
        <w:bottom w:val="none" w:sz="0" w:space="0" w:color="auto"/>
        <w:right w:val="none" w:sz="0" w:space="0" w:color="auto"/>
      </w:divBdr>
    </w:div>
    <w:div w:id="733967959">
      <w:bodyDiv w:val="1"/>
      <w:marLeft w:val="0"/>
      <w:marRight w:val="0"/>
      <w:marTop w:val="0"/>
      <w:marBottom w:val="0"/>
      <w:divBdr>
        <w:top w:val="none" w:sz="0" w:space="0" w:color="auto"/>
        <w:left w:val="none" w:sz="0" w:space="0" w:color="auto"/>
        <w:bottom w:val="none" w:sz="0" w:space="0" w:color="auto"/>
        <w:right w:val="none" w:sz="0" w:space="0" w:color="auto"/>
      </w:divBdr>
    </w:div>
    <w:div w:id="866021316">
      <w:bodyDiv w:val="1"/>
      <w:marLeft w:val="0"/>
      <w:marRight w:val="0"/>
      <w:marTop w:val="0"/>
      <w:marBottom w:val="0"/>
      <w:divBdr>
        <w:top w:val="none" w:sz="0" w:space="0" w:color="auto"/>
        <w:left w:val="none" w:sz="0" w:space="0" w:color="auto"/>
        <w:bottom w:val="none" w:sz="0" w:space="0" w:color="auto"/>
        <w:right w:val="none" w:sz="0" w:space="0" w:color="auto"/>
      </w:divBdr>
    </w:div>
    <w:div w:id="897666880">
      <w:bodyDiv w:val="1"/>
      <w:marLeft w:val="0"/>
      <w:marRight w:val="0"/>
      <w:marTop w:val="0"/>
      <w:marBottom w:val="0"/>
      <w:divBdr>
        <w:top w:val="none" w:sz="0" w:space="0" w:color="auto"/>
        <w:left w:val="none" w:sz="0" w:space="0" w:color="auto"/>
        <w:bottom w:val="none" w:sz="0" w:space="0" w:color="auto"/>
        <w:right w:val="none" w:sz="0" w:space="0" w:color="auto"/>
      </w:divBdr>
    </w:div>
    <w:div w:id="918831546">
      <w:bodyDiv w:val="1"/>
      <w:marLeft w:val="0"/>
      <w:marRight w:val="0"/>
      <w:marTop w:val="0"/>
      <w:marBottom w:val="0"/>
      <w:divBdr>
        <w:top w:val="none" w:sz="0" w:space="0" w:color="auto"/>
        <w:left w:val="none" w:sz="0" w:space="0" w:color="auto"/>
        <w:bottom w:val="none" w:sz="0" w:space="0" w:color="auto"/>
        <w:right w:val="none" w:sz="0" w:space="0" w:color="auto"/>
      </w:divBdr>
    </w:div>
    <w:div w:id="974333907">
      <w:bodyDiv w:val="1"/>
      <w:marLeft w:val="0"/>
      <w:marRight w:val="0"/>
      <w:marTop w:val="0"/>
      <w:marBottom w:val="0"/>
      <w:divBdr>
        <w:top w:val="none" w:sz="0" w:space="0" w:color="auto"/>
        <w:left w:val="none" w:sz="0" w:space="0" w:color="auto"/>
        <w:bottom w:val="none" w:sz="0" w:space="0" w:color="auto"/>
        <w:right w:val="none" w:sz="0" w:space="0" w:color="auto"/>
      </w:divBdr>
    </w:div>
    <w:div w:id="1012220187">
      <w:bodyDiv w:val="1"/>
      <w:marLeft w:val="0"/>
      <w:marRight w:val="0"/>
      <w:marTop w:val="0"/>
      <w:marBottom w:val="0"/>
      <w:divBdr>
        <w:top w:val="none" w:sz="0" w:space="0" w:color="auto"/>
        <w:left w:val="none" w:sz="0" w:space="0" w:color="auto"/>
        <w:bottom w:val="none" w:sz="0" w:space="0" w:color="auto"/>
        <w:right w:val="none" w:sz="0" w:space="0" w:color="auto"/>
      </w:divBdr>
    </w:div>
    <w:div w:id="1014260541">
      <w:bodyDiv w:val="1"/>
      <w:marLeft w:val="0"/>
      <w:marRight w:val="0"/>
      <w:marTop w:val="0"/>
      <w:marBottom w:val="0"/>
      <w:divBdr>
        <w:top w:val="none" w:sz="0" w:space="0" w:color="auto"/>
        <w:left w:val="none" w:sz="0" w:space="0" w:color="auto"/>
        <w:bottom w:val="none" w:sz="0" w:space="0" w:color="auto"/>
        <w:right w:val="none" w:sz="0" w:space="0" w:color="auto"/>
      </w:divBdr>
    </w:div>
    <w:div w:id="1039935512">
      <w:bodyDiv w:val="1"/>
      <w:marLeft w:val="0"/>
      <w:marRight w:val="0"/>
      <w:marTop w:val="0"/>
      <w:marBottom w:val="0"/>
      <w:divBdr>
        <w:top w:val="none" w:sz="0" w:space="0" w:color="auto"/>
        <w:left w:val="none" w:sz="0" w:space="0" w:color="auto"/>
        <w:bottom w:val="none" w:sz="0" w:space="0" w:color="auto"/>
        <w:right w:val="none" w:sz="0" w:space="0" w:color="auto"/>
      </w:divBdr>
    </w:div>
    <w:div w:id="1046687275">
      <w:bodyDiv w:val="1"/>
      <w:marLeft w:val="0"/>
      <w:marRight w:val="0"/>
      <w:marTop w:val="0"/>
      <w:marBottom w:val="0"/>
      <w:divBdr>
        <w:top w:val="none" w:sz="0" w:space="0" w:color="auto"/>
        <w:left w:val="none" w:sz="0" w:space="0" w:color="auto"/>
        <w:bottom w:val="none" w:sz="0" w:space="0" w:color="auto"/>
        <w:right w:val="none" w:sz="0" w:space="0" w:color="auto"/>
      </w:divBdr>
    </w:div>
    <w:div w:id="1068116591">
      <w:bodyDiv w:val="1"/>
      <w:marLeft w:val="0"/>
      <w:marRight w:val="0"/>
      <w:marTop w:val="0"/>
      <w:marBottom w:val="0"/>
      <w:divBdr>
        <w:top w:val="none" w:sz="0" w:space="0" w:color="auto"/>
        <w:left w:val="none" w:sz="0" w:space="0" w:color="auto"/>
        <w:bottom w:val="none" w:sz="0" w:space="0" w:color="auto"/>
        <w:right w:val="none" w:sz="0" w:space="0" w:color="auto"/>
      </w:divBdr>
      <w:divsChild>
        <w:div w:id="1482501588">
          <w:marLeft w:val="0"/>
          <w:marRight w:val="0"/>
          <w:marTop w:val="0"/>
          <w:marBottom w:val="0"/>
          <w:divBdr>
            <w:top w:val="none" w:sz="0" w:space="0" w:color="auto"/>
            <w:left w:val="none" w:sz="0" w:space="0" w:color="auto"/>
            <w:bottom w:val="none" w:sz="0" w:space="0" w:color="auto"/>
            <w:right w:val="none" w:sz="0" w:space="0" w:color="auto"/>
          </w:divBdr>
          <w:divsChild>
            <w:div w:id="18469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54756">
      <w:bodyDiv w:val="1"/>
      <w:marLeft w:val="0"/>
      <w:marRight w:val="0"/>
      <w:marTop w:val="0"/>
      <w:marBottom w:val="0"/>
      <w:divBdr>
        <w:top w:val="none" w:sz="0" w:space="0" w:color="auto"/>
        <w:left w:val="none" w:sz="0" w:space="0" w:color="auto"/>
        <w:bottom w:val="none" w:sz="0" w:space="0" w:color="auto"/>
        <w:right w:val="none" w:sz="0" w:space="0" w:color="auto"/>
      </w:divBdr>
    </w:div>
    <w:div w:id="1177426481">
      <w:bodyDiv w:val="1"/>
      <w:marLeft w:val="0"/>
      <w:marRight w:val="0"/>
      <w:marTop w:val="0"/>
      <w:marBottom w:val="0"/>
      <w:divBdr>
        <w:top w:val="none" w:sz="0" w:space="0" w:color="auto"/>
        <w:left w:val="none" w:sz="0" w:space="0" w:color="auto"/>
        <w:bottom w:val="none" w:sz="0" w:space="0" w:color="auto"/>
        <w:right w:val="none" w:sz="0" w:space="0" w:color="auto"/>
      </w:divBdr>
    </w:div>
    <w:div w:id="1188325018">
      <w:bodyDiv w:val="1"/>
      <w:marLeft w:val="0"/>
      <w:marRight w:val="0"/>
      <w:marTop w:val="0"/>
      <w:marBottom w:val="0"/>
      <w:divBdr>
        <w:top w:val="none" w:sz="0" w:space="0" w:color="auto"/>
        <w:left w:val="none" w:sz="0" w:space="0" w:color="auto"/>
        <w:bottom w:val="none" w:sz="0" w:space="0" w:color="auto"/>
        <w:right w:val="none" w:sz="0" w:space="0" w:color="auto"/>
      </w:divBdr>
      <w:divsChild>
        <w:div w:id="715937030">
          <w:marLeft w:val="0"/>
          <w:marRight w:val="0"/>
          <w:marTop w:val="0"/>
          <w:marBottom w:val="0"/>
          <w:divBdr>
            <w:top w:val="none" w:sz="0" w:space="0" w:color="auto"/>
            <w:left w:val="none" w:sz="0" w:space="0" w:color="auto"/>
            <w:bottom w:val="none" w:sz="0" w:space="0" w:color="auto"/>
            <w:right w:val="none" w:sz="0" w:space="0" w:color="auto"/>
          </w:divBdr>
          <w:divsChild>
            <w:div w:id="1493107069">
              <w:marLeft w:val="0"/>
              <w:marRight w:val="0"/>
              <w:marTop w:val="0"/>
              <w:marBottom w:val="0"/>
              <w:divBdr>
                <w:top w:val="none" w:sz="0" w:space="0" w:color="auto"/>
                <w:left w:val="none" w:sz="0" w:space="0" w:color="auto"/>
                <w:bottom w:val="none" w:sz="0" w:space="0" w:color="auto"/>
                <w:right w:val="none" w:sz="0" w:space="0" w:color="auto"/>
              </w:divBdr>
            </w:div>
          </w:divsChild>
        </w:div>
        <w:div w:id="988484346">
          <w:marLeft w:val="0"/>
          <w:marRight w:val="0"/>
          <w:marTop w:val="0"/>
          <w:marBottom w:val="0"/>
          <w:divBdr>
            <w:top w:val="none" w:sz="0" w:space="0" w:color="auto"/>
            <w:left w:val="none" w:sz="0" w:space="0" w:color="auto"/>
            <w:bottom w:val="none" w:sz="0" w:space="0" w:color="auto"/>
            <w:right w:val="none" w:sz="0" w:space="0" w:color="auto"/>
          </w:divBdr>
          <w:divsChild>
            <w:div w:id="4598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21849">
      <w:bodyDiv w:val="1"/>
      <w:marLeft w:val="0"/>
      <w:marRight w:val="0"/>
      <w:marTop w:val="0"/>
      <w:marBottom w:val="0"/>
      <w:divBdr>
        <w:top w:val="none" w:sz="0" w:space="0" w:color="auto"/>
        <w:left w:val="none" w:sz="0" w:space="0" w:color="auto"/>
        <w:bottom w:val="none" w:sz="0" w:space="0" w:color="auto"/>
        <w:right w:val="none" w:sz="0" w:space="0" w:color="auto"/>
      </w:divBdr>
    </w:div>
    <w:div w:id="1248810009">
      <w:bodyDiv w:val="1"/>
      <w:marLeft w:val="0"/>
      <w:marRight w:val="0"/>
      <w:marTop w:val="0"/>
      <w:marBottom w:val="0"/>
      <w:divBdr>
        <w:top w:val="none" w:sz="0" w:space="0" w:color="auto"/>
        <w:left w:val="none" w:sz="0" w:space="0" w:color="auto"/>
        <w:bottom w:val="none" w:sz="0" w:space="0" w:color="auto"/>
        <w:right w:val="none" w:sz="0" w:space="0" w:color="auto"/>
      </w:divBdr>
    </w:div>
    <w:div w:id="1260412609">
      <w:bodyDiv w:val="1"/>
      <w:marLeft w:val="0"/>
      <w:marRight w:val="0"/>
      <w:marTop w:val="0"/>
      <w:marBottom w:val="0"/>
      <w:divBdr>
        <w:top w:val="none" w:sz="0" w:space="0" w:color="auto"/>
        <w:left w:val="none" w:sz="0" w:space="0" w:color="auto"/>
        <w:bottom w:val="none" w:sz="0" w:space="0" w:color="auto"/>
        <w:right w:val="none" w:sz="0" w:space="0" w:color="auto"/>
      </w:divBdr>
    </w:div>
    <w:div w:id="1303386538">
      <w:bodyDiv w:val="1"/>
      <w:marLeft w:val="0"/>
      <w:marRight w:val="0"/>
      <w:marTop w:val="0"/>
      <w:marBottom w:val="0"/>
      <w:divBdr>
        <w:top w:val="none" w:sz="0" w:space="0" w:color="auto"/>
        <w:left w:val="none" w:sz="0" w:space="0" w:color="auto"/>
        <w:bottom w:val="none" w:sz="0" w:space="0" w:color="auto"/>
        <w:right w:val="none" w:sz="0" w:space="0" w:color="auto"/>
      </w:divBdr>
    </w:div>
    <w:div w:id="1351106054">
      <w:bodyDiv w:val="1"/>
      <w:marLeft w:val="0"/>
      <w:marRight w:val="0"/>
      <w:marTop w:val="0"/>
      <w:marBottom w:val="0"/>
      <w:divBdr>
        <w:top w:val="none" w:sz="0" w:space="0" w:color="auto"/>
        <w:left w:val="none" w:sz="0" w:space="0" w:color="auto"/>
        <w:bottom w:val="none" w:sz="0" w:space="0" w:color="auto"/>
        <w:right w:val="none" w:sz="0" w:space="0" w:color="auto"/>
      </w:divBdr>
      <w:divsChild>
        <w:div w:id="1846935573">
          <w:marLeft w:val="0"/>
          <w:marRight w:val="0"/>
          <w:marTop w:val="0"/>
          <w:marBottom w:val="0"/>
          <w:divBdr>
            <w:top w:val="none" w:sz="0" w:space="0" w:color="auto"/>
            <w:left w:val="none" w:sz="0" w:space="0" w:color="auto"/>
            <w:bottom w:val="none" w:sz="0" w:space="0" w:color="auto"/>
            <w:right w:val="none" w:sz="0" w:space="0" w:color="auto"/>
          </w:divBdr>
          <w:divsChild>
            <w:div w:id="437481279">
              <w:marLeft w:val="0"/>
              <w:marRight w:val="0"/>
              <w:marTop w:val="0"/>
              <w:marBottom w:val="0"/>
              <w:divBdr>
                <w:top w:val="none" w:sz="0" w:space="0" w:color="auto"/>
                <w:left w:val="none" w:sz="0" w:space="0" w:color="auto"/>
                <w:bottom w:val="none" w:sz="0" w:space="0" w:color="auto"/>
                <w:right w:val="none" w:sz="0" w:space="0" w:color="auto"/>
              </w:divBdr>
            </w:div>
          </w:divsChild>
        </w:div>
        <w:div w:id="1977568835">
          <w:marLeft w:val="0"/>
          <w:marRight w:val="0"/>
          <w:marTop w:val="0"/>
          <w:marBottom w:val="0"/>
          <w:divBdr>
            <w:top w:val="none" w:sz="0" w:space="0" w:color="auto"/>
            <w:left w:val="none" w:sz="0" w:space="0" w:color="auto"/>
            <w:bottom w:val="none" w:sz="0" w:space="0" w:color="auto"/>
            <w:right w:val="none" w:sz="0" w:space="0" w:color="auto"/>
          </w:divBdr>
          <w:divsChild>
            <w:div w:id="87038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7316">
      <w:bodyDiv w:val="1"/>
      <w:marLeft w:val="0"/>
      <w:marRight w:val="0"/>
      <w:marTop w:val="0"/>
      <w:marBottom w:val="0"/>
      <w:divBdr>
        <w:top w:val="none" w:sz="0" w:space="0" w:color="auto"/>
        <w:left w:val="none" w:sz="0" w:space="0" w:color="auto"/>
        <w:bottom w:val="none" w:sz="0" w:space="0" w:color="auto"/>
        <w:right w:val="none" w:sz="0" w:space="0" w:color="auto"/>
      </w:divBdr>
    </w:div>
    <w:div w:id="1431462023">
      <w:bodyDiv w:val="1"/>
      <w:marLeft w:val="0"/>
      <w:marRight w:val="0"/>
      <w:marTop w:val="0"/>
      <w:marBottom w:val="0"/>
      <w:divBdr>
        <w:top w:val="none" w:sz="0" w:space="0" w:color="auto"/>
        <w:left w:val="none" w:sz="0" w:space="0" w:color="auto"/>
        <w:bottom w:val="none" w:sz="0" w:space="0" w:color="auto"/>
        <w:right w:val="none" w:sz="0" w:space="0" w:color="auto"/>
      </w:divBdr>
    </w:div>
    <w:div w:id="1500077057">
      <w:bodyDiv w:val="1"/>
      <w:marLeft w:val="0"/>
      <w:marRight w:val="0"/>
      <w:marTop w:val="0"/>
      <w:marBottom w:val="0"/>
      <w:divBdr>
        <w:top w:val="none" w:sz="0" w:space="0" w:color="auto"/>
        <w:left w:val="none" w:sz="0" w:space="0" w:color="auto"/>
        <w:bottom w:val="none" w:sz="0" w:space="0" w:color="auto"/>
        <w:right w:val="none" w:sz="0" w:space="0" w:color="auto"/>
      </w:divBdr>
    </w:div>
    <w:div w:id="1584025702">
      <w:bodyDiv w:val="1"/>
      <w:marLeft w:val="0"/>
      <w:marRight w:val="0"/>
      <w:marTop w:val="0"/>
      <w:marBottom w:val="0"/>
      <w:divBdr>
        <w:top w:val="none" w:sz="0" w:space="0" w:color="auto"/>
        <w:left w:val="none" w:sz="0" w:space="0" w:color="auto"/>
        <w:bottom w:val="none" w:sz="0" w:space="0" w:color="auto"/>
        <w:right w:val="none" w:sz="0" w:space="0" w:color="auto"/>
      </w:divBdr>
      <w:divsChild>
        <w:div w:id="457843141">
          <w:marLeft w:val="0"/>
          <w:marRight w:val="0"/>
          <w:marTop w:val="0"/>
          <w:marBottom w:val="0"/>
          <w:divBdr>
            <w:top w:val="none" w:sz="0" w:space="0" w:color="auto"/>
            <w:left w:val="none" w:sz="0" w:space="0" w:color="auto"/>
            <w:bottom w:val="none" w:sz="0" w:space="0" w:color="auto"/>
            <w:right w:val="none" w:sz="0" w:space="0" w:color="auto"/>
          </w:divBdr>
          <w:divsChild>
            <w:div w:id="640229899">
              <w:marLeft w:val="0"/>
              <w:marRight w:val="0"/>
              <w:marTop w:val="0"/>
              <w:marBottom w:val="0"/>
              <w:divBdr>
                <w:top w:val="none" w:sz="0" w:space="0" w:color="auto"/>
                <w:left w:val="none" w:sz="0" w:space="0" w:color="auto"/>
                <w:bottom w:val="none" w:sz="0" w:space="0" w:color="auto"/>
                <w:right w:val="none" w:sz="0" w:space="0" w:color="auto"/>
              </w:divBdr>
            </w:div>
          </w:divsChild>
        </w:div>
        <w:div w:id="1245992039">
          <w:marLeft w:val="0"/>
          <w:marRight w:val="0"/>
          <w:marTop w:val="0"/>
          <w:marBottom w:val="0"/>
          <w:divBdr>
            <w:top w:val="none" w:sz="0" w:space="0" w:color="auto"/>
            <w:left w:val="none" w:sz="0" w:space="0" w:color="auto"/>
            <w:bottom w:val="none" w:sz="0" w:space="0" w:color="auto"/>
            <w:right w:val="none" w:sz="0" w:space="0" w:color="auto"/>
          </w:divBdr>
          <w:divsChild>
            <w:div w:id="16088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435929">
      <w:bodyDiv w:val="1"/>
      <w:marLeft w:val="0"/>
      <w:marRight w:val="0"/>
      <w:marTop w:val="0"/>
      <w:marBottom w:val="0"/>
      <w:divBdr>
        <w:top w:val="none" w:sz="0" w:space="0" w:color="auto"/>
        <w:left w:val="none" w:sz="0" w:space="0" w:color="auto"/>
        <w:bottom w:val="none" w:sz="0" w:space="0" w:color="auto"/>
        <w:right w:val="none" w:sz="0" w:space="0" w:color="auto"/>
      </w:divBdr>
      <w:divsChild>
        <w:div w:id="538903601">
          <w:marLeft w:val="0"/>
          <w:marRight w:val="0"/>
          <w:marTop w:val="0"/>
          <w:marBottom w:val="0"/>
          <w:divBdr>
            <w:top w:val="none" w:sz="0" w:space="0" w:color="auto"/>
            <w:left w:val="none" w:sz="0" w:space="0" w:color="auto"/>
            <w:bottom w:val="none" w:sz="0" w:space="0" w:color="auto"/>
            <w:right w:val="none" w:sz="0" w:space="0" w:color="auto"/>
          </w:divBdr>
          <w:divsChild>
            <w:div w:id="1129320406">
              <w:marLeft w:val="0"/>
              <w:marRight w:val="0"/>
              <w:marTop w:val="0"/>
              <w:marBottom w:val="0"/>
              <w:divBdr>
                <w:top w:val="none" w:sz="0" w:space="0" w:color="auto"/>
                <w:left w:val="none" w:sz="0" w:space="0" w:color="auto"/>
                <w:bottom w:val="none" w:sz="0" w:space="0" w:color="auto"/>
                <w:right w:val="none" w:sz="0" w:space="0" w:color="auto"/>
              </w:divBdr>
            </w:div>
          </w:divsChild>
        </w:div>
        <w:div w:id="1071124109">
          <w:marLeft w:val="0"/>
          <w:marRight w:val="0"/>
          <w:marTop w:val="0"/>
          <w:marBottom w:val="0"/>
          <w:divBdr>
            <w:top w:val="none" w:sz="0" w:space="0" w:color="auto"/>
            <w:left w:val="none" w:sz="0" w:space="0" w:color="auto"/>
            <w:bottom w:val="none" w:sz="0" w:space="0" w:color="auto"/>
            <w:right w:val="none" w:sz="0" w:space="0" w:color="auto"/>
          </w:divBdr>
          <w:divsChild>
            <w:div w:id="3025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39851">
      <w:bodyDiv w:val="1"/>
      <w:marLeft w:val="0"/>
      <w:marRight w:val="0"/>
      <w:marTop w:val="0"/>
      <w:marBottom w:val="0"/>
      <w:divBdr>
        <w:top w:val="none" w:sz="0" w:space="0" w:color="auto"/>
        <w:left w:val="none" w:sz="0" w:space="0" w:color="auto"/>
        <w:bottom w:val="none" w:sz="0" w:space="0" w:color="auto"/>
        <w:right w:val="none" w:sz="0" w:space="0" w:color="auto"/>
      </w:divBdr>
      <w:divsChild>
        <w:div w:id="7485496">
          <w:marLeft w:val="0"/>
          <w:marRight w:val="0"/>
          <w:marTop w:val="0"/>
          <w:marBottom w:val="0"/>
          <w:divBdr>
            <w:top w:val="none" w:sz="0" w:space="0" w:color="auto"/>
            <w:left w:val="none" w:sz="0" w:space="0" w:color="auto"/>
            <w:bottom w:val="none" w:sz="0" w:space="0" w:color="auto"/>
            <w:right w:val="none" w:sz="0" w:space="0" w:color="auto"/>
          </w:divBdr>
          <w:divsChild>
            <w:div w:id="6981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62829">
      <w:bodyDiv w:val="1"/>
      <w:marLeft w:val="0"/>
      <w:marRight w:val="0"/>
      <w:marTop w:val="0"/>
      <w:marBottom w:val="0"/>
      <w:divBdr>
        <w:top w:val="none" w:sz="0" w:space="0" w:color="auto"/>
        <w:left w:val="none" w:sz="0" w:space="0" w:color="auto"/>
        <w:bottom w:val="none" w:sz="0" w:space="0" w:color="auto"/>
        <w:right w:val="none" w:sz="0" w:space="0" w:color="auto"/>
      </w:divBdr>
    </w:div>
    <w:div w:id="1834369811">
      <w:bodyDiv w:val="1"/>
      <w:marLeft w:val="0"/>
      <w:marRight w:val="0"/>
      <w:marTop w:val="0"/>
      <w:marBottom w:val="0"/>
      <w:divBdr>
        <w:top w:val="none" w:sz="0" w:space="0" w:color="auto"/>
        <w:left w:val="none" w:sz="0" w:space="0" w:color="auto"/>
        <w:bottom w:val="none" w:sz="0" w:space="0" w:color="auto"/>
        <w:right w:val="none" w:sz="0" w:space="0" w:color="auto"/>
      </w:divBdr>
    </w:div>
    <w:div w:id="1851675758">
      <w:bodyDiv w:val="1"/>
      <w:marLeft w:val="0"/>
      <w:marRight w:val="0"/>
      <w:marTop w:val="0"/>
      <w:marBottom w:val="0"/>
      <w:divBdr>
        <w:top w:val="none" w:sz="0" w:space="0" w:color="auto"/>
        <w:left w:val="none" w:sz="0" w:space="0" w:color="auto"/>
        <w:bottom w:val="none" w:sz="0" w:space="0" w:color="auto"/>
        <w:right w:val="none" w:sz="0" w:space="0" w:color="auto"/>
      </w:divBdr>
    </w:div>
    <w:div w:id="1879390412">
      <w:bodyDiv w:val="1"/>
      <w:marLeft w:val="0"/>
      <w:marRight w:val="0"/>
      <w:marTop w:val="0"/>
      <w:marBottom w:val="0"/>
      <w:divBdr>
        <w:top w:val="none" w:sz="0" w:space="0" w:color="auto"/>
        <w:left w:val="none" w:sz="0" w:space="0" w:color="auto"/>
        <w:bottom w:val="none" w:sz="0" w:space="0" w:color="auto"/>
        <w:right w:val="none" w:sz="0" w:space="0" w:color="auto"/>
      </w:divBdr>
    </w:div>
    <w:div w:id="1889144361">
      <w:bodyDiv w:val="1"/>
      <w:marLeft w:val="0"/>
      <w:marRight w:val="0"/>
      <w:marTop w:val="0"/>
      <w:marBottom w:val="0"/>
      <w:divBdr>
        <w:top w:val="none" w:sz="0" w:space="0" w:color="auto"/>
        <w:left w:val="none" w:sz="0" w:space="0" w:color="auto"/>
        <w:bottom w:val="none" w:sz="0" w:space="0" w:color="auto"/>
        <w:right w:val="none" w:sz="0" w:space="0" w:color="auto"/>
      </w:divBdr>
    </w:div>
    <w:div w:id="2044281845">
      <w:bodyDiv w:val="1"/>
      <w:marLeft w:val="0"/>
      <w:marRight w:val="0"/>
      <w:marTop w:val="0"/>
      <w:marBottom w:val="0"/>
      <w:divBdr>
        <w:top w:val="none" w:sz="0" w:space="0" w:color="auto"/>
        <w:left w:val="none" w:sz="0" w:space="0" w:color="auto"/>
        <w:bottom w:val="none" w:sz="0" w:space="0" w:color="auto"/>
        <w:right w:val="none" w:sz="0" w:space="0" w:color="auto"/>
      </w:divBdr>
    </w:div>
    <w:div w:id="2069574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Sudenaz Baysag</dc:creator>
  <cp:keywords/>
  <dc:description/>
  <cp:lastModifiedBy>Sudenaz Baysag</cp:lastModifiedBy>
  <cp:revision>3</cp:revision>
  <dcterms:created xsi:type="dcterms:W3CDTF">2025-05-23T17:28:00Z</dcterms:created>
  <dcterms:modified xsi:type="dcterms:W3CDTF">2025-05-23T17:38:00Z</dcterms:modified>
</cp:coreProperties>
</file>