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tbl>
      <w:tblPr>
        <w:tblStyle w:val="sastable"/>
        <w:tblW w:type="dxa" w:w="12620"/>
        <w:jc w:val="start"/>
        <w:tblCaption w:val="Data Set WORK.FINAL_SETOSAVERSICOLOR"/>
      </w:tblPr>
      <w:tblGrid>
        <w:gridCol w:w="1204"/>
        <w:gridCol w:w="1028"/>
        <w:gridCol w:w="1326"/>
        <w:gridCol w:w="1099"/>
        <w:gridCol w:w="927"/>
        <w:gridCol w:w="954"/>
        <w:gridCol w:w="954"/>
        <w:gridCol w:w="1282"/>
        <w:gridCol w:w="1282"/>
        <w:gridCol w:w="1282"/>
        <w:gridCol w:w="1282"/>
      </w:tblGrid>
      <w:tr>
        <w:trPr>
          <w:cantSplit/>
          <w:tblHeader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Variable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Species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Method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Variances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Lower</w:t>
            </w:r>
            <w:r>
              <w:rPr>
</w:rPr>
              <w:br/>
            </w:r>
            <w:r>
              <w:rPr>
</w:rPr>
              <w:t xml:space="preserve">Limit of</w:t>
            </w:r>
            <w:r>
              <w:rPr>
</w:rPr>
              <w:br/>
            </w:r>
            <w:r>
              <w:rPr>
</w:rPr>
              <w:t xml:space="preserve">Mean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Upper</w:t>
            </w:r>
            <w:r>
              <w:rPr>
</w:rPr>
              <w:br/>
            </w:r>
            <w:r>
              <w:rPr>
</w:rPr>
              <w:t xml:space="preserve">Limit of</w:t>
            </w:r>
            <w:r>
              <w:rPr>
</w:rPr>
              <w:br/>
            </w:r>
            <w:r>
              <w:rPr>
</w:rPr>
              <w:t xml:space="preserve">Mean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T-value for</w:t>
            </w:r>
            <w:r>
              <w:rPr>
</w:rPr>
              <w:br/>
            </w:r>
            <w:r>
              <w:rPr>
</w:rPr>
              <w:t xml:space="preserve">mean</w:t>
            </w:r>
            <w:r>
              <w:rPr>
</w:rPr>
              <w:br/>
            </w:r>
            <w:r>
              <w:rPr>
</w:rPr>
              <w:t xml:space="preserve">comparison</w:t>
              <w:br/>
            </w:r>
            <w:r>
              <w:rPr>
</w:rPr>
              <w:t xml:space="preserve">(tValue)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Probability</w:t>
            </w:r>
            <w:r>
              <w:rPr>
</w:rPr>
              <w:br/>
            </w:r>
            <w:r>
              <w:rPr>
</w:rPr>
              <w:t xml:space="preserve">for mean</w:t>
            </w:r>
            <w:r>
              <w:rPr>
</w:rPr>
              <w:br/>
            </w:r>
            <w:r>
              <w:rPr>
</w:rPr>
              <w:t xml:space="preserve">comparison</w:t>
              <w:br/>
            </w:r>
            <w:r>
              <w:rPr>
</w:rPr>
              <w:t xml:space="preserve">(Probt)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F value for</w:t>
            </w:r>
            <w:r>
              <w:rPr>
</w:rPr>
              <w:br/>
            </w:r>
            <w:r>
              <w:rPr>
</w:rPr>
              <w:t xml:space="preserve">variance</w:t>
            </w:r>
            <w:r>
              <w:rPr>
</w:rPr>
              <w:br/>
            </w:r>
            <w:r>
              <w:rPr>
</w:rPr>
              <w:t xml:space="preserve">comparison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Probability</w:t>
            </w:r>
            <w:r>
              <w:rPr>
</w:rPr>
              <w:br/>
            </w:r>
            <w:r>
              <w:rPr>
</w:rPr>
              <w:t xml:space="preserve">for</w:t>
            </w:r>
            <w:r>
              <w:rPr>
</w:rPr>
              <w:br/>
            </w:r>
            <w:r>
              <w:rPr>
</w:rPr>
              <w:t xml:space="preserve">variance</w:t>
            </w:r>
            <w:r>
              <w:rPr>
</w:rPr>
              <w:br/>
            </w:r>
            <w:r>
              <w:rPr>
</w:rPr>
              <w:t xml:space="preserve">comparison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49.0582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51.0618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-10.52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2.14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0.0087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57.8931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60.8269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-9.3000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-11.0542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-7.5458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33.2027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35.3573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9.45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1.46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0.1895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26.8082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28.5918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Satterthwaite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Unequal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6.5800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5.1983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7.9617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14.1265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15.1135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-39.49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7.32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41.2645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43.9355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-27.9800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-29.3860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-26.5740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2.4600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2.1605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2.7595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-34.08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13.2600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12.6980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13.8220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-10.8000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-11.4289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-10.1711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</w:tbl>
    <w:p>
      <w:pPr>
        <w:pStyle w:val="sastinyparagraph"/>
      </w:pPr>
    </w:p>
    <w:p>
      <w:pPr>
        <w:sectPr>
          <w:pgNumType w:start="1"/>
          <w:headerReference r:id="rId8" w:type="default"/>
          <w:pgSz w:h="12240" w:orient="landscape" w:w="158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" w:name="IDX1"/>
    <w:bookmarkEnd w:id="1"/>
    <w:tbl>
      <w:tblPr>
        <w:tblStyle w:val="sastable"/>
        <w:tblW w:type="dxa" w:w="12523"/>
        <w:jc w:val="start"/>
        <w:tblCaption w:val="Data Set WORK.FINAL_SETOSAVIRGINICA"/>
      </w:tblPr>
      <w:tblGrid>
        <w:gridCol w:w="1204"/>
        <w:gridCol w:w="931"/>
        <w:gridCol w:w="1326"/>
        <w:gridCol w:w="1099"/>
        <w:gridCol w:w="927"/>
        <w:gridCol w:w="954"/>
        <w:gridCol w:w="954"/>
        <w:gridCol w:w="1282"/>
        <w:gridCol w:w="1282"/>
        <w:gridCol w:w="1282"/>
        <w:gridCol w:w="1282"/>
      </w:tblGrid>
      <w:tr>
        <w:trPr>
          <w:cantSplit/>
          <w:tblHeader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Variable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Species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Method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Variances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Lower</w:t>
            </w:r>
            <w:r>
              <w:rPr>
</w:rPr>
              <w:br/>
            </w:r>
            <w:r>
              <w:rPr>
</w:rPr>
              <w:t xml:space="preserve">Limit of</w:t>
            </w:r>
            <w:r>
              <w:rPr>
</w:rPr>
              <w:br/>
            </w:r>
            <w:r>
              <w:rPr>
</w:rPr>
              <w:t xml:space="preserve">Mean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Upper</w:t>
            </w:r>
            <w:r>
              <w:rPr>
</w:rPr>
              <w:br/>
            </w:r>
            <w:r>
              <w:rPr>
</w:rPr>
              <w:t xml:space="preserve">Limit of</w:t>
            </w:r>
            <w:r>
              <w:rPr>
</w:rPr>
              <w:br/>
            </w:r>
            <w:r>
              <w:rPr>
</w:rPr>
              <w:t xml:space="preserve">Mean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T-value for</w:t>
            </w:r>
            <w:r>
              <w:rPr>
</w:rPr>
              <w:br/>
            </w:r>
            <w:r>
              <w:rPr>
</w:rPr>
              <w:t xml:space="preserve">mean</w:t>
            </w:r>
            <w:r>
              <w:rPr>
</w:rPr>
              <w:br/>
            </w:r>
            <w:r>
              <w:rPr>
</w:rPr>
              <w:t xml:space="preserve">comparison</w:t>
              <w:br/>
            </w:r>
            <w:r>
              <w:rPr>
</w:rPr>
              <w:t xml:space="preserve">(tValue)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Probability</w:t>
            </w:r>
            <w:r>
              <w:rPr>
</w:rPr>
              <w:br/>
            </w:r>
            <w:r>
              <w:rPr>
</w:rPr>
              <w:t xml:space="preserve">for mean</w:t>
            </w:r>
            <w:r>
              <w:rPr>
</w:rPr>
              <w:br/>
            </w:r>
            <w:r>
              <w:rPr>
</w:rPr>
              <w:t xml:space="preserve">comparison</w:t>
              <w:br/>
            </w:r>
            <w:r>
              <w:rPr>
</w:rPr>
              <w:t xml:space="preserve">(Probt)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F value for</w:t>
            </w:r>
            <w:r>
              <w:rPr>
</w:rPr>
              <w:br/>
            </w:r>
            <w:r>
              <w:rPr>
</w:rPr>
              <w:t xml:space="preserve">variance</w:t>
            </w:r>
            <w:r>
              <w:rPr>
</w:rPr>
              <w:br/>
            </w:r>
            <w:r>
              <w:rPr>
</w:rPr>
              <w:t xml:space="preserve">comparison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Probability</w:t>
            </w:r>
            <w:r>
              <w:rPr>
</w:rPr>
              <w:br/>
            </w:r>
            <w:r>
              <w:rPr>
</w:rPr>
              <w:t xml:space="preserve">for</w:t>
            </w:r>
            <w:r>
              <w:rPr>
</w:rPr>
              <w:br/>
            </w:r>
            <w:r>
              <w:rPr>
</w:rPr>
              <w:t xml:space="preserve">variance</w:t>
            </w:r>
            <w:r>
              <w:rPr>
</w:rPr>
              <w:br/>
            </w:r>
            <w:r>
              <w:rPr>
</w:rPr>
              <w:t xml:space="preserve">comparison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49.0582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51.0618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-15.39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64.0729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67.6871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-15.8200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-17.8604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-13.7796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33.2027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35.3573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6.45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1.38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0.2614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28.8235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30.6565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Satterthwaite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Unequal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4.5400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3.1428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5.9372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14.1265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15.1135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-49.99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10.10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53.9515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57.0885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-40.9000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-42.5237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-39.2763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2.4600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2.1605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2.7595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-42.79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6.79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20.2600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19.4795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21.0405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93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-17.8000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-18.6256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-16.9744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</w:tbl>
    <w:p>
      <w:pPr>
        <w:pStyle w:val="sastinyparagraph"/>
      </w:pPr>
    </w:p>
    <w:p>
      <w:pPr>
        <w:sectPr>
          <w:headerReference r:id="rId9" w:type="default"/>
          <w:pgSz w:h="12240" w:orient="landscape" w:w="158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" w:name="IDX2"/>
    <w:bookmarkEnd w:id="2"/>
    <w:tbl>
      <w:tblPr>
        <w:tblStyle w:val="sastable"/>
        <w:tblW w:type="dxa" w:w="12620"/>
        <w:jc w:val="start"/>
        <w:tblCaption w:val="Data Set WORK.FINAL_VERSICOLORVIRGINICA"/>
      </w:tblPr>
      <w:tblGrid>
        <w:gridCol w:w="1204"/>
        <w:gridCol w:w="1028"/>
        <w:gridCol w:w="1326"/>
        <w:gridCol w:w="1099"/>
        <w:gridCol w:w="927"/>
        <w:gridCol w:w="954"/>
        <w:gridCol w:w="954"/>
        <w:gridCol w:w="1282"/>
        <w:gridCol w:w="1282"/>
        <w:gridCol w:w="1282"/>
        <w:gridCol w:w="1282"/>
      </w:tblGrid>
      <w:tr>
        <w:trPr>
          <w:cantSplit/>
          <w:tblHeader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Variable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Species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Method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Variances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Lower</w:t>
            </w:r>
            <w:r>
              <w:rPr>
</w:rPr>
              <w:br/>
            </w:r>
            <w:r>
              <w:rPr>
</w:rPr>
              <w:t xml:space="preserve">Limit of</w:t>
            </w:r>
            <w:r>
              <w:rPr>
</w:rPr>
              <w:br/>
            </w:r>
            <w:r>
              <w:rPr>
</w:rPr>
              <w:t xml:space="preserve">Mean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Upper</w:t>
            </w:r>
            <w:r>
              <w:rPr>
</w:rPr>
              <w:br/>
            </w:r>
            <w:r>
              <w:rPr>
</w:rPr>
              <w:t xml:space="preserve">Limit of</w:t>
            </w:r>
            <w:r>
              <w:rPr>
</w:rPr>
              <w:br/>
            </w:r>
            <w:r>
              <w:rPr>
</w:rPr>
              <w:t xml:space="preserve">Mean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T-value for</w:t>
            </w:r>
            <w:r>
              <w:rPr>
</w:rPr>
              <w:br/>
            </w:r>
            <w:r>
              <w:rPr>
</w:rPr>
              <w:t xml:space="preserve">mean</w:t>
            </w:r>
            <w:r>
              <w:rPr>
</w:rPr>
              <w:br/>
            </w:r>
            <w:r>
              <w:rPr>
</w:rPr>
              <w:t xml:space="preserve">comparison</w:t>
              <w:br/>
            </w:r>
            <w:r>
              <w:rPr>
</w:rPr>
              <w:t xml:space="preserve">(tValue)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Probability</w:t>
            </w:r>
            <w:r>
              <w:rPr>
</w:rPr>
              <w:br/>
            </w:r>
            <w:r>
              <w:rPr>
</w:rPr>
              <w:t xml:space="preserve">for mean</w:t>
            </w:r>
            <w:r>
              <w:rPr>
</w:rPr>
              <w:br/>
            </w:r>
            <w:r>
              <w:rPr>
</w:rPr>
              <w:t xml:space="preserve">comparison</w:t>
              <w:br/>
            </w:r>
            <w:r>
              <w:rPr>
</w:rPr>
              <w:t xml:space="preserve">(Probt)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F value for</w:t>
            </w:r>
            <w:r>
              <w:rPr>
</w:rPr>
              <w:br/>
            </w:r>
            <w:r>
              <w:rPr>
</w:rPr>
              <w:t xml:space="preserve">variance</w:t>
            </w:r>
            <w:r>
              <w:rPr>
</w:rPr>
              <w:br/>
            </w:r>
            <w:r>
              <w:rPr>
</w:rPr>
              <w:t xml:space="preserve">comparison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Probability</w:t>
            </w:r>
            <w:r>
              <w:rPr>
</w:rPr>
              <w:br/>
            </w:r>
            <w:r>
              <w:rPr>
</w:rPr>
              <w:t xml:space="preserve">for</w:t>
            </w:r>
            <w:r>
              <w:rPr>
</w:rPr>
              <w:br/>
            </w:r>
            <w:r>
              <w:rPr>
</w:rPr>
              <w:t xml:space="preserve">variance</w:t>
            </w:r>
            <w:r>
              <w:rPr>
</w:rPr>
              <w:br/>
            </w:r>
            <w:r>
              <w:rPr>
</w:rPr>
              <w:t xml:space="preserve">comparison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57.8931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60.8269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-5.63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1.52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0.1478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64.0729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67.6871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Satterthwaite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Unequal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-6.5200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-8.8197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-4.2203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26.8082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28.5918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-3.21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0.0018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1.06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0.8490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28.8235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30.6565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SepalWidth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Satterthwaite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Unequal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-2.0400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-3.3028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-0.7772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41.2645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43.9355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-12.60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1.38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0.2637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53.9515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57.0885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PetalLength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Satterthwaite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Unequal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-12.9200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-14.9549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-10.8851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13.2600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12.6980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13.8220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-14.63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&lt;.0001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1.93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0.0233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 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20.2600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19.4795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21.0405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  <w:tr>
        <w:trPr>
          <w:cantSplit/>
        </w:trPr>
        <w:tc>
          <w:tcPr>
            <w:tcW w:type="dxa" w:w="120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PetalWidth</w:t>
            </w:r>
          </w:p>
        </w:tc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Diff (1-2)</w:t>
            </w:r>
          </w:p>
        </w:tc>
        <w:tc>
          <w:tcPr>
            <w:tcW w:type="dxa" w:w="132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Pooled</w:t>
            </w:r>
          </w:p>
        </w:tc>
        <w:tc>
          <w:tcPr>
            <w:tcW w:type="dxa" w:w="1099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Equal</w:t>
            </w:r>
          </w:p>
        </w:tc>
        <w:tc>
          <w:tcPr>
            <w:tcW w:type="dxa" w:w="927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-7.0000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-7.9498</w:t>
            </w:r>
          </w:p>
        </w:tc>
        <w:tc>
          <w:tcPr>
            <w:tcW w:type="dxa" w:w="95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-6.0502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  <w:tc>
          <w:tcPr>
            <w:tcW w:type="dxa" w:w="128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.</w:t>
            </w:r>
          </w:p>
        </w:tc>
      </w:tr>
    </w:tbl>
    <w:p>
      <w:pPr>
        <w:pStyle w:val="sastinyparagraph"/>
      </w:pPr>
    </w:p>
    <w:sectPr>
      <w:headerReference r:id="rId10" w:type="default"/>
      <w:pgSz w:h="12240" w:orient="landscape" w:w="158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58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Independent Sample T-Test for SetosaVersicolor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58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Independent Sample T-Test for SetosaVirginica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58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Independent Sample T-Test for VersicolorVirginica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data" w:type="paragraph">
    <w:name w:val="sasdata"/>
    <w:next w:val="sasdata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color w:themeColor="dark1" w:val="auto"/>
      <w:sz w:val="20"/>
      <w:szCs w:val="20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header" w:type="paragraph">
    <w:name w:val="sasheader"/>
    <w:next w:val="sas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sastable" w:type="table">
    <w:name w:val="sastable"/>
    <w:next w:val="sastable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space="0" w:sz="6" w:themeColor="dark2" w:val="single"/>
        <w:start w:space="0" w:sz="6" w:themeColor="dark2" w:val="single"/>
        <w:bottom w:space="0" w:sz="6" w:themeColor="dark2" w:val="single"/>
        <w:end w:space="0" w:sz="6" w:themeColor="dark2" w:val="single"/>
      </w:tblBorders>
    </w:tbl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header" Target="header2.xml"/>
   <Relationship Id="rId10" Type="http://schemas.openxmlformats.org/officeDocument/2006/relationships/header" Target="header3.xml"/>
   <Relationship Id="rId11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6100  Workstation -->
  <dc:creator>sabina.dobrer</dc:creator>
  <cp:lastModifiedBy>sabina.dobrer</cp:lastModifiedBy>
  <cp:revision>1</cp:revision>
  <dcterms:created xsi:type="dcterms:W3CDTF">2026-05-19T14:59:51-07:00</dcterms:created>
  <dcterms:modified xsi:type="dcterms:W3CDTF">2026-05-19T14:59:51-07:00</dcterms:modified>
</cp:coreProperties>
</file>