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99" w:type="dxa"/>
        <w:tblInd w:w="-95" w:type="dxa"/>
        <w:tblLook w:val="04A0" w:firstRow="1" w:lastRow="0" w:firstColumn="1" w:lastColumn="0" w:noHBand="0" w:noVBand="1"/>
      </w:tblPr>
      <w:tblGrid>
        <w:gridCol w:w="2203"/>
        <w:gridCol w:w="2221"/>
        <w:gridCol w:w="2026"/>
        <w:gridCol w:w="2026"/>
        <w:gridCol w:w="2023"/>
      </w:tblGrid>
      <w:tr w:rsidR="00E818AA" w14:paraId="2B010BF0" w14:textId="77777777" w:rsidTr="005D05EA">
        <w:trPr>
          <w:trHeight w:val="554"/>
        </w:trPr>
        <w:tc>
          <w:tcPr>
            <w:tcW w:w="2203" w:type="dxa"/>
          </w:tcPr>
          <w:p w14:paraId="3D4CCB34" w14:textId="3927C9A6" w:rsidR="00E818AA" w:rsidRDefault="00E818AA">
            <w:r>
              <w:t>Study</w:t>
            </w:r>
          </w:p>
        </w:tc>
        <w:tc>
          <w:tcPr>
            <w:tcW w:w="2221" w:type="dxa"/>
          </w:tcPr>
          <w:p w14:paraId="461C53EB" w14:textId="3B9D1234" w:rsidR="00E818AA" w:rsidRDefault="00E818AA">
            <w:r>
              <w:t>Structure</w:t>
            </w:r>
          </w:p>
        </w:tc>
        <w:tc>
          <w:tcPr>
            <w:tcW w:w="2026" w:type="dxa"/>
          </w:tcPr>
          <w:p w14:paraId="47CC49E5" w14:textId="3C2A23AC" w:rsidR="00E818AA" w:rsidRDefault="00E818AA">
            <w:r>
              <w:t>Age (range)</w:t>
            </w:r>
          </w:p>
        </w:tc>
        <w:tc>
          <w:tcPr>
            <w:tcW w:w="2026" w:type="dxa"/>
          </w:tcPr>
          <w:p w14:paraId="033BA2C6" w14:textId="2240193B" w:rsidR="00E818AA" w:rsidRDefault="00E818AA">
            <w:r>
              <w:t>Results</w:t>
            </w:r>
          </w:p>
        </w:tc>
        <w:tc>
          <w:tcPr>
            <w:tcW w:w="2023" w:type="dxa"/>
          </w:tcPr>
          <w:p w14:paraId="0E108668" w14:textId="2479A8AD" w:rsidR="00E818AA" w:rsidRDefault="00E818AA">
            <w:r>
              <w:t>Notes</w:t>
            </w:r>
          </w:p>
        </w:tc>
      </w:tr>
      <w:tr w:rsidR="00E818AA" w14:paraId="3889FF57" w14:textId="77777777" w:rsidTr="005D05EA">
        <w:trPr>
          <w:trHeight w:val="554"/>
        </w:trPr>
        <w:tc>
          <w:tcPr>
            <w:tcW w:w="2203" w:type="dxa"/>
          </w:tcPr>
          <w:p w14:paraId="6233CCF4" w14:textId="7CA2FFCD" w:rsidR="00E818AA" w:rsidRDefault="00E818AA">
            <w:r>
              <w:t>Branigan and Messenger (2016)</w:t>
            </w:r>
          </w:p>
        </w:tc>
        <w:tc>
          <w:tcPr>
            <w:tcW w:w="2221" w:type="dxa"/>
          </w:tcPr>
          <w:p w14:paraId="784A9384" w14:textId="3F35B3D1" w:rsidR="00E818AA" w:rsidRDefault="00E818AA">
            <w:r>
              <w:t>Passive – No lexical overlap</w:t>
            </w:r>
          </w:p>
        </w:tc>
        <w:tc>
          <w:tcPr>
            <w:tcW w:w="2026" w:type="dxa"/>
          </w:tcPr>
          <w:p w14:paraId="0348A0D1" w14:textId="77777777" w:rsidR="00E818AA" w:rsidRDefault="00E818AA">
            <w:r>
              <w:t>Kids 3;4 – 4;10</w:t>
            </w:r>
          </w:p>
          <w:p w14:paraId="600A17DA" w14:textId="77EFC225" w:rsidR="00E818AA" w:rsidRDefault="00E818AA">
            <w:r>
              <w:t>Adults – Uni students</w:t>
            </w:r>
          </w:p>
        </w:tc>
        <w:tc>
          <w:tcPr>
            <w:tcW w:w="2026" w:type="dxa"/>
          </w:tcPr>
          <w:p w14:paraId="56890AF3" w14:textId="77777777" w:rsidR="00E818AA" w:rsidRDefault="005D3F5D">
            <w:r>
              <w:t xml:space="preserve">Kids show priming effects in both session. </w:t>
            </w:r>
          </w:p>
          <w:p w14:paraId="619C4C77" w14:textId="77777777" w:rsidR="005D3F5D" w:rsidRDefault="005D3F5D"/>
          <w:p w14:paraId="1262E4AA" w14:textId="77777777" w:rsidR="005D3F5D" w:rsidRDefault="005D3F5D">
            <w:r>
              <w:t xml:space="preserve">No difference in priming effect between children and adults. </w:t>
            </w:r>
          </w:p>
          <w:p w14:paraId="32027C4E" w14:textId="77777777" w:rsidR="005D3F5D" w:rsidRDefault="005D3F5D"/>
          <w:p w14:paraId="7E41EB6C" w14:textId="57D23B9A" w:rsidR="005D3F5D" w:rsidRDefault="005D3F5D">
            <w:r>
              <w:t xml:space="preserve">No difference in priming across sessions, but kids produced more passives in second section. </w:t>
            </w:r>
          </w:p>
        </w:tc>
        <w:tc>
          <w:tcPr>
            <w:tcW w:w="2023" w:type="dxa"/>
          </w:tcPr>
          <w:p w14:paraId="334D5386" w14:textId="053C5F7A" w:rsidR="00E818AA" w:rsidRDefault="00E818AA"/>
        </w:tc>
      </w:tr>
      <w:tr w:rsidR="00E818AA" w14:paraId="6EB2B68C" w14:textId="77777777" w:rsidTr="005D05EA">
        <w:trPr>
          <w:trHeight w:val="554"/>
        </w:trPr>
        <w:tc>
          <w:tcPr>
            <w:tcW w:w="2203" w:type="dxa"/>
          </w:tcPr>
          <w:p w14:paraId="21158745" w14:textId="4D47BCDC" w:rsidR="00E818AA" w:rsidRDefault="00E64E96">
            <w:proofErr w:type="spellStart"/>
            <w:r>
              <w:t>Huttenlocher</w:t>
            </w:r>
            <w:proofErr w:type="spellEnd"/>
            <w:r>
              <w:t xml:space="preserve"> et al 2004 Study 1</w:t>
            </w:r>
          </w:p>
        </w:tc>
        <w:tc>
          <w:tcPr>
            <w:tcW w:w="2221" w:type="dxa"/>
          </w:tcPr>
          <w:p w14:paraId="51F333AA" w14:textId="07A8BEC6" w:rsidR="00E818AA" w:rsidRDefault="00E64E96">
            <w:r>
              <w:t>Passive and Dative</w:t>
            </w:r>
          </w:p>
        </w:tc>
        <w:tc>
          <w:tcPr>
            <w:tcW w:w="2026" w:type="dxa"/>
          </w:tcPr>
          <w:p w14:paraId="7A11D32D" w14:textId="0A11DF7B" w:rsidR="00E818AA" w:rsidRDefault="00E64E96">
            <w:r>
              <w:t>Kids: 4;8 (4;5 – 5;8)</w:t>
            </w:r>
          </w:p>
        </w:tc>
        <w:tc>
          <w:tcPr>
            <w:tcW w:w="2026" w:type="dxa"/>
          </w:tcPr>
          <w:p w14:paraId="18DF5E0F" w14:textId="1E833E6A" w:rsidR="00E818AA" w:rsidRDefault="00E64E96">
            <w:r>
              <w:t xml:space="preserve">Significant priming in expected direction for both structures. </w:t>
            </w:r>
          </w:p>
        </w:tc>
        <w:tc>
          <w:tcPr>
            <w:tcW w:w="2023" w:type="dxa"/>
          </w:tcPr>
          <w:p w14:paraId="04453945" w14:textId="77777777" w:rsidR="00E818AA" w:rsidRDefault="00E818AA"/>
        </w:tc>
      </w:tr>
      <w:tr w:rsidR="00E818AA" w14:paraId="26FED8DB" w14:textId="77777777" w:rsidTr="005D05EA">
        <w:trPr>
          <w:trHeight w:val="554"/>
        </w:trPr>
        <w:tc>
          <w:tcPr>
            <w:tcW w:w="2203" w:type="dxa"/>
          </w:tcPr>
          <w:p w14:paraId="591218B0" w14:textId="00AE377B" w:rsidR="00E818AA" w:rsidRDefault="00E64E96">
            <w:r>
              <w:t>Study 2</w:t>
            </w:r>
          </w:p>
        </w:tc>
        <w:tc>
          <w:tcPr>
            <w:tcW w:w="2221" w:type="dxa"/>
          </w:tcPr>
          <w:p w14:paraId="2649ED48" w14:textId="7F66312A" w:rsidR="00E818AA" w:rsidRDefault="00E64E96">
            <w:r>
              <w:t>Passive and dative – no repeating experimenter</w:t>
            </w:r>
          </w:p>
        </w:tc>
        <w:tc>
          <w:tcPr>
            <w:tcW w:w="2026" w:type="dxa"/>
          </w:tcPr>
          <w:p w14:paraId="7D20B8B9" w14:textId="44A2FF5D" w:rsidR="00E818AA" w:rsidRDefault="00E64E96">
            <w:r>
              <w:t>4;5 (4;2 – 5;7)</w:t>
            </w:r>
          </w:p>
        </w:tc>
        <w:tc>
          <w:tcPr>
            <w:tcW w:w="2026" w:type="dxa"/>
          </w:tcPr>
          <w:p w14:paraId="6B5B7BAE" w14:textId="77777777" w:rsidR="00E818AA" w:rsidRDefault="00E818AA"/>
        </w:tc>
        <w:tc>
          <w:tcPr>
            <w:tcW w:w="2023" w:type="dxa"/>
          </w:tcPr>
          <w:p w14:paraId="045E0BFF" w14:textId="77777777" w:rsidR="00E818AA" w:rsidRDefault="00E818AA"/>
        </w:tc>
      </w:tr>
      <w:tr w:rsidR="00E818AA" w14:paraId="3B3BEC1A" w14:textId="77777777" w:rsidTr="005D05EA">
        <w:trPr>
          <w:trHeight w:val="554"/>
        </w:trPr>
        <w:tc>
          <w:tcPr>
            <w:tcW w:w="2203" w:type="dxa"/>
          </w:tcPr>
          <w:p w14:paraId="19D20B46" w14:textId="512CBF7B" w:rsidR="00E818AA" w:rsidRDefault="00E64E96">
            <w:r>
              <w:t xml:space="preserve">Study </w:t>
            </w:r>
            <w:r>
              <w:t>3</w:t>
            </w:r>
          </w:p>
        </w:tc>
        <w:tc>
          <w:tcPr>
            <w:tcW w:w="2221" w:type="dxa"/>
          </w:tcPr>
          <w:p w14:paraId="2A073B5F" w14:textId="2A8013FD" w:rsidR="00E818AA" w:rsidRDefault="00E64E96">
            <w:r>
              <w:t>Passive and dative</w:t>
            </w:r>
            <w:r>
              <w:t xml:space="preserve"> (lag 10)</w:t>
            </w:r>
          </w:p>
        </w:tc>
        <w:tc>
          <w:tcPr>
            <w:tcW w:w="2026" w:type="dxa"/>
          </w:tcPr>
          <w:p w14:paraId="7CA1ACB3" w14:textId="77777777" w:rsidR="00E818AA" w:rsidRDefault="007A6037">
            <w:r>
              <w:t xml:space="preserve">5;3 </w:t>
            </w:r>
          </w:p>
          <w:p w14:paraId="727D752A" w14:textId="435F44A8" w:rsidR="007A6037" w:rsidRDefault="007A6037">
            <w:r>
              <w:t>(4;1 – 5;7)</w:t>
            </w:r>
          </w:p>
        </w:tc>
        <w:tc>
          <w:tcPr>
            <w:tcW w:w="2026" w:type="dxa"/>
          </w:tcPr>
          <w:p w14:paraId="5204BB4D" w14:textId="77777777" w:rsidR="00E818AA" w:rsidRDefault="00E818AA"/>
        </w:tc>
        <w:tc>
          <w:tcPr>
            <w:tcW w:w="2023" w:type="dxa"/>
          </w:tcPr>
          <w:p w14:paraId="09F29B49" w14:textId="77777777" w:rsidR="00E818AA" w:rsidRDefault="00E818AA"/>
        </w:tc>
      </w:tr>
      <w:tr w:rsidR="00E818AA" w14:paraId="0CF4E80B" w14:textId="77777777" w:rsidTr="005D05EA">
        <w:trPr>
          <w:trHeight w:val="554"/>
        </w:trPr>
        <w:tc>
          <w:tcPr>
            <w:tcW w:w="2203" w:type="dxa"/>
          </w:tcPr>
          <w:p w14:paraId="04DD7E36" w14:textId="3514400E" w:rsidR="00E818AA" w:rsidRDefault="007A6037">
            <w:r>
              <w:t>Messenger, Branigan &amp; Mclean (2011)</w:t>
            </w:r>
          </w:p>
        </w:tc>
        <w:tc>
          <w:tcPr>
            <w:tcW w:w="2221" w:type="dxa"/>
          </w:tcPr>
          <w:p w14:paraId="403F8C26" w14:textId="0A3DEEE7" w:rsidR="00E818AA" w:rsidRDefault="007341D0">
            <w:r>
              <w:t>Short passive primes; full passive responses</w:t>
            </w:r>
          </w:p>
        </w:tc>
        <w:tc>
          <w:tcPr>
            <w:tcW w:w="2026" w:type="dxa"/>
          </w:tcPr>
          <w:p w14:paraId="2F1B9FAA" w14:textId="77777777" w:rsidR="00E818AA" w:rsidRDefault="007A6037">
            <w:r>
              <w:t xml:space="preserve">Kids 4;1 </w:t>
            </w:r>
          </w:p>
          <w:p w14:paraId="00C8ECA0" w14:textId="77777777" w:rsidR="007A6037" w:rsidRDefault="007A6037">
            <w:r>
              <w:t>(3;4 – 4;10)</w:t>
            </w:r>
          </w:p>
          <w:p w14:paraId="60F05FED" w14:textId="2ABAC1C3" w:rsidR="007A6037" w:rsidRDefault="007A6037">
            <w:r>
              <w:t>Adults – Undergrads</w:t>
            </w:r>
          </w:p>
        </w:tc>
        <w:tc>
          <w:tcPr>
            <w:tcW w:w="2026" w:type="dxa"/>
          </w:tcPr>
          <w:p w14:paraId="009CE3F0" w14:textId="57C5117C" w:rsidR="00E818AA" w:rsidRDefault="007A6037">
            <w:r>
              <w:t xml:space="preserve">Both groups primed. Kids produced more passives than adults, no prime*group interaction reported? </w:t>
            </w:r>
          </w:p>
        </w:tc>
        <w:tc>
          <w:tcPr>
            <w:tcW w:w="2023" w:type="dxa"/>
          </w:tcPr>
          <w:p w14:paraId="6619F5BB" w14:textId="77777777" w:rsidR="00E818AA" w:rsidRDefault="00E818AA"/>
        </w:tc>
      </w:tr>
      <w:tr w:rsidR="00E818AA" w14:paraId="787427A4" w14:textId="77777777" w:rsidTr="005D05EA">
        <w:trPr>
          <w:trHeight w:val="554"/>
        </w:trPr>
        <w:tc>
          <w:tcPr>
            <w:tcW w:w="2203" w:type="dxa"/>
          </w:tcPr>
          <w:p w14:paraId="2A76B10F" w14:textId="77777777" w:rsidR="00E818AA" w:rsidRDefault="00E818AA"/>
        </w:tc>
        <w:tc>
          <w:tcPr>
            <w:tcW w:w="2221" w:type="dxa"/>
          </w:tcPr>
          <w:p w14:paraId="267355BB" w14:textId="77777777" w:rsidR="00E818AA" w:rsidRDefault="00E818AA"/>
        </w:tc>
        <w:tc>
          <w:tcPr>
            <w:tcW w:w="2026" w:type="dxa"/>
          </w:tcPr>
          <w:p w14:paraId="31ACB323" w14:textId="77777777" w:rsidR="00E818AA" w:rsidRDefault="00E818AA"/>
        </w:tc>
        <w:tc>
          <w:tcPr>
            <w:tcW w:w="2026" w:type="dxa"/>
          </w:tcPr>
          <w:p w14:paraId="49611523" w14:textId="77777777" w:rsidR="00E818AA" w:rsidRDefault="00E818AA"/>
        </w:tc>
        <w:tc>
          <w:tcPr>
            <w:tcW w:w="2023" w:type="dxa"/>
          </w:tcPr>
          <w:p w14:paraId="50701F78" w14:textId="77777777" w:rsidR="00E818AA" w:rsidRDefault="00E818AA"/>
        </w:tc>
      </w:tr>
      <w:tr w:rsidR="00E818AA" w14:paraId="006F276A" w14:textId="77777777" w:rsidTr="005D05EA">
        <w:trPr>
          <w:trHeight w:val="554"/>
        </w:trPr>
        <w:tc>
          <w:tcPr>
            <w:tcW w:w="2203" w:type="dxa"/>
          </w:tcPr>
          <w:p w14:paraId="1B21B1BF" w14:textId="77777777" w:rsidR="00E818AA" w:rsidRDefault="00E818AA"/>
        </w:tc>
        <w:tc>
          <w:tcPr>
            <w:tcW w:w="2221" w:type="dxa"/>
          </w:tcPr>
          <w:p w14:paraId="76ACA6E7" w14:textId="77777777" w:rsidR="00E818AA" w:rsidRDefault="00E818AA"/>
        </w:tc>
        <w:tc>
          <w:tcPr>
            <w:tcW w:w="2026" w:type="dxa"/>
          </w:tcPr>
          <w:p w14:paraId="588BE6CD" w14:textId="77777777" w:rsidR="00E818AA" w:rsidRDefault="00E818AA"/>
        </w:tc>
        <w:tc>
          <w:tcPr>
            <w:tcW w:w="2026" w:type="dxa"/>
          </w:tcPr>
          <w:p w14:paraId="0A221C1F" w14:textId="77777777" w:rsidR="00E818AA" w:rsidRDefault="00E818AA"/>
        </w:tc>
        <w:tc>
          <w:tcPr>
            <w:tcW w:w="2023" w:type="dxa"/>
          </w:tcPr>
          <w:p w14:paraId="3EAFFC4F" w14:textId="77777777" w:rsidR="00E818AA" w:rsidRDefault="00E818AA"/>
        </w:tc>
      </w:tr>
    </w:tbl>
    <w:p w14:paraId="5D4943EB" w14:textId="77777777" w:rsidR="00E818AA" w:rsidRDefault="00E818AA"/>
    <w:sectPr w:rsidR="00E81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8AA"/>
    <w:rsid w:val="005D05EA"/>
    <w:rsid w:val="005D3F5D"/>
    <w:rsid w:val="007341D0"/>
    <w:rsid w:val="007A6037"/>
    <w:rsid w:val="007C399A"/>
    <w:rsid w:val="00E64E96"/>
    <w:rsid w:val="00E8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0AD16A"/>
  <w15:chartTrackingRefBased/>
  <w15:docId w15:val="{62CB1695-392F-3E4F-B8BD-9F6B05660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18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2022-02-21T03:56:00Z</dcterms:created>
  <dcterms:modified xsi:type="dcterms:W3CDTF">2022-02-21T10:07:00Z</dcterms:modified>
</cp:coreProperties>
</file>