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0" w:type="dxa"/>
        <w:tblLook w:val="04A0" w:firstRow="1" w:lastRow="0" w:firstColumn="1" w:lastColumn="0" w:noHBand="0" w:noVBand="1"/>
      </w:tblPr>
      <w:tblGrid>
        <w:gridCol w:w="8877"/>
        <w:gridCol w:w="633"/>
      </w:tblGrid>
      <w:tr w:rsidR="00713A0F" w14:paraId="71B76487" w14:textId="77777777" w:rsidTr="00713A0F">
        <w:trPr>
          <w:trHeight w:val="862"/>
        </w:trPr>
        <w:tc>
          <w:tcPr>
            <w:tcW w:w="8877" w:type="dxa"/>
            <w:vAlign w:val="center"/>
            <w:hideMark/>
          </w:tcPr>
          <w:p w14:paraId="041660EB" w14:textId="77777777" w:rsidR="00713A0F" w:rsidRDefault="00713A0F">
            <w:pPr>
              <w:spacing w:after="0" w:line="480" w:lineRule="auto"/>
              <w:jc w:val="both"/>
              <w:rPr>
                <w:sz w:val="22"/>
                <w:szCs w:val="22"/>
              </w:rPr>
            </w:pPr>
            <m:oMathPara>
              <m:oMath>
                <m:sSub>
                  <m:sSubPr>
                    <m:ctrlPr>
                      <w:rPr>
                        <w:rFonts w:ascii="Cambria Math" w:hAnsi="Cambria Math"/>
                        <w:i/>
                        <w:sz w:val="22"/>
                        <w:szCs w:val="22"/>
                      </w:rPr>
                    </m:ctrlPr>
                  </m:sSubPr>
                  <m:e>
                    <m:r>
                      <m:rPr>
                        <m:sty m:val="p"/>
                      </m:rPr>
                      <w:rPr>
                        <w:rFonts w:ascii="Cambria Math" w:hAnsi="Cambria Math"/>
                        <w:sz w:val="22"/>
                        <w:szCs w:val="22"/>
                      </w:rPr>
                      <m:t>V</m:t>
                    </m:r>
                  </m:e>
                  <m:sub>
                    <m:r>
                      <w:rPr>
                        <w:rFonts w:ascii="Cambria Math" w:hAnsi="Cambria Math"/>
                        <w:sz w:val="22"/>
                        <w:szCs w:val="22"/>
                      </w:rPr>
                      <m:t>ikt</m:t>
                    </m:r>
                  </m:sub>
                </m:sSub>
                <m:r>
                  <w:rPr>
                    <w:rFonts w:ascii="Cambria Math" w:hAnsi="Cambria Math"/>
                    <w:sz w:val="22"/>
                    <w:szCs w:val="22"/>
                  </w:rPr>
                  <m:t>=</m:t>
                </m:r>
                <m:limLow>
                  <m:limLowPr>
                    <m:ctrlPr>
                      <w:rPr>
                        <w:rFonts w:ascii="Cambria Math" w:hAnsi="Cambria Math"/>
                        <w:i/>
                        <w:sz w:val="22"/>
                        <w:szCs w:val="22"/>
                      </w:rPr>
                    </m:ctrlPr>
                  </m:limLowPr>
                  <m:e>
                    <m:groupChr>
                      <m:groupChrPr>
                        <m:ctrlPr>
                          <w:rPr>
                            <w:rFonts w:ascii="Cambria Math" w:hAnsi="Cambria Math"/>
                            <w:i/>
                            <w:sz w:val="22"/>
                            <w:szCs w:val="22"/>
                          </w:rPr>
                        </m:ctrlPr>
                      </m:groupChrPr>
                      <m:e>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Y</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kt</m:t>
                                        </m:r>
                                      </m:sub>
                                    </m:sSub>
                                  </m:den>
                                </m:f>
                              </m:e>
                            </m:d>
                          </m:e>
                        </m:func>
                      </m:e>
                    </m:groupChr>
                  </m:e>
                  <m:lim>
                    <m:r>
                      <w:rPr>
                        <w:rFonts w:ascii="Cambria Math" w:hAnsi="Cambria Math"/>
                        <w:sz w:val="22"/>
                        <w:szCs w:val="22"/>
                      </w:rPr>
                      <m:t>quantity</m:t>
                    </m:r>
                  </m:lim>
                </m:limLow>
                <m:r>
                  <w:rPr>
                    <w:rFonts w:ascii="Cambria Math" w:hAnsi="Cambria Math"/>
                    <w:sz w:val="22"/>
                    <w:szCs w:val="22"/>
                  </w:rPr>
                  <m:t>+</m:t>
                </m:r>
                <m:limLow>
                  <m:limLowPr>
                    <m:ctrlPr>
                      <w:rPr>
                        <w:rFonts w:ascii="Cambria Math" w:hAnsi="Cambria Math"/>
                        <w:i/>
                        <w:sz w:val="22"/>
                        <w:szCs w:val="22"/>
                      </w:rPr>
                    </m:ctrlPr>
                  </m:limLowPr>
                  <m:e>
                    <m:groupChr>
                      <m:groupChrPr>
                        <m:ctrlPr>
                          <w:rPr>
                            <w:rFonts w:ascii="Cambria Math" w:hAnsi="Cambria Math"/>
                            <w:i/>
                            <w:sz w:val="22"/>
                            <w:szCs w:val="22"/>
                          </w:rPr>
                        </m:ctrlPr>
                      </m:groupChrPr>
                      <m:e>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kt</m:t>
                                    </m:r>
                                  </m:sub>
                                </m:sSub>
                                <m:r>
                                  <w:rPr>
                                    <w:rFonts w:ascii="Cambria Math" w:hAnsi="Cambria Math"/>
                                    <w:sz w:val="22"/>
                                    <w:szCs w:val="22"/>
                                  </w:rPr>
                                  <m:t>+ω</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p</m:t>
                                    </m:r>
                                  </m:sup>
                                </m:sSubSup>
                                <m:sSub>
                                  <m:sSubPr>
                                    <m:ctrlPr>
                                      <w:rPr>
                                        <w:rFonts w:ascii="Cambria Math" w:eastAsia="Malgun Gothic" w:hAnsi="Cambria Math"/>
                                        <w:i/>
                                        <w:sz w:val="22"/>
                                        <w:szCs w:val="22"/>
                                      </w:rPr>
                                    </m:ctrlPr>
                                  </m:sSubPr>
                                  <m:e>
                                    <m:r>
                                      <w:rPr>
                                        <w:rFonts w:ascii="Cambria Math" w:eastAsia="Malgun Gothic" w:hAnsi="Cambria Math"/>
                                        <w:sz w:val="22"/>
                                        <w:szCs w:val="22"/>
                                      </w:rPr>
                                      <m:t>z</m:t>
                                    </m:r>
                                  </m:e>
                                  <m:sub>
                                    <m:r>
                                      <w:rPr>
                                        <w:rFonts w:ascii="Cambria Math" w:eastAsia="Malgun Gothic" w:hAnsi="Cambria Math"/>
                                        <w:sz w:val="22"/>
                                        <w:szCs w:val="22"/>
                                      </w:rPr>
                                      <m:t>i</m:t>
                                    </m:r>
                                  </m:sub>
                                </m:sSub>
                              </m:e>
                            </m:d>
                          </m:e>
                        </m:func>
                      </m:e>
                    </m:groupChr>
                  </m:e>
                  <m:lim>
                    <m:r>
                      <w:rPr>
                        <w:rFonts w:ascii="Cambria Math" w:hAnsi="Cambria Math"/>
                        <w:sz w:val="22"/>
                        <w:szCs w:val="22"/>
                      </w:rPr>
                      <m:t>total quality</m:t>
                    </m:r>
                  </m:lim>
                </m:limLow>
                <m:r>
                  <w:rPr>
                    <w:rFonts w:ascii="Cambria Math" w:hAnsi="Cambria Math"/>
                    <w:sz w:val="22"/>
                    <w:szCs w:val="22"/>
                  </w:rPr>
                  <m:t>+</m:t>
                </m:r>
                <m:limLow>
                  <m:limLowPr>
                    <m:ctrlPr>
                      <w:rPr>
                        <w:rFonts w:ascii="Cambria Math" w:hAnsi="Cambria Math"/>
                        <w:i/>
                        <w:sz w:val="22"/>
                        <w:szCs w:val="22"/>
                      </w:rPr>
                    </m:ctrlPr>
                  </m:limLowPr>
                  <m:e>
                    <m:groupChr>
                      <m:groupChrPr>
                        <m:ctrlPr>
                          <w:rPr>
                            <w:rFonts w:ascii="Cambria Math" w:hAnsi="Cambria Math"/>
                            <w:i/>
                            <w:sz w:val="22"/>
                            <w:szCs w:val="22"/>
                          </w:rPr>
                        </m:ctrlPr>
                      </m:groupChrPr>
                      <m:e>
                        <m:r>
                          <w:rPr>
                            <w:rFonts w:ascii="Cambria Math" w:hAnsi="Cambria Math"/>
                            <w:sz w:val="22"/>
                            <w:szCs w:val="22"/>
                          </w:rPr>
                          <m:t>ε</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J</m:t>
                                </m:r>
                                <m:ctrlPr>
                                  <w:rPr>
                                    <w:rFonts w:ascii="Cambria Math" w:eastAsia="Cambria Math" w:hAnsi="Cambria Math"/>
                                    <w:i/>
                                    <w:sz w:val="22"/>
                                    <w:szCs w:val="22"/>
                                  </w:rPr>
                                </m:ctrlPr>
                              </m:e>
                              <m:sub>
                                <m:r>
                                  <w:rPr>
                                    <w:rFonts w:ascii="Cambria Math" w:hAnsi="Cambria Math"/>
                                    <w:sz w:val="22"/>
                                    <w:szCs w:val="22"/>
                                  </w:rPr>
                                  <m:t>kt</m:t>
                                </m:r>
                              </m:sub>
                            </m:sSub>
                          </m:e>
                        </m:func>
                      </m:e>
                    </m:groupChr>
                  </m:e>
                  <m:lim>
                    <m:r>
                      <w:rPr>
                        <w:rFonts w:ascii="Cambria Math" w:hAnsi="Cambria Math"/>
                        <w:sz w:val="22"/>
                        <w:szCs w:val="22"/>
                      </w:rPr>
                      <m:t>size</m:t>
                    </m:r>
                  </m:lim>
                </m:limLow>
              </m:oMath>
            </m:oMathPara>
          </w:p>
        </w:tc>
        <w:tc>
          <w:tcPr>
            <w:tcW w:w="633" w:type="dxa"/>
            <w:vAlign w:val="center"/>
            <w:hideMark/>
          </w:tcPr>
          <w:p w14:paraId="6990C3E0" w14:textId="77777777" w:rsidR="00713A0F" w:rsidRDefault="00713A0F">
            <w:pPr>
              <w:spacing w:after="0" w:line="480" w:lineRule="auto"/>
              <w:jc w:val="center"/>
              <w:rPr>
                <w:sz w:val="22"/>
                <w:szCs w:val="22"/>
              </w:rPr>
            </w:pPr>
            <w:r>
              <w:rPr>
                <w:sz w:val="22"/>
                <w:szCs w:val="22"/>
              </w:rPr>
              <w:t>(</w:t>
            </w:r>
            <w:r>
              <w:rPr>
                <w:sz w:val="22"/>
                <w:szCs w:val="22"/>
                <w:lang w:eastAsia="ko-KR"/>
              </w:rPr>
              <w:t>1</w:t>
            </w:r>
            <w:r>
              <w:rPr>
                <w:sz w:val="22"/>
                <w:szCs w:val="22"/>
              </w:rPr>
              <w:t>)</w:t>
            </w:r>
          </w:p>
        </w:tc>
      </w:tr>
    </w:tbl>
    <w:p w14:paraId="4858FB8B" w14:textId="77777777" w:rsidR="00713A0F" w:rsidRDefault="00713A0F"/>
    <w:tbl>
      <w:tblPr>
        <w:tblW w:w="9510" w:type="dxa"/>
        <w:tblLook w:val="04A0" w:firstRow="1" w:lastRow="0" w:firstColumn="1" w:lastColumn="0" w:noHBand="0" w:noVBand="1"/>
      </w:tblPr>
      <w:tblGrid>
        <w:gridCol w:w="8787"/>
        <w:gridCol w:w="723"/>
      </w:tblGrid>
      <w:tr w:rsidR="00713A0F" w14:paraId="1A37F65C" w14:textId="77777777" w:rsidTr="00713A0F">
        <w:trPr>
          <w:trHeight w:val="862"/>
        </w:trPr>
        <w:tc>
          <w:tcPr>
            <w:tcW w:w="8787" w:type="dxa"/>
            <w:vAlign w:val="center"/>
            <w:hideMark/>
          </w:tcPr>
          <w:p w14:paraId="18B6CD9A" w14:textId="77777777" w:rsidR="00713A0F" w:rsidRDefault="00713A0F">
            <w:pPr>
              <w:spacing w:after="0" w:line="480" w:lineRule="auto"/>
              <w:jc w:val="both"/>
              <w:rPr>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V</m:t>
                        </m:r>
                      </m:e>
                    </m:acc>
                  </m:e>
                  <m:sub>
                    <m:r>
                      <w:rPr>
                        <w:rFonts w:ascii="Cambria Math" w:hAnsi="Cambria Math"/>
                        <w:sz w:val="22"/>
                        <w:szCs w:val="22"/>
                      </w:rPr>
                      <m:t>ikt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ikt</m:t>
                    </m:r>
                  </m:sub>
                </m:sSub>
                <m:r>
                  <w:rPr>
                    <w:rFonts w:ascii="Cambria Math" w:hAnsi="Cambria Math"/>
                    <w:sz w:val="22"/>
                    <w:szCs w:val="22"/>
                  </w:rPr>
                  <m:t>-κ</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b</m:t>
                        </m:r>
                      </m:sup>
                    </m:sSubSup>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ikt</m:t>
                            </m:r>
                          </m:sub>
                        </m:sSub>
                        <m:r>
                          <w:rPr>
                            <w:rFonts w:ascii="Cambria Math" w:hAnsi="Cambria Math"/>
                            <w:sz w:val="22"/>
                            <w:szCs w:val="22"/>
                          </w:rPr>
                          <m:t xml:space="preserve">-κ,    </m:t>
                        </m:r>
                        <m:r>
                          <m:rPr>
                            <m:sty m:val="p"/>
                          </m:rPr>
                          <w:rPr>
                            <w:rFonts w:ascii="Cambria Math" w:hAnsi="Cambria Math"/>
                            <w:sz w:val="22"/>
                            <w:szCs w:val="22"/>
                          </w:rPr>
                          <m:t xml:space="preserve">if </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b</m:t>
                            </m:r>
                          </m:sup>
                        </m:sSubSup>
                        <m:r>
                          <w:rPr>
                            <w:rFonts w:ascii="Cambria Math" w:hAnsi="Cambria Math"/>
                            <w:sz w:val="22"/>
                            <w:szCs w:val="22"/>
                          </w:rPr>
                          <m:t xml:space="preserve">=W  </m:t>
                        </m:r>
                      </m:e>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ikt</m:t>
                            </m:r>
                          </m:sub>
                        </m:sSub>
                        <m:r>
                          <w:rPr>
                            <w:rFonts w:ascii="Cambria Math" w:hAnsi="Cambria Math"/>
                            <w:sz w:val="22"/>
                            <w:szCs w:val="22"/>
                          </w:rPr>
                          <m:t xml:space="preserve">,            </m:t>
                        </m:r>
                        <m:r>
                          <m:rPr>
                            <m:sty m:val="p"/>
                          </m:rPr>
                          <w:rPr>
                            <w:rFonts w:ascii="Cambria Math" w:hAnsi="Cambria Math"/>
                            <w:sz w:val="22"/>
                            <w:szCs w:val="22"/>
                          </w:rPr>
                          <m:t xml:space="preserve">if </m:t>
                        </m:r>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b</m:t>
                            </m:r>
                          </m:sup>
                        </m:sSubSup>
                        <m:r>
                          <w:rPr>
                            <w:rFonts w:ascii="Cambria Math" w:hAnsi="Cambria Math"/>
                            <w:sz w:val="22"/>
                            <w:szCs w:val="22"/>
                          </w:rPr>
                          <m:t xml:space="preserve">=A   </m:t>
                        </m:r>
                      </m:e>
                    </m:eqArr>
                  </m:e>
                </m:d>
              </m:oMath>
            </m:oMathPara>
          </w:p>
        </w:tc>
        <w:tc>
          <w:tcPr>
            <w:tcW w:w="723" w:type="dxa"/>
            <w:vAlign w:val="center"/>
            <w:hideMark/>
          </w:tcPr>
          <w:p w14:paraId="37FA5913" w14:textId="77777777" w:rsidR="00713A0F" w:rsidRDefault="00713A0F">
            <w:pPr>
              <w:spacing w:after="0" w:line="480" w:lineRule="auto"/>
              <w:jc w:val="center"/>
              <w:rPr>
                <w:sz w:val="22"/>
                <w:szCs w:val="22"/>
              </w:rPr>
            </w:pPr>
            <w:r>
              <w:rPr>
                <w:sz w:val="22"/>
                <w:szCs w:val="22"/>
              </w:rPr>
              <w:t>(2)</w:t>
            </w:r>
          </w:p>
        </w:tc>
      </w:tr>
    </w:tbl>
    <w:p w14:paraId="6FF2F3B2" w14:textId="77777777" w:rsidR="00713A0F" w:rsidRDefault="00713A0F"/>
    <w:tbl>
      <w:tblPr>
        <w:tblW w:w="9510" w:type="dxa"/>
        <w:tblLook w:val="04A0" w:firstRow="1" w:lastRow="0" w:firstColumn="1" w:lastColumn="0" w:noHBand="0" w:noVBand="1"/>
      </w:tblPr>
      <w:tblGrid>
        <w:gridCol w:w="8877"/>
        <w:gridCol w:w="633"/>
      </w:tblGrid>
      <w:tr w:rsidR="00713A0F" w14:paraId="1BA86F81" w14:textId="77777777" w:rsidTr="00713A0F">
        <w:trPr>
          <w:trHeight w:val="862"/>
        </w:trPr>
        <w:tc>
          <w:tcPr>
            <w:tcW w:w="8877" w:type="dxa"/>
            <w:vAlign w:val="center"/>
            <w:hideMark/>
          </w:tcPr>
          <w:p w14:paraId="6BC32358" w14:textId="77777777" w:rsidR="00713A0F" w:rsidRDefault="00713A0F">
            <w:pPr>
              <w:spacing w:after="0" w:line="480" w:lineRule="auto"/>
              <w:ind w:firstLine="720"/>
              <w:rPr>
                <w:sz w:val="22"/>
                <w:szCs w:val="22"/>
              </w:rPr>
            </w:pPr>
            <m:oMathPara>
              <m:oMath>
                <m:acc>
                  <m:accPr>
                    <m:chr m:val="̅"/>
                    <m:ctrlPr>
                      <w:rPr>
                        <w:rFonts w:ascii="Cambria Math" w:hAnsi="Cambria Math"/>
                        <w:i/>
                        <w:sz w:val="22"/>
                        <w:szCs w:val="22"/>
                      </w:rPr>
                    </m:ctrlPr>
                  </m:accPr>
                  <m:e>
                    <m:sSub>
                      <m:sSubPr>
                        <m:ctrlPr>
                          <w:rPr>
                            <w:rFonts w:ascii="Cambria Math" w:eastAsia="Malgun Gothic" w:hAnsi="Cambria Math"/>
                            <w:i/>
                            <w:sz w:val="22"/>
                            <w:szCs w:val="22"/>
                          </w:rPr>
                        </m:ctrlPr>
                      </m:sSubPr>
                      <m:e>
                        <m:r>
                          <w:rPr>
                            <w:rFonts w:ascii="Cambria Math" w:eastAsia="Malgun Gothic" w:hAnsi="Cambria Math"/>
                            <w:sz w:val="22"/>
                            <w:szCs w:val="22"/>
                          </w:rPr>
                          <m:t>ζ</m:t>
                        </m:r>
                      </m:e>
                      <m:sub>
                        <m:r>
                          <w:rPr>
                            <w:rFonts w:ascii="Cambria Math" w:eastAsia="Malgun Gothic" w:hAnsi="Cambria Math"/>
                            <w:sz w:val="22"/>
                            <w:szCs w:val="22"/>
                          </w:rPr>
                          <m:t>2t</m:t>
                        </m:r>
                      </m:sub>
                    </m:sSub>
                  </m:e>
                </m:acc>
                <m:r>
                  <w:rPr>
                    <w:rFonts w:ascii="Cambria Math" w:hAnsi="Cambria Math"/>
                    <w:sz w:val="22"/>
                    <w:szCs w:val="22"/>
                  </w:rPr>
                  <m:t>≡</m:t>
                </m:r>
                <m:sSub>
                  <m:sSubPr>
                    <m:ctrlPr>
                      <w:rPr>
                        <w:rFonts w:ascii="Cambria Math" w:hAnsi="Cambria Math"/>
                        <w:i/>
                        <w:color w:val="000000" w:themeColor="text1"/>
                        <w:sz w:val="22"/>
                        <w:szCs w:val="22"/>
                      </w:rPr>
                    </m:ctrlPr>
                  </m:sSubPr>
                  <m:e>
                    <m:d>
                      <m:dPr>
                        <m:begChr m:val=""/>
                        <m:endChr m:val="|"/>
                        <m:ctrlPr>
                          <w:rPr>
                            <w:rFonts w:ascii="Cambria Math" w:hAnsi="Cambria Math"/>
                            <w:i/>
                            <w:color w:val="000000" w:themeColor="text1"/>
                            <w:sz w:val="22"/>
                            <w:szCs w:val="22"/>
                          </w:rPr>
                        </m:ctrlPr>
                      </m:dPr>
                      <m:e>
                        <m:d>
                          <m:dPr>
                            <m:ctrlPr>
                              <w:rPr>
                                <w:rFonts w:ascii="Cambria Math" w:hAnsi="Cambria Math"/>
                                <w:i/>
                                <w:color w:val="000000" w:themeColor="text1"/>
                                <w:sz w:val="22"/>
                                <w:szCs w:val="22"/>
                              </w:rPr>
                            </m:ctrlPr>
                          </m:dPr>
                          <m:e>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2t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1t</m:t>
                                    </m:r>
                                  </m:sub>
                                </m:sSub>
                              </m:num>
                              <m:den>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1t</m:t>
                                    </m:r>
                                  </m:sub>
                                </m:sSub>
                              </m:den>
                            </m:f>
                          </m:e>
                        </m:d>
                      </m:e>
                    </m:d>
                  </m:e>
                  <m:sub>
                    <m:sSub>
                      <m:sSubPr>
                        <m:ctrlPr>
                          <w:rPr>
                            <w:rFonts w:ascii="Cambria Math" w:eastAsia="Malgun Gothic" w:hAnsi="Cambria Math"/>
                            <w:i/>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1t</m:t>
                        </m:r>
                      </m:sub>
                    </m:sSub>
                    <m:d>
                      <m:dPr>
                        <m:ctrlPr>
                          <w:rPr>
                            <w:rFonts w:ascii="Cambria Math" w:eastAsia="Malgun Gothic" w:hAnsi="Cambria Math"/>
                            <w:i/>
                            <w:color w:val="000000" w:themeColor="text1"/>
                            <w:sz w:val="22"/>
                            <w:szCs w:val="22"/>
                          </w:rPr>
                        </m:ctrlPr>
                      </m:dPr>
                      <m:e>
                        <m:sSubSup>
                          <m:sSubSupPr>
                            <m:ctrlPr>
                              <w:rPr>
                                <w:rFonts w:ascii="Cambria Math" w:eastAsia="Malgun Gothic" w:hAnsi="Cambria Math"/>
                                <w:i/>
                                <w:color w:val="000000" w:themeColor="text1"/>
                                <w:sz w:val="22"/>
                                <w:szCs w:val="22"/>
                              </w:rPr>
                            </m:ctrlPr>
                          </m:sSubSupPr>
                          <m:e>
                            <m:r>
                              <w:rPr>
                                <w:rFonts w:ascii="Cambria Math" w:eastAsia="Malgun Gothic" w:hAnsi="Cambria Math"/>
                                <w:color w:val="000000" w:themeColor="text1"/>
                                <w:sz w:val="22"/>
                                <w:szCs w:val="22"/>
                              </w:rPr>
                              <m:t>σ</m:t>
                            </m:r>
                          </m:e>
                          <m:sub>
                            <m:r>
                              <w:rPr>
                                <w:rFonts w:ascii="Cambria Math" w:eastAsia="Malgun Gothic" w:hAnsi="Cambria Math"/>
                                <w:color w:val="000000" w:themeColor="text1"/>
                                <w:sz w:val="22"/>
                                <w:szCs w:val="22"/>
                              </w:rPr>
                              <m:t>1</m:t>
                            </m:r>
                          </m:sub>
                          <m:sup>
                            <m:r>
                              <w:rPr>
                                <w:rFonts w:ascii="Cambria Math" w:eastAsia="Malgun Gothic" w:hAnsi="Cambria Math"/>
                                <w:color w:val="000000" w:themeColor="text1"/>
                                <w:sz w:val="22"/>
                                <w:szCs w:val="22"/>
                              </w:rPr>
                              <m:t>p</m:t>
                            </m:r>
                          </m:sup>
                        </m:sSubSup>
                        <m:r>
                          <w:rPr>
                            <w:rFonts w:ascii="Cambria Math" w:eastAsia="Malgun Gothic" w:hAnsi="Cambria Math"/>
                            <w:color w:val="000000" w:themeColor="text1"/>
                            <w:sz w:val="22"/>
                            <w:szCs w:val="22"/>
                          </w:rPr>
                          <m:t>=0</m:t>
                        </m:r>
                      </m:e>
                    </m:d>
                    <m:r>
                      <w:rPr>
                        <w:rFonts w:ascii="Cambria Math" w:eastAsia="Malgun Gothic" w:hAnsi="Cambria Math"/>
                        <w:color w:val="000000" w:themeColor="text1"/>
                        <w:sz w:val="22"/>
                        <w:szCs w:val="22"/>
                      </w:rPr>
                      <m:t>=</m:t>
                    </m:r>
                    <m:sSub>
                      <m:sSubPr>
                        <m:ctrlPr>
                          <w:rPr>
                            <w:rFonts w:ascii="Cambria Math" w:eastAsia="Malgun Gothic" w:hAnsi="Cambria Math"/>
                            <w:i/>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2t</m:t>
                        </m:r>
                      </m:sub>
                    </m:sSub>
                    <m:d>
                      <m:dPr>
                        <m:ctrlPr>
                          <w:rPr>
                            <w:rFonts w:ascii="Cambria Math" w:eastAsia="Malgun Gothic" w:hAnsi="Cambria Math"/>
                            <w:i/>
                            <w:color w:val="000000" w:themeColor="text1"/>
                            <w:sz w:val="22"/>
                            <w:szCs w:val="22"/>
                          </w:rPr>
                        </m:ctrlPr>
                      </m:dPr>
                      <m:e>
                        <m:sSubSup>
                          <m:sSubSupPr>
                            <m:ctrlPr>
                              <w:rPr>
                                <w:rFonts w:ascii="Cambria Math" w:eastAsia="Malgun Gothic" w:hAnsi="Cambria Math"/>
                                <w:i/>
                                <w:color w:val="000000" w:themeColor="text1"/>
                                <w:sz w:val="22"/>
                                <w:szCs w:val="22"/>
                              </w:rPr>
                            </m:ctrlPr>
                          </m:sSubSupPr>
                          <m:e>
                            <m:r>
                              <w:rPr>
                                <w:rFonts w:ascii="Cambria Math" w:eastAsia="Malgun Gothic" w:hAnsi="Cambria Math"/>
                                <w:color w:val="000000" w:themeColor="text1"/>
                                <w:sz w:val="22"/>
                                <w:szCs w:val="22"/>
                              </w:rPr>
                              <m:t>σ</m:t>
                            </m:r>
                          </m:e>
                          <m:sub>
                            <m:r>
                              <w:rPr>
                                <w:rFonts w:ascii="Cambria Math" w:eastAsia="Malgun Gothic" w:hAnsi="Cambria Math"/>
                                <w:color w:val="000000" w:themeColor="text1"/>
                                <w:sz w:val="22"/>
                                <w:szCs w:val="22"/>
                              </w:rPr>
                              <m:t>2</m:t>
                            </m:r>
                          </m:sub>
                          <m:sup>
                            <m:r>
                              <w:rPr>
                                <w:rFonts w:ascii="Cambria Math" w:eastAsia="Malgun Gothic" w:hAnsi="Cambria Math"/>
                                <w:color w:val="000000" w:themeColor="text1"/>
                                <w:sz w:val="22"/>
                                <w:szCs w:val="22"/>
                              </w:rPr>
                              <m:t>p</m:t>
                            </m:r>
                          </m:sup>
                        </m:sSubSup>
                        <m:r>
                          <w:rPr>
                            <w:rFonts w:ascii="Cambria Math" w:eastAsia="Malgun Gothic" w:hAnsi="Cambria Math"/>
                            <w:color w:val="000000" w:themeColor="text1"/>
                            <w:sz w:val="22"/>
                            <w:szCs w:val="22"/>
                          </w:rPr>
                          <m:t>=1</m:t>
                        </m:r>
                      </m:e>
                    </m:d>
                  </m:sub>
                </m:sSub>
                <m:r>
                  <w:rPr>
                    <w:rFonts w:ascii="Cambria Math" w:hAnsi="Cambria Math"/>
                    <w:sz w:val="22"/>
                    <w:szCs w:val="22"/>
                  </w:rPr>
                  <m:t>=</m:t>
                </m:r>
                <m:d>
                  <m:dPr>
                    <m:ctrlPr>
                      <w:rPr>
                        <w:rFonts w:ascii="Cambria Math" w:eastAsia="Malgun Gothic" w:hAnsi="Cambria Math"/>
                        <w:i/>
                        <w:sz w:val="22"/>
                        <w:szCs w:val="22"/>
                      </w:rPr>
                    </m:ctrlPr>
                  </m:dPr>
                  <m:e>
                    <m:f>
                      <m:fPr>
                        <m:ctrlPr>
                          <w:rPr>
                            <w:rFonts w:ascii="Cambria Math" w:eastAsia="Malgun Gothic" w:hAnsi="Cambria Math"/>
                            <w:i/>
                            <w:sz w:val="22"/>
                            <w:szCs w:val="22"/>
                          </w:rPr>
                        </m:ctrlPr>
                      </m:fPr>
                      <m:num>
                        <m:sSub>
                          <m:sSubPr>
                            <m:ctrlPr>
                              <w:rPr>
                                <w:rFonts w:ascii="Cambria Math" w:eastAsia="Malgun Gothic" w:hAnsi="Cambria Math"/>
                                <w:i/>
                                <w:sz w:val="22"/>
                                <w:szCs w:val="22"/>
                              </w:rPr>
                            </m:ctrlPr>
                          </m:sSubPr>
                          <m:e>
                            <m:r>
                              <w:rPr>
                                <w:rFonts w:ascii="Cambria Math" w:hAnsi="Cambria Math"/>
                                <w:sz w:val="22"/>
                                <w:szCs w:val="22"/>
                              </w:rPr>
                              <m:t>u</m:t>
                            </m:r>
                          </m:e>
                          <m:sub>
                            <m:r>
                              <w:rPr>
                                <w:rFonts w:ascii="Cambria Math" w:hAnsi="Cambria Math"/>
                                <w:sz w:val="22"/>
                                <w:szCs w:val="22"/>
                              </w:rPr>
                              <m:t>2</m:t>
                            </m:r>
                          </m:sub>
                        </m:sSub>
                        <m:r>
                          <w:rPr>
                            <w:rFonts w:ascii="Cambria Math" w:hAnsi="Cambria Math"/>
                            <w:sz w:val="22"/>
                            <w:szCs w:val="22"/>
                          </w:rPr>
                          <m:t>+ωq</m:t>
                        </m:r>
                      </m:num>
                      <m:den>
                        <m:sSub>
                          <m:sSubPr>
                            <m:ctrlPr>
                              <w:rPr>
                                <w:rFonts w:ascii="Cambria Math" w:eastAsia="Malgun Gothic" w:hAnsi="Cambria Math"/>
                                <w:i/>
                                <w:sz w:val="22"/>
                                <w:szCs w:val="22"/>
                              </w:rPr>
                            </m:ctrlPr>
                          </m:sSubPr>
                          <m:e>
                            <m:r>
                              <w:rPr>
                                <w:rFonts w:ascii="Cambria Math" w:hAnsi="Cambria Math"/>
                                <w:sz w:val="22"/>
                                <w:szCs w:val="22"/>
                              </w:rPr>
                              <m:t>u</m:t>
                            </m:r>
                          </m:e>
                          <m:sub>
                            <m:r>
                              <w:rPr>
                                <w:rFonts w:ascii="Cambria Math" w:hAnsi="Cambria Math"/>
                                <w:sz w:val="22"/>
                                <w:szCs w:val="22"/>
                              </w:rPr>
                              <m:t>1</m:t>
                            </m:r>
                          </m:sub>
                        </m:sSub>
                      </m:den>
                    </m:f>
                  </m:e>
                </m:d>
                <m:sSup>
                  <m:sSupPr>
                    <m:ctrlPr>
                      <w:rPr>
                        <w:rFonts w:ascii="Cambria Math" w:eastAsia="Malgun Gothic" w:hAnsi="Cambria Math"/>
                        <w:i/>
                        <w:sz w:val="22"/>
                        <w:szCs w:val="22"/>
                      </w:rPr>
                    </m:ctrlPr>
                  </m:sSupPr>
                  <m:e>
                    <m:d>
                      <m:dPr>
                        <m:ctrlPr>
                          <w:rPr>
                            <w:rFonts w:ascii="Cambria Math" w:eastAsia="Malgun Gothic" w:hAnsi="Cambria Math"/>
                            <w:i/>
                            <w:sz w:val="22"/>
                            <w:szCs w:val="22"/>
                          </w:rPr>
                        </m:ctrlPr>
                      </m:dPr>
                      <m:e>
                        <m:f>
                          <m:fPr>
                            <m:ctrlPr>
                              <w:rPr>
                                <w:rFonts w:ascii="Cambria Math" w:eastAsia="Malgun Gothic" w:hAnsi="Cambria Math"/>
                                <w:i/>
                                <w:sz w:val="22"/>
                                <w:szCs w:val="22"/>
                              </w:rPr>
                            </m:ctrlPr>
                          </m:fPr>
                          <m:num>
                            <m:sSub>
                              <m:sSubPr>
                                <m:ctrlPr>
                                  <w:rPr>
                                    <w:rFonts w:ascii="Cambria Math" w:eastAsia="Malgun Gothic" w:hAnsi="Cambria Math"/>
                                    <w:i/>
                                    <w:sz w:val="22"/>
                                    <w:szCs w:val="22"/>
                                  </w:rPr>
                                </m:ctrlPr>
                              </m:sSubPr>
                              <m:e>
                                <m:r>
                                  <w:rPr>
                                    <w:rFonts w:ascii="Cambria Math" w:hAnsi="Cambria Math"/>
                                    <w:sz w:val="22"/>
                                    <w:szCs w:val="22"/>
                                  </w:rPr>
                                  <m:t>J</m:t>
                                </m:r>
                              </m:e>
                              <m:sub>
                                <m:r>
                                  <w:rPr>
                                    <w:rFonts w:ascii="Cambria Math" w:hAnsi="Cambria Math"/>
                                    <w:sz w:val="22"/>
                                    <w:szCs w:val="22"/>
                                  </w:rPr>
                                  <m:t>2t</m:t>
                                </m:r>
                              </m:sub>
                            </m:sSub>
                          </m:num>
                          <m:den>
                            <m:sSub>
                              <m:sSubPr>
                                <m:ctrlPr>
                                  <w:rPr>
                                    <w:rFonts w:ascii="Cambria Math" w:eastAsia="Malgun Gothic" w:hAnsi="Cambria Math"/>
                                    <w:i/>
                                    <w:sz w:val="22"/>
                                    <w:szCs w:val="22"/>
                                  </w:rPr>
                                </m:ctrlPr>
                              </m:sSubPr>
                              <m:e>
                                <m:r>
                                  <w:rPr>
                                    <w:rFonts w:ascii="Cambria Math" w:hAnsi="Cambria Math"/>
                                    <w:sz w:val="22"/>
                                    <w:szCs w:val="22"/>
                                  </w:rPr>
                                  <m:t>J</m:t>
                                </m:r>
                              </m:e>
                              <m:sub>
                                <m:r>
                                  <w:rPr>
                                    <w:rFonts w:ascii="Cambria Math" w:hAnsi="Cambria Math"/>
                                    <w:sz w:val="22"/>
                                    <w:szCs w:val="22"/>
                                  </w:rPr>
                                  <m:t>1t</m:t>
                                </m:r>
                              </m:sub>
                            </m:sSub>
                          </m:den>
                        </m:f>
                      </m:e>
                    </m:d>
                  </m:e>
                  <m:sup>
                    <m:r>
                      <w:rPr>
                        <w:rFonts w:ascii="Cambria Math" w:hAnsi="Cambria Math"/>
                        <w:sz w:val="22"/>
                        <w:szCs w:val="22"/>
                      </w:rPr>
                      <m:t>ε</m:t>
                    </m:r>
                  </m:sup>
                </m:sSup>
                <m:r>
                  <w:rPr>
                    <w:rFonts w:ascii="Cambria Math" w:hAnsi="Cambria Math"/>
                    <w:sz w:val="22"/>
                    <w:szCs w:val="22"/>
                  </w:rPr>
                  <m:t>-1</m:t>
                </m:r>
              </m:oMath>
            </m:oMathPara>
          </w:p>
        </w:tc>
        <w:tc>
          <w:tcPr>
            <w:tcW w:w="633" w:type="dxa"/>
            <w:vAlign w:val="center"/>
            <w:hideMark/>
          </w:tcPr>
          <w:p w14:paraId="382FC514" w14:textId="77777777" w:rsidR="00713A0F" w:rsidRDefault="00713A0F">
            <w:pPr>
              <w:spacing w:after="0" w:line="480" w:lineRule="auto"/>
              <w:jc w:val="center"/>
              <w:rPr>
                <w:sz w:val="22"/>
                <w:szCs w:val="22"/>
              </w:rPr>
            </w:pPr>
            <w:r>
              <w:rPr>
                <w:sz w:val="22"/>
                <w:szCs w:val="22"/>
              </w:rPr>
              <w:t>(3)</w:t>
            </w:r>
          </w:p>
        </w:tc>
      </w:tr>
    </w:tbl>
    <w:p w14:paraId="27CA562C" w14:textId="77777777" w:rsidR="00713A0F" w:rsidRDefault="00713A0F"/>
    <w:tbl>
      <w:tblPr>
        <w:tblW w:w="9510" w:type="dxa"/>
        <w:tblLook w:val="04A0" w:firstRow="1" w:lastRow="0" w:firstColumn="1" w:lastColumn="0" w:noHBand="0" w:noVBand="1"/>
      </w:tblPr>
      <w:tblGrid>
        <w:gridCol w:w="8834"/>
        <w:gridCol w:w="676"/>
      </w:tblGrid>
      <w:tr w:rsidR="00713A0F" w14:paraId="77586000" w14:textId="77777777" w:rsidTr="00713A0F">
        <w:trPr>
          <w:trHeight w:val="862"/>
        </w:trPr>
        <w:tc>
          <w:tcPr>
            <w:tcW w:w="8834" w:type="dxa"/>
            <w:vAlign w:val="center"/>
            <w:hideMark/>
          </w:tcPr>
          <w:p w14:paraId="1913F4BB" w14:textId="77777777" w:rsidR="00713A0F" w:rsidRDefault="00713A0F">
            <w:pPr>
              <w:spacing w:after="0" w:line="480" w:lineRule="auto"/>
              <w:jc w:val="both"/>
              <w:rPr>
                <w:sz w:val="22"/>
                <w:szCs w:val="22"/>
              </w:rPr>
            </w:pPr>
            <m:oMathPara>
              <m:oMath>
                <m:sSub>
                  <m:sSubPr>
                    <m:ctrlPr>
                      <w:rPr>
                        <w:rFonts w:ascii="Cambria Math" w:eastAsia="PMingLiU" w:hAnsi="Cambria Math"/>
                        <w:i/>
                        <w:sz w:val="22"/>
                        <w:szCs w:val="22"/>
                      </w:rPr>
                    </m:ctrlPr>
                  </m:sSubPr>
                  <m:e>
                    <m:r>
                      <w:rPr>
                        <w:rFonts w:ascii="Cambria Math" w:eastAsia="PMingLiU" w:hAnsi="Cambria Math"/>
                        <w:sz w:val="22"/>
                        <w:szCs w:val="22"/>
                      </w:rPr>
                      <m:t>s</m:t>
                    </m:r>
                  </m:e>
                  <m:sub>
                    <m:r>
                      <w:rPr>
                        <w:rFonts w:ascii="Cambria Math" w:eastAsia="PMingLiU" w:hAnsi="Cambria Math"/>
                        <w:sz w:val="22"/>
                        <w:szCs w:val="22"/>
                      </w:rPr>
                      <m:t>i1t</m:t>
                    </m:r>
                  </m:sub>
                </m:sSub>
                <m:r>
                  <w:rPr>
                    <w:rFonts w:ascii="Cambria Math" w:eastAsia="PMingLiU" w:hAnsi="Cambria Math"/>
                    <w:sz w:val="22"/>
                    <w:szCs w:val="22"/>
                  </w:rPr>
                  <m:t>=</m:t>
                </m:r>
                <m:f>
                  <m:fPr>
                    <m:ctrlPr>
                      <w:rPr>
                        <w:rFonts w:ascii="Cambria Math" w:eastAsia="PMingLiU" w:hAnsi="Cambria Math"/>
                        <w:i/>
                        <w:sz w:val="22"/>
                        <w:szCs w:val="22"/>
                      </w:rPr>
                    </m:ctrlPr>
                  </m:fPr>
                  <m:num>
                    <m:r>
                      <w:rPr>
                        <w:rFonts w:ascii="Cambria Math" w:eastAsia="PMingLiU" w:hAnsi="Cambria Math"/>
                        <w:sz w:val="22"/>
                        <w:szCs w:val="22"/>
                      </w:rPr>
                      <m:t>1</m:t>
                    </m:r>
                  </m:num>
                  <m:den>
                    <m:r>
                      <w:rPr>
                        <w:rFonts w:ascii="Cambria Math" w:eastAsia="PMingLiU" w:hAnsi="Cambria Math"/>
                        <w:sz w:val="22"/>
                        <w:szCs w:val="22"/>
                      </w:rPr>
                      <m:t>1+</m:t>
                    </m:r>
                    <m:sSup>
                      <m:sSupPr>
                        <m:ctrlPr>
                          <w:rPr>
                            <w:rFonts w:ascii="Cambria Math" w:eastAsia="PMingLiU" w:hAnsi="Cambria Math"/>
                            <w:i/>
                            <w:sz w:val="22"/>
                            <w:szCs w:val="22"/>
                          </w:rPr>
                        </m:ctrlPr>
                      </m:sSupPr>
                      <m:e>
                        <m:d>
                          <m:dPr>
                            <m:begChr m:val="{"/>
                            <m:endChr m:val="}"/>
                            <m:ctrlPr>
                              <w:rPr>
                                <w:rFonts w:ascii="Cambria Math" w:eastAsia="PMingLiU" w:hAnsi="Cambria Math"/>
                                <w:i/>
                                <w:sz w:val="22"/>
                                <w:szCs w:val="22"/>
                              </w:rPr>
                            </m:ctrlPr>
                          </m:dPr>
                          <m:e>
                            <m:d>
                              <m:dPr>
                                <m:ctrlPr>
                                  <w:rPr>
                                    <w:rFonts w:ascii="Cambria Math" w:eastAsia="PMingLiU" w:hAnsi="Cambria Math"/>
                                    <w:i/>
                                    <w:sz w:val="22"/>
                                    <w:szCs w:val="22"/>
                                  </w:rPr>
                                </m:ctrlPr>
                              </m:dPr>
                              <m:e>
                                <m:f>
                                  <m:fPr>
                                    <m:ctrlPr>
                                      <w:rPr>
                                        <w:rFonts w:ascii="Cambria Math" w:eastAsia="PMingLiU" w:hAnsi="Cambria Math"/>
                                        <w:i/>
                                        <w:sz w:val="22"/>
                                        <w:szCs w:val="22"/>
                                      </w:rPr>
                                    </m:ctrlPr>
                                  </m:fPr>
                                  <m:num>
                                    <m:sSub>
                                      <m:sSubPr>
                                        <m:ctrlPr>
                                          <w:rPr>
                                            <w:rFonts w:ascii="Cambria Math" w:eastAsia="PMingLiU" w:hAnsi="Cambria Math"/>
                                            <w:i/>
                                            <w:sz w:val="22"/>
                                            <w:szCs w:val="22"/>
                                          </w:rPr>
                                        </m:ctrlPr>
                                      </m:sSubPr>
                                      <m:e>
                                        <m:r>
                                          <w:rPr>
                                            <w:rFonts w:ascii="Cambria Math" w:eastAsia="PMingLiU" w:hAnsi="Cambria Math"/>
                                            <w:sz w:val="22"/>
                                            <w:szCs w:val="22"/>
                                          </w:rPr>
                                          <m:t>Q</m:t>
                                        </m:r>
                                      </m:e>
                                      <m:sub>
                                        <m:r>
                                          <w:rPr>
                                            <w:rFonts w:ascii="Cambria Math" w:eastAsia="PMingLiU" w:hAnsi="Cambria Math"/>
                                            <w:sz w:val="22"/>
                                            <w:szCs w:val="22"/>
                                          </w:rPr>
                                          <m:t>it</m:t>
                                        </m:r>
                                      </m:sub>
                                    </m:sSub>
                                  </m:num>
                                  <m:den>
                                    <m:sSub>
                                      <m:sSubPr>
                                        <m:ctrlPr>
                                          <w:rPr>
                                            <w:rFonts w:ascii="Cambria Math" w:eastAsia="PMingLiU" w:hAnsi="Cambria Math"/>
                                            <w:i/>
                                            <w:sz w:val="22"/>
                                            <w:szCs w:val="22"/>
                                          </w:rPr>
                                        </m:ctrlPr>
                                      </m:sSubPr>
                                      <m:e>
                                        <m:r>
                                          <w:rPr>
                                            <w:rFonts w:ascii="Cambria Math" w:eastAsia="PMingLiU" w:hAnsi="Cambria Math"/>
                                            <w:sz w:val="22"/>
                                            <w:szCs w:val="22"/>
                                          </w:rPr>
                                          <m:t>P</m:t>
                                        </m:r>
                                      </m:e>
                                      <m:sub>
                                        <m:r>
                                          <w:rPr>
                                            <w:rFonts w:ascii="Cambria Math" w:eastAsia="PMingLiU" w:hAnsi="Cambria Math"/>
                                            <w:sz w:val="22"/>
                                            <w:szCs w:val="22"/>
                                          </w:rPr>
                                          <m:t>t</m:t>
                                        </m:r>
                                      </m:sub>
                                    </m:sSub>
                                  </m:den>
                                </m:f>
                              </m:e>
                            </m:d>
                            <m:sSubSup>
                              <m:sSubSupPr>
                                <m:ctrlPr>
                                  <w:rPr>
                                    <w:rFonts w:ascii="Cambria Math" w:eastAsia="PMingLiU" w:hAnsi="Cambria Math"/>
                                    <w:i/>
                                    <w:sz w:val="22"/>
                                    <w:szCs w:val="22"/>
                                  </w:rPr>
                                </m:ctrlPr>
                              </m:sSubSupPr>
                              <m:e>
                                <m:r>
                                  <w:rPr>
                                    <w:rFonts w:ascii="Cambria Math" w:eastAsia="PMingLiU" w:hAnsi="Cambria Math"/>
                                    <w:sz w:val="22"/>
                                    <w:szCs w:val="22"/>
                                  </w:rPr>
                                  <m:t>J</m:t>
                                </m:r>
                              </m:e>
                              <m:sub>
                                <m:r>
                                  <w:rPr>
                                    <w:rFonts w:ascii="Cambria Math" w:eastAsia="PMingLiU" w:hAnsi="Cambria Math"/>
                                    <w:sz w:val="22"/>
                                    <w:szCs w:val="22"/>
                                  </w:rPr>
                                  <m:t>t</m:t>
                                </m:r>
                              </m:sub>
                              <m:sup>
                                <m:r>
                                  <w:rPr>
                                    <w:rFonts w:ascii="Cambria Math" w:eastAsia="PMingLiU" w:hAnsi="Cambria Math"/>
                                    <w:sz w:val="22"/>
                                    <w:szCs w:val="22"/>
                                  </w:rPr>
                                  <m:t>ε</m:t>
                                </m:r>
                              </m:sup>
                            </m:sSubSup>
                          </m:e>
                        </m:d>
                      </m:e>
                      <m:sup>
                        <m:r>
                          <w:rPr>
                            <w:rFonts w:ascii="Cambria Math" w:eastAsia="PMingLiU" w:hAnsi="Cambria Math"/>
                            <w:sz w:val="22"/>
                            <w:szCs w:val="22"/>
                          </w:rPr>
                          <m:t>-1</m:t>
                        </m:r>
                      </m:sup>
                    </m:sSup>
                  </m:den>
                </m:f>
              </m:oMath>
            </m:oMathPara>
          </w:p>
          <w:p w14:paraId="2DA05E4F" w14:textId="77777777" w:rsidR="00713A0F" w:rsidRDefault="00713A0F">
            <w:pPr>
              <w:spacing w:after="0" w:line="480" w:lineRule="auto"/>
              <w:jc w:val="both"/>
              <w:rPr>
                <w:rFonts w:ascii="Cambria Math" w:eastAsia="PMingLiU" w:hAnsi="Cambria Math"/>
                <w:sz w:val="22"/>
                <w:szCs w:val="22"/>
                <w:oMath/>
              </w:rPr>
            </w:pPr>
            <m:oMathPara>
              <m:oMath>
                <m:sSub>
                  <m:sSubPr>
                    <m:ctrlPr>
                      <w:rPr>
                        <w:rFonts w:ascii="Cambria Math" w:eastAsia="PMingLiU" w:hAnsi="Cambria Math"/>
                        <w:i/>
                        <w:sz w:val="22"/>
                        <w:szCs w:val="22"/>
                      </w:rPr>
                    </m:ctrlPr>
                  </m:sSubPr>
                  <m:e>
                    <m:r>
                      <w:rPr>
                        <w:rFonts w:ascii="Cambria Math" w:eastAsia="PMingLiU" w:hAnsi="Cambria Math"/>
                        <w:sz w:val="22"/>
                        <w:szCs w:val="22"/>
                      </w:rPr>
                      <m:t>s</m:t>
                    </m:r>
                  </m:e>
                  <m:sub>
                    <m:r>
                      <w:rPr>
                        <w:rFonts w:ascii="Cambria Math" w:eastAsia="PMingLiU" w:hAnsi="Cambria Math"/>
                        <w:sz w:val="22"/>
                        <w:szCs w:val="22"/>
                      </w:rPr>
                      <m:t>i2t</m:t>
                    </m:r>
                  </m:sub>
                </m:sSub>
                <m:r>
                  <m:rPr>
                    <m:aln/>
                  </m:rPr>
                  <w:rPr>
                    <w:rFonts w:ascii="Cambria Math" w:eastAsia="PMingLiU" w:hAnsi="Cambria Math"/>
                    <w:sz w:val="22"/>
                    <w:szCs w:val="22"/>
                  </w:rPr>
                  <m:t>=</m:t>
                </m:r>
                <m:f>
                  <m:fPr>
                    <m:ctrlPr>
                      <w:rPr>
                        <w:rFonts w:ascii="Cambria Math" w:hAnsi="Cambria Math"/>
                        <w:i/>
                        <w:sz w:val="22"/>
                        <w:szCs w:val="22"/>
                      </w:rPr>
                    </m:ctrlPr>
                  </m:fPr>
                  <m:num>
                    <m:r>
                      <w:rPr>
                        <w:rFonts w:ascii="Cambria Math" w:hAnsi="Cambria Math"/>
                        <w:sz w:val="22"/>
                        <w:szCs w:val="22"/>
                      </w:rPr>
                      <m:t>1</m:t>
                    </m:r>
                    <m:ctrlPr>
                      <w:rPr>
                        <w:rFonts w:ascii="Cambria Math" w:eastAsia="PMingLiU" w:hAnsi="Cambria Math"/>
                        <w:i/>
                        <w:sz w:val="22"/>
                        <w:szCs w:val="22"/>
                      </w:rPr>
                    </m:ctrlPr>
                  </m:num>
                  <m:den>
                    <m:r>
                      <w:rPr>
                        <w:rFonts w:ascii="Cambria Math" w:eastAsia="PMingLiU" w:hAnsi="Cambria Math"/>
                        <w:sz w:val="22"/>
                        <w:szCs w:val="22"/>
                      </w:rPr>
                      <m:t>1+</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it</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m:t>
                                </m:r>
                              </m:sub>
                            </m:sSub>
                          </m:den>
                        </m:f>
                      </m:e>
                    </m:d>
                    <m:sSubSup>
                      <m:sSubSupPr>
                        <m:ctrlPr>
                          <w:rPr>
                            <w:rFonts w:ascii="Cambria Math" w:hAnsi="Cambria Math"/>
                            <w:i/>
                            <w:sz w:val="22"/>
                            <w:szCs w:val="22"/>
                          </w:rPr>
                        </m:ctrlPr>
                      </m:sSubSupPr>
                      <m:e>
                        <m:r>
                          <w:rPr>
                            <w:rFonts w:ascii="Cambria Math" w:hAnsi="Cambria Math"/>
                            <w:sz w:val="22"/>
                            <w:szCs w:val="22"/>
                          </w:rPr>
                          <m:t>J</m:t>
                        </m:r>
                      </m:e>
                      <m:sub>
                        <m:r>
                          <w:rPr>
                            <w:rFonts w:ascii="Cambria Math" w:hAnsi="Cambria Math"/>
                            <w:sz w:val="22"/>
                            <w:szCs w:val="22"/>
                          </w:rPr>
                          <m:t>t</m:t>
                        </m:r>
                      </m:sub>
                      <m:sup>
                        <m:r>
                          <w:rPr>
                            <w:rFonts w:ascii="Cambria Math" w:hAnsi="Cambria Math"/>
                            <w:sz w:val="22"/>
                            <w:szCs w:val="22"/>
                          </w:rPr>
                          <m:t>ε</m:t>
                        </m:r>
                      </m:sup>
                    </m:sSubSup>
                  </m:den>
                </m:f>
              </m:oMath>
            </m:oMathPara>
          </w:p>
        </w:tc>
        <w:tc>
          <w:tcPr>
            <w:tcW w:w="676" w:type="dxa"/>
            <w:vAlign w:val="center"/>
            <w:hideMark/>
          </w:tcPr>
          <w:p w14:paraId="7C4ED543" w14:textId="77777777" w:rsidR="00713A0F" w:rsidRDefault="00713A0F">
            <w:pPr>
              <w:spacing w:after="0" w:line="480" w:lineRule="auto"/>
              <w:jc w:val="center"/>
              <w:rPr>
                <w:sz w:val="22"/>
                <w:szCs w:val="22"/>
              </w:rPr>
            </w:pPr>
            <w:r>
              <w:rPr>
                <w:sz w:val="22"/>
                <w:szCs w:val="22"/>
              </w:rPr>
              <w:t>(4)</w:t>
            </w:r>
          </w:p>
        </w:tc>
      </w:tr>
    </w:tbl>
    <w:p w14:paraId="6F02C8CB" w14:textId="77777777" w:rsidR="00713A0F" w:rsidRDefault="00713A0F"/>
    <w:tbl>
      <w:tblPr>
        <w:tblW w:w="9510" w:type="dxa"/>
        <w:tblLook w:val="04A0" w:firstRow="1" w:lastRow="0" w:firstColumn="1" w:lastColumn="0" w:noHBand="0" w:noVBand="1"/>
      </w:tblPr>
      <w:tblGrid>
        <w:gridCol w:w="8877"/>
        <w:gridCol w:w="633"/>
      </w:tblGrid>
      <w:tr w:rsidR="00713A0F" w14:paraId="291480AB" w14:textId="77777777" w:rsidTr="00713A0F">
        <w:trPr>
          <w:trHeight w:val="862"/>
        </w:trPr>
        <w:tc>
          <w:tcPr>
            <w:tcW w:w="8877" w:type="dxa"/>
            <w:vAlign w:val="center"/>
            <w:hideMark/>
          </w:tcPr>
          <w:p w14:paraId="58DDF7D9" w14:textId="77777777" w:rsidR="00713A0F" w:rsidRDefault="00713A0F">
            <w:pPr>
              <w:spacing w:after="0" w:line="480" w:lineRule="auto"/>
              <w:contextualSpacing/>
              <w:rPr>
                <w:sz w:val="22"/>
                <w:szCs w:val="22"/>
              </w:rPr>
            </w:pPr>
            <m:oMathPara>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t</m:t>
                    </m:r>
                  </m:sub>
                  <m:sup>
                    <m:r>
                      <w:rPr>
                        <w:rFonts w:ascii="Cambria Math" w:hAnsi="Cambria Math"/>
                        <w:sz w:val="22"/>
                        <w:szCs w:val="22"/>
                      </w:rPr>
                      <m:t>post</m:t>
                    </m:r>
                  </m:sup>
                </m:sSubSup>
                <m:r>
                  <m:rPr>
                    <m:scr m:val="double-struck"/>
                  </m:rP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q</m:t>
                    </m:r>
                  </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2t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e>
                </m:d>
                <m:r>
                  <w:rPr>
                    <w:rFonts w:ascii="Cambria Math" w:hAnsi="Cambria Math"/>
                    <w:sz w:val="22"/>
                    <w:szCs w:val="22"/>
                  </w:rPr>
                  <m:t>∼BetaBinomial</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2t</m:t>
                        </m:r>
                      </m:sub>
                    </m:sSub>
                    <m:r>
                      <w:rPr>
                        <w:rFonts w:ascii="Cambria Math" w:hAnsi="Cambria Math"/>
                        <w:sz w:val="22"/>
                        <w:szCs w:val="22"/>
                      </w:rPr>
                      <m:t xml:space="preserve"> </m:t>
                    </m:r>
                  </m:e>
                </m:d>
              </m:oMath>
            </m:oMathPara>
          </w:p>
        </w:tc>
        <w:tc>
          <w:tcPr>
            <w:tcW w:w="633" w:type="dxa"/>
            <w:vAlign w:val="center"/>
            <w:hideMark/>
          </w:tcPr>
          <w:p w14:paraId="567A3372" w14:textId="77777777" w:rsidR="00713A0F" w:rsidRDefault="00713A0F">
            <w:pPr>
              <w:spacing w:after="0" w:line="480" w:lineRule="auto"/>
              <w:contextualSpacing/>
              <w:jc w:val="center"/>
              <w:rPr>
                <w:sz w:val="22"/>
                <w:szCs w:val="22"/>
              </w:rPr>
            </w:pPr>
            <w:r>
              <w:rPr>
                <w:sz w:val="22"/>
                <w:szCs w:val="22"/>
              </w:rPr>
              <w:t>(</w:t>
            </w:r>
            <w:r>
              <w:rPr>
                <w:sz w:val="22"/>
                <w:szCs w:val="22"/>
                <w:lang w:eastAsia="ko-KR"/>
              </w:rPr>
              <w:t>5</w:t>
            </w:r>
            <w:r>
              <w:rPr>
                <w:sz w:val="22"/>
                <w:szCs w:val="22"/>
              </w:rPr>
              <w:t>)</w:t>
            </w:r>
          </w:p>
        </w:tc>
      </w:tr>
    </w:tbl>
    <w:p w14:paraId="11EDE1B7" w14:textId="77777777" w:rsidR="0001391F" w:rsidRDefault="0001391F"/>
    <w:tbl>
      <w:tblPr>
        <w:tblW w:w="9510" w:type="dxa"/>
        <w:tblLook w:val="04A0" w:firstRow="1" w:lastRow="0" w:firstColumn="1" w:lastColumn="0" w:noHBand="0" w:noVBand="1"/>
      </w:tblPr>
      <w:tblGrid>
        <w:gridCol w:w="8877"/>
        <w:gridCol w:w="633"/>
      </w:tblGrid>
      <w:tr w:rsidR="0001391F" w14:paraId="1CD97F54" w14:textId="77777777" w:rsidTr="0001391F">
        <w:trPr>
          <w:trHeight w:val="862"/>
        </w:trPr>
        <w:tc>
          <w:tcPr>
            <w:tcW w:w="8877" w:type="dxa"/>
            <w:vAlign w:val="center"/>
            <w:hideMark/>
          </w:tcPr>
          <w:p w14:paraId="6DF8DF0D" w14:textId="77777777" w:rsidR="0001391F" w:rsidRDefault="0001391F">
            <w:pPr>
              <w:spacing w:after="0" w:line="480" w:lineRule="auto"/>
              <w:contextualSpacing/>
              <w:rPr>
                <w:sz w:val="22"/>
                <w:szCs w:val="22"/>
              </w:rPr>
            </w:pPr>
            <m:oMathPara>
              <m:oMath>
                <m:sSup>
                  <m:sSupPr>
                    <m:ctrlPr>
                      <w:rPr>
                        <w:rFonts w:ascii="Cambria Math" w:hAnsi="Cambria Math"/>
                        <w:i/>
                        <w:sz w:val="22"/>
                        <w:szCs w:val="22"/>
                      </w:rPr>
                    </m:ctrlPr>
                  </m:sSup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1t</m:t>
                        </m:r>
                      </m:sub>
                      <m:sup>
                        <m:r>
                          <w:rPr>
                            <w:rFonts w:ascii="Cambria Math" w:hAnsi="Cambria Math"/>
                            <w:sz w:val="22"/>
                            <w:szCs w:val="22"/>
                          </w:rPr>
                          <m:t>p</m:t>
                        </m:r>
                      </m:sup>
                    </m:sSubSup>
                  </m:e>
                  <m:sup>
                    <m:r>
                      <w:rPr>
                        <w:rFonts w:ascii="Cambria Math" w:hAnsi="Cambria Math"/>
                        <w:sz w:val="22"/>
                        <w:szCs w:val="22"/>
                      </w:rPr>
                      <m:t>*</m:t>
                    </m:r>
                  </m:sup>
                </m:sSup>
                <m:func>
                  <m:funcPr>
                    <m:ctrlPr>
                      <w:rPr>
                        <w:rFonts w:ascii="Cambria Math" w:hAnsi="Cambria Math"/>
                        <w:i/>
                        <w:sz w:val="22"/>
                        <w:szCs w:val="22"/>
                      </w:rPr>
                    </m:ctrlPr>
                  </m:funcPr>
                  <m:fName>
                    <m:r>
                      <m:rPr>
                        <m:sty m:val="p"/>
                      </m:rPr>
                      <w:rPr>
                        <w:rFonts w:ascii="Cambria Math" w:hAnsi="Cambria Math"/>
                        <w:sz w:val="22"/>
                        <w:szCs w:val="22"/>
                      </w:rPr>
                      <m:t>≡arg</m:t>
                    </m:r>
                    <m:limLow>
                      <m:limLowPr>
                        <m:ctrlPr>
                          <w:rPr>
                            <w:rFonts w:ascii="Cambria Math" w:hAnsi="Cambria Math"/>
                            <w:i/>
                            <w:sz w:val="22"/>
                            <w:szCs w:val="22"/>
                          </w:rPr>
                        </m:ctrlPr>
                      </m:limLowPr>
                      <m:e>
                        <m:r>
                          <m:rPr>
                            <m:sty m:val="p"/>
                          </m:rPr>
                          <w:rPr>
                            <w:rFonts w:ascii="Cambria Math" w:hAnsi="Cambria Math"/>
                            <w:sz w:val="22"/>
                            <w:szCs w:val="22"/>
                          </w:rPr>
                          <m:t>max</m:t>
                        </m:r>
                        <m:ctrlPr>
                          <w:rPr>
                            <w:rFonts w:ascii="Cambria Math" w:hAnsi="Cambria Math"/>
                            <w:sz w:val="22"/>
                            <w:szCs w:val="22"/>
                          </w:rPr>
                        </m:ctrlPr>
                      </m:e>
                      <m:lim>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1t</m:t>
                            </m:r>
                          </m:sub>
                          <m:sup>
                            <m:r>
                              <w:rPr>
                                <w:rFonts w:ascii="Cambria Math" w:hAnsi="Cambria Math"/>
                                <w:sz w:val="22"/>
                                <w:szCs w:val="22"/>
                              </w:rPr>
                              <m:t>p</m:t>
                            </m:r>
                          </m:sup>
                        </m:sSubSup>
                        <m:ctrlPr>
                          <w:rPr>
                            <w:rFonts w:ascii="Cambria Math" w:hAnsi="Cambria Math"/>
                            <w:sz w:val="22"/>
                            <w:szCs w:val="22"/>
                          </w:rPr>
                        </m:ctrlPr>
                      </m:lim>
                    </m:limLow>
                  </m:fName>
                  <m:e>
                    <m:sSub>
                      <m:sSubPr>
                        <m:ctrlPr>
                          <w:rPr>
                            <w:rFonts w:ascii="Cambria Math" w:hAnsi="Cambria Math"/>
                            <w:i/>
                            <w:sz w:val="22"/>
                            <w:szCs w:val="22"/>
                          </w:rPr>
                        </m:ctrlPr>
                      </m:sSubPr>
                      <m:e>
                        <m:r>
                          <m:rPr>
                            <m:scr m:val="double-struck"/>
                          </m:rPr>
                          <w:rPr>
                            <w:rFonts w:ascii="Cambria Math" w:hAnsi="Cambria Math"/>
                            <w:sz w:val="22"/>
                            <w:szCs w:val="22"/>
                          </w:rPr>
                          <m:t>E</m:t>
                        </m:r>
                      </m:e>
                      <m:sub>
                        <m:r>
                          <w:rPr>
                            <w:rFonts w:ascii="Cambria Math" w:hAnsi="Cambria Math"/>
                            <w:sz w:val="22"/>
                            <w:szCs w:val="22"/>
                          </w:rPr>
                          <m:t>z∈</m:t>
                        </m:r>
                        <m:d>
                          <m:dPr>
                            <m:begChr m:val="{"/>
                            <m:endChr m:val="}"/>
                            <m:ctrlPr>
                              <w:rPr>
                                <w:rFonts w:ascii="Cambria Math" w:hAnsi="Cambria Math"/>
                                <w:i/>
                                <w:sz w:val="22"/>
                                <w:szCs w:val="22"/>
                              </w:rPr>
                            </m:ctrlPr>
                          </m:dPr>
                          <m:e>
                            <m:r>
                              <w:rPr>
                                <w:rFonts w:ascii="Cambria Math" w:hAnsi="Cambria Math"/>
                                <w:sz w:val="22"/>
                                <w:szCs w:val="22"/>
                              </w:rPr>
                              <m:t>H,U</m:t>
                            </m:r>
                          </m:e>
                        </m:d>
                      </m:sub>
                    </m:sSub>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π</m:t>
                            </m:r>
                          </m:e>
                          <m:sub>
                            <m:r>
                              <w:rPr>
                                <w:rFonts w:ascii="Cambria Math" w:hAnsi="Cambria Math"/>
                                <w:sz w:val="22"/>
                                <w:szCs w:val="22"/>
                              </w:rPr>
                              <m:t>1t</m:t>
                            </m:r>
                          </m:sub>
                          <m:sup>
                            <m:r>
                              <w:rPr>
                                <w:rFonts w:ascii="Cambria Math" w:hAnsi="Cambria Math"/>
                                <w:sz w:val="22"/>
                                <w:szCs w:val="22"/>
                              </w:rPr>
                              <m:t>p</m:t>
                            </m:r>
                          </m:sup>
                        </m:sSubSup>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1t</m:t>
                                </m:r>
                              </m:sub>
                              <m:sup>
                                <m:r>
                                  <w:rPr>
                                    <w:rFonts w:ascii="Cambria Math" w:hAnsi="Cambria Math"/>
                                    <w:sz w:val="22"/>
                                    <w:szCs w:val="22"/>
                                  </w:rPr>
                                  <m:t>p</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2t</m:t>
                                </m:r>
                              </m:sub>
                              <m:sup>
                                <m:r>
                                  <w:rPr>
                                    <w:rFonts w:ascii="Cambria Math" w:hAnsi="Cambria Math"/>
                                    <w:sz w:val="22"/>
                                    <w:szCs w:val="22"/>
                                  </w:rPr>
                                  <m:t>p</m:t>
                                </m:r>
                              </m:sup>
                            </m:sSubSup>
                            <m:r>
                              <w:rPr>
                                <w:rFonts w:ascii="Cambria Math" w:hAnsi="Cambria Math"/>
                                <w:sz w:val="22"/>
                                <w:szCs w:val="22"/>
                              </w:rPr>
                              <m:t>=CSR</m:t>
                            </m:r>
                          </m:e>
                        </m:d>
                      </m:e>
                      <m:e>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t</m:t>
                            </m:r>
                          </m:sub>
                          <m:sup>
                            <m:r>
                              <w:rPr>
                                <w:rFonts w:ascii="Cambria Math" w:hAnsi="Cambria Math"/>
                                <w:sz w:val="22"/>
                                <w:szCs w:val="22"/>
                              </w:rPr>
                              <m:t>post</m:t>
                            </m:r>
                          </m:sup>
                        </m:sSubSup>
                      </m:e>
                    </m:d>
                  </m:e>
                </m:func>
                <m:r>
                  <w:rPr>
                    <w:rFonts w:ascii="Cambria Math" w:hAnsi="Cambria Math"/>
                    <w:sz w:val="22"/>
                    <w:szCs w:val="22"/>
                  </w:rPr>
                  <m:t>=</m:t>
                </m:r>
                <m:d>
                  <m:dPr>
                    <m:begChr m:val="{"/>
                    <m:endChr m:val=""/>
                    <m:ctrlPr>
                      <w:rPr>
                        <w:rFonts w:ascii="Cambria Math" w:hAnsi="Cambria Math"/>
                        <w:i/>
                        <w:color w:val="000000" w:themeColor="text1"/>
                        <w:sz w:val="22"/>
                        <w:szCs w:val="22"/>
                      </w:rPr>
                    </m:ctrlPr>
                  </m:dPr>
                  <m:e>
                    <m:eqArr>
                      <m:eqArrPr>
                        <m:ctrlPr>
                          <w:rPr>
                            <w:rFonts w:ascii="Cambria Math" w:hAnsi="Cambria Math"/>
                            <w:i/>
                            <w:color w:val="000000" w:themeColor="text1"/>
                            <w:sz w:val="22"/>
                            <w:szCs w:val="22"/>
                          </w:rPr>
                        </m:ctrlPr>
                      </m:eqArrPr>
                      <m:e>
                        <m:r>
                          <w:rPr>
                            <w:rFonts w:ascii="Cambria Math" w:hAnsi="Cambria Math"/>
                            <w:color w:val="000000" w:themeColor="text1"/>
                            <w:sz w:val="22"/>
                            <w:szCs w:val="22"/>
                          </w:rPr>
                          <m:t xml:space="preserve">CSR,                 </m:t>
                        </m:r>
                        <m:r>
                          <m:rPr>
                            <m:sty m:val="p"/>
                          </m:rPr>
                          <w:rPr>
                            <w:rFonts w:ascii="Cambria Math" w:hAnsi="Cambria Math"/>
                            <w:color w:val="000000" w:themeColor="text1"/>
                            <w:sz w:val="22"/>
                            <w:szCs w:val="22"/>
                          </w:rPr>
                          <m:t xml:space="preserve">if </m:t>
                        </m:r>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shd w:val="clear" w:color="auto" w:fill="FFFFFF"/>
                              </w:rPr>
                            </m:ctrlPr>
                          </m:sSubPr>
                          <m:e>
                            <m:acc>
                              <m:accPr>
                                <m:ctrlPr>
                                  <w:rPr>
                                    <w:rFonts w:ascii="Cambria Math" w:hAnsi="Cambria Math"/>
                                    <w:i/>
                                    <w:color w:val="000000" w:themeColor="text1"/>
                                    <w:sz w:val="22"/>
                                    <w:szCs w:val="22"/>
                                    <w:shd w:val="clear" w:color="auto" w:fill="FFFFFF"/>
                                  </w:rPr>
                                </m:ctrlPr>
                              </m:accPr>
                              <m:e>
                                <m:r>
                                  <w:rPr>
                                    <w:rFonts w:ascii="Cambria Math" w:hAnsi="Cambria Math"/>
                                    <w:color w:val="000000" w:themeColor="text1"/>
                                    <w:sz w:val="22"/>
                                    <w:szCs w:val="22"/>
                                    <w:shd w:val="clear" w:color="auto" w:fill="FFFFFF"/>
                                  </w:rPr>
                                  <m:t>q</m:t>
                                </m:r>
                                <m:ctrlPr>
                                  <w:rPr>
                                    <w:rFonts w:ascii="Cambria Math" w:hAnsi="Cambria Math"/>
                                    <w:i/>
                                    <w:color w:val="000000" w:themeColor="text1"/>
                                    <w:sz w:val="22"/>
                                    <w:szCs w:val="22"/>
                                  </w:rPr>
                                </m:ctrlPr>
                              </m:e>
                            </m:acc>
                            <m:ctrlPr>
                              <w:rPr>
                                <w:rFonts w:ascii="Cambria Math" w:hAnsi="Cambria Math"/>
                                <w:i/>
                                <w:color w:val="000000" w:themeColor="text1"/>
                                <w:sz w:val="22"/>
                                <w:szCs w:val="22"/>
                              </w:rPr>
                            </m:ctrlPr>
                          </m:e>
                          <m:sub>
                            <m:r>
                              <w:rPr>
                                <w:rFonts w:ascii="Cambria Math" w:hAnsi="Cambria Math"/>
                                <w:color w:val="000000" w:themeColor="text1"/>
                                <w:sz w:val="22"/>
                                <w:szCs w:val="22"/>
                                <w:shd w:val="clear" w:color="auto" w:fill="FFFFFF"/>
                              </w:rPr>
                              <m:t>t</m:t>
                            </m:r>
                          </m:sub>
                        </m:sSub>
                        <m:r>
                          <w:rPr>
                            <w:rFonts w:ascii="Cambria Math" w:hAnsi="Cambria Math"/>
                            <w:color w:val="000000" w:themeColor="text1"/>
                            <w:sz w:val="22"/>
                            <w:szCs w:val="22"/>
                            <w:shd w:val="clear" w:color="auto" w:fill="FFFFFF"/>
                          </w:rPr>
                          <m:t>&gt;</m:t>
                        </m:r>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q</m:t>
                            </m:r>
                          </m:e>
                          <m:sub>
                            <m:r>
                              <w:rPr>
                                <w:rFonts w:ascii="Cambria Math" w:hAnsi="Cambria Math"/>
                                <w:color w:val="000000" w:themeColor="text1"/>
                                <w:sz w:val="22"/>
                                <w:szCs w:val="22"/>
                                <w:shd w:val="clear" w:color="auto" w:fill="FFFFFF"/>
                              </w:rPr>
                              <m:t>1t</m:t>
                            </m:r>
                          </m:sub>
                          <m:sup>
                            <m:r>
                              <w:rPr>
                                <w:rFonts w:ascii="Cambria Math" w:hAnsi="Cambria Math"/>
                                <w:color w:val="000000" w:themeColor="text1"/>
                                <w:sz w:val="22"/>
                                <w:szCs w:val="22"/>
                                <w:shd w:val="clear" w:color="auto" w:fill="FFFFFF"/>
                              </w:rPr>
                              <m:t>*</m:t>
                            </m:r>
                          </m:sup>
                        </m:sSubSup>
                        <m:r>
                          <w:rPr>
                            <w:rFonts w:ascii="Cambria Math" w:hAnsi="Cambria Math"/>
                            <w:color w:val="000000" w:themeColor="text1"/>
                            <w:sz w:val="22"/>
                            <w:szCs w:val="22"/>
                          </w:rPr>
                          <m:t xml:space="preserve">     </m:t>
                        </m:r>
                      </m:e>
                      <m:e>
                        <m:r>
                          <w:rPr>
                            <w:rFonts w:ascii="Cambria Math" w:hAnsi="Cambria Math"/>
                            <w:color w:val="000000" w:themeColor="text1"/>
                            <w:sz w:val="22"/>
                            <w:szCs w:val="22"/>
                          </w:rPr>
                          <m:t xml:space="preserve">No,                  </m:t>
                        </m:r>
                        <m:r>
                          <m:rPr>
                            <m:sty m:val="p"/>
                          </m:rPr>
                          <w:rPr>
                            <w:rFonts w:ascii="Cambria Math" w:hAnsi="Cambria Math"/>
                            <w:color w:val="000000" w:themeColor="text1"/>
                            <w:sz w:val="22"/>
                            <w:szCs w:val="22"/>
                          </w:rPr>
                          <m:t>if</m:t>
                        </m:r>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shd w:val="clear" w:color="auto" w:fill="FFFFFF"/>
                              </w:rPr>
                            </m:ctrlPr>
                          </m:sSubPr>
                          <m:e>
                            <m:acc>
                              <m:accPr>
                                <m:ctrlPr>
                                  <w:rPr>
                                    <w:rFonts w:ascii="Cambria Math" w:hAnsi="Cambria Math"/>
                                    <w:i/>
                                    <w:color w:val="000000" w:themeColor="text1"/>
                                    <w:sz w:val="22"/>
                                    <w:szCs w:val="22"/>
                                    <w:shd w:val="clear" w:color="auto" w:fill="FFFFFF"/>
                                  </w:rPr>
                                </m:ctrlPr>
                              </m:accPr>
                              <m:e>
                                <m:r>
                                  <w:rPr>
                                    <w:rFonts w:ascii="Cambria Math" w:hAnsi="Cambria Math"/>
                                    <w:color w:val="000000" w:themeColor="text1"/>
                                    <w:sz w:val="22"/>
                                    <w:szCs w:val="22"/>
                                    <w:shd w:val="clear" w:color="auto" w:fill="FFFFFF"/>
                                  </w:rPr>
                                  <m:t>q</m:t>
                                </m:r>
                                <m:ctrlPr>
                                  <w:rPr>
                                    <w:rFonts w:ascii="Cambria Math" w:hAnsi="Cambria Math"/>
                                    <w:i/>
                                    <w:color w:val="000000" w:themeColor="text1"/>
                                    <w:sz w:val="22"/>
                                    <w:szCs w:val="22"/>
                                  </w:rPr>
                                </m:ctrlPr>
                              </m:e>
                            </m:acc>
                            <m:ctrlPr>
                              <w:rPr>
                                <w:rFonts w:ascii="Cambria Math" w:hAnsi="Cambria Math"/>
                                <w:i/>
                                <w:color w:val="000000" w:themeColor="text1"/>
                                <w:sz w:val="22"/>
                                <w:szCs w:val="22"/>
                              </w:rPr>
                            </m:ctrlPr>
                          </m:e>
                          <m:sub>
                            <m:r>
                              <w:rPr>
                                <w:rFonts w:ascii="Cambria Math" w:hAnsi="Cambria Math"/>
                                <w:color w:val="000000" w:themeColor="text1"/>
                                <w:sz w:val="22"/>
                                <w:szCs w:val="22"/>
                                <w:shd w:val="clear" w:color="auto" w:fill="FFFFFF"/>
                              </w:rPr>
                              <m:t>t</m:t>
                            </m:r>
                          </m:sub>
                        </m:sSub>
                        <m:r>
                          <w:rPr>
                            <w:rFonts w:ascii="Cambria Math" w:hAnsi="Cambria Math"/>
                            <w:color w:val="000000" w:themeColor="text1"/>
                            <w:sz w:val="22"/>
                            <w:szCs w:val="22"/>
                            <w:shd w:val="clear" w:color="auto" w:fill="FFFFFF"/>
                          </w:rPr>
                          <m:t>&lt;</m:t>
                        </m:r>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q</m:t>
                            </m:r>
                          </m:e>
                          <m:sub>
                            <m:r>
                              <w:rPr>
                                <w:rFonts w:ascii="Cambria Math" w:hAnsi="Cambria Math"/>
                                <w:color w:val="000000" w:themeColor="text1"/>
                                <w:sz w:val="22"/>
                                <w:szCs w:val="22"/>
                                <w:shd w:val="clear" w:color="auto" w:fill="FFFFFF"/>
                              </w:rPr>
                              <m:t>1t</m:t>
                            </m:r>
                          </m:sub>
                          <m:sup>
                            <m:r>
                              <w:rPr>
                                <w:rFonts w:ascii="Cambria Math" w:hAnsi="Cambria Math"/>
                                <w:color w:val="000000" w:themeColor="text1"/>
                                <w:sz w:val="22"/>
                                <w:szCs w:val="22"/>
                                <w:shd w:val="clear" w:color="auto" w:fill="FFFFFF"/>
                              </w:rPr>
                              <m:t>*</m:t>
                            </m:r>
                          </m:sup>
                        </m:sSubSup>
                        <m:r>
                          <w:rPr>
                            <w:rFonts w:ascii="Cambria Math" w:hAnsi="Cambria Math"/>
                            <w:color w:val="000000" w:themeColor="text1"/>
                            <w:sz w:val="22"/>
                            <w:szCs w:val="22"/>
                            <w:shd w:val="clear" w:color="auto" w:fill="FFFFFF"/>
                          </w:rPr>
                          <m:t xml:space="preserve">    </m:t>
                        </m:r>
                        <m:ctrlPr>
                          <w:rPr>
                            <w:rFonts w:ascii="Cambria Math" w:eastAsia="Cambria Math" w:hAnsi="Cambria Math" w:cs="Cambria Math"/>
                            <w:i/>
                            <w:color w:val="000000" w:themeColor="text1"/>
                            <w:sz w:val="22"/>
                            <w:szCs w:val="22"/>
                            <w:shd w:val="clear" w:color="auto" w:fill="FFFFFF"/>
                          </w:rPr>
                        </m:ctrlPr>
                      </m:e>
                      <m:e>
                        <m:r>
                          <m:rPr>
                            <m:sty m:val="p"/>
                          </m:rPr>
                          <w:rPr>
                            <w:rFonts w:ascii="Cambria Math" w:eastAsia="Cambria Math" w:hAnsi="Cambria Math" w:cs="Cambria Math"/>
                            <w:color w:val="000000" w:themeColor="text1"/>
                            <w:sz w:val="22"/>
                            <w:szCs w:val="22"/>
                            <w:shd w:val="clear" w:color="auto" w:fill="FFFFFF"/>
                          </w:rPr>
                          <m:t>indifferent,    if</m:t>
                        </m:r>
                        <m:r>
                          <w:rPr>
                            <w:rFonts w:ascii="Cambria Math" w:eastAsia="Cambria Math" w:hAnsi="Cambria Math" w:cs="Cambria Math"/>
                            <w:color w:val="000000" w:themeColor="text1"/>
                            <w:sz w:val="22"/>
                            <w:szCs w:val="22"/>
                            <w:shd w:val="clear" w:color="auto" w:fill="FFFFFF"/>
                          </w:rPr>
                          <m:t xml:space="preserve">   </m:t>
                        </m:r>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shd w:val="clear" w:color="auto" w:fill="FFFFFF"/>
                              </w:rPr>
                            </m:ctrlPr>
                          </m:sSubPr>
                          <m:e>
                            <m:acc>
                              <m:accPr>
                                <m:ctrlPr>
                                  <w:rPr>
                                    <w:rFonts w:ascii="Cambria Math" w:hAnsi="Cambria Math"/>
                                    <w:i/>
                                    <w:color w:val="000000" w:themeColor="text1"/>
                                    <w:sz w:val="22"/>
                                    <w:szCs w:val="22"/>
                                    <w:shd w:val="clear" w:color="auto" w:fill="FFFFFF"/>
                                  </w:rPr>
                                </m:ctrlPr>
                              </m:accPr>
                              <m:e>
                                <m:r>
                                  <w:rPr>
                                    <w:rFonts w:ascii="Cambria Math" w:hAnsi="Cambria Math"/>
                                    <w:color w:val="000000" w:themeColor="text1"/>
                                    <w:sz w:val="22"/>
                                    <w:szCs w:val="22"/>
                                    <w:shd w:val="clear" w:color="auto" w:fill="FFFFFF"/>
                                  </w:rPr>
                                  <m:t>q</m:t>
                                </m:r>
                                <m:ctrlPr>
                                  <w:rPr>
                                    <w:rFonts w:ascii="Cambria Math" w:hAnsi="Cambria Math"/>
                                    <w:i/>
                                    <w:color w:val="000000" w:themeColor="text1"/>
                                    <w:sz w:val="22"/>
                                    <w:szCs w:val="22"/>
                                  </w:rPr>
                                </m:ctrlPr>
                              </m:e>
                            </m:acc>
                            <m:ctrlPr>
                              <w:rPr>
                                <w:rFonts w:ascii="Cambria Math" w:hAnsi="Cambria Math"/>
                                <w:i/>
                                <w:color w:val="000000" w:themeColor="text1"/>
                                <w:sz w:val="22"/>
                                <w:szCs w:val="22"/>
                              </w:rPr>
                            </m:ctrlPr>
                          </m:e>
                          <m:sub>
                            <m:r>
                              <w:rPr>
                                <w:rFonts w:ascii="Cambria Math" w:hAnsi="Cambria Math"/>
                                <w:color w:val="000000" w:themeColor="text1"/>
                                <w:sz w:val="22"/>
                                <w:szCs w:val="22"/>
                                <w:shd w:val="clear" w:color="auto" w:fill="FFFFFF"/>
                              </w:rPr>
                              <m:t>t</m:t>
                            </m:r>
                          </m:sub>
                        </m:sSub>
                        <m:r>
                          <w:rPr>
                            <w:rFonts w:ascii="Cambria Math" w:hAnsi="Cambria Math"/>
                            <w:color w:val="000000" w:themeColor="text1"/>
                            <w:sz w:val="22"/>
                            <w:szCs w:val="22"/>
                            <w:shd w:val="clear" w:color="auto" w:fill="FFFFFF"/>
                          </w:rPr>
                          <m:t>=</m:t>
                        </m:r>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q</m:t>
                            </m:r>
                          </m:e>
                          <m:sub>
                            <m:r>
                              <w:rPr>
                                <w:rFonts w:ascii="Cambria Math" w:hAnsi="Cambria Math"/>
                                <w:color w:val="000000" w:themeColor="text1"/>
                                <w:sz w:val="22"/>
                                <w:szCs w:val="22"/>
                                <w:shd w:val="clear" w:color="auto" w:fill="FFFFFF"/>
                              </w:rPr>
                              <m:t>1t</m:t>
                            </m:r>
                          </m:sub>
                          <m:sup>
                            <m:r>
                              <w:rPr>
                                <w:rFonts w:ascii="Cambria Math" w:hAnsi="Cambria Math"/>
                                <w:color w:val="000000" w:themeColor="text1"/>
                                <w:sz w:val="22"/>
                                <w:szCs w:val="22"/>
                                <w:shd w:val="clear" w:color="auto" w:fill="FFFFFF"/>
                              </w:rPr>
                              <m:t>*</m:t>
                            </m:r>
                          </m:sup>
                        </m:sSubSup>
                        <m:r>
                          <w:rPr>
                            <w:rFonts w:ascii="Cambria Math" w:hAnsi="Cambria Math"/>
                            <w:color w:val="000000" w:themeColor="text1"/>
                            <w:sz w:val="22"/>
                            <w:szCs w:val="22"/>
                            <w:shd w:val="clear" w:color="auto" w:fill="FFFFFF"/>
                          </w:rPr>
                          <m:t xml:space="preserve">    </m:t>
                        </m:r>
                      </m:e>
                    </m:eqArr>
                  </m:e>
                </m:d>
              </m:oMath>
            </m:oMathPara>
          </w:p>
        </w:tc>
        <w:tc>
          <w:tcPr>
            <w:tcW w:w="633" w:type="dxa"/>
            <w:vAlign w:val="center"/>
            <w:hideMark/>
          </w:tcPr>
          <w:p w14:paraId="7F91F10D" w14:textId="77777777" w:rsidR="0001391F" w:rsidRDefault="0001391F">
            <w:pPr>
              <w:spacing w:after="0" w:line="480" w:lineRule="auto"/>
              <w:contextualSpacing/>
              <w:jc w:val="center"/>
              <w:rPr>
                <w:sz w:val="22"/>
                <w:szCs w:val="22"/>
              </w:rPr>
            </w:pPr>
            <w:r>
              <w:rPr>
                <w:sz w:val="22"/>
                <w:szCs w:val="22"/>
              </w:rPr>
              <w:t>(</w:t>
            </w:r>
            <w:r>
              <w:rPr>
                <w:sz w:val="22"/>
                <w:szCs w:val="22"/>
                <w:lang w:eastAsia="ko-KR"/>
              </w:rPr>
              <w:t>6</w:t>
            </w:r>
            <w:r>
              <w:rPr>
                <w:sz w:val="22"/>
                <w:szCs w:val="22"/>
              </w:rPr>
              <w:t>)</w:t>
            </w:r>
          </w:p>
        </w:tc>
      </w:tr>
    </w:tbl>
    <w:p w14:paraId="30AE87B4" w14:textId="77777777" w:rsidR="0001391F" w:rsidRDefault="0001391F"/>
    <w:tbl>
      <w:tblPr>
        <w:tblW w:w="9510" w:type="dxa"/>
        <w:tblLook w:val="04A0" w:firstRow="1" w:lastRow="0" w:firstColumn="1" w:lastColumn="0" w:noHBand="0" w:noVBand="1"/>
      </w:tblPr>
      <w:tblGrid>
        <w:gridCol w:w="8572"/>
        <w:gridCol w:w="938"/>
      </w:tblGrid>
      <w:tr w:rsidR="0001391F" w14:paraId="302E2F89" w14:textId="77777777" w:rsidTr="0001391F">
        <w:trPr>
          <w:trHeight w:val="862"/>
        </w:trPr>
        <w:tc>
          <w:tcPr>
            <w:tcW w:w="8877" w:type="dxa"/>
            <w:vAlign w:val="center"/>
            <w:hideMark/>
          </w:tcPr>
          <w:p w14:paraId="3298CB80" w14:textId="77777777" w:rsidR="0001391F" w:rsidRDefault="0001391F">
            <w:pPr>
              <w:spacing w:after="0" w:line="480" w:lineRule="auto"/>
              <w:contextualSpacing/>
              <w:jc w:val="both"/>
              <w:rPr>
                <w:color w:val="FF0000"/>
                <w:sz w:val="22"/>
                <w:szCs w:val="22"/>
              </w:rPr>
            </w:pPr>
            <m:oMathPara>
              <m:oMath>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q</m:t>
                    </m:r>
                  </m:e>
                  <m:sub>
                    <m:r>
                      <w:rPr>
                        <w:rFonts w:ascii="Cambria Math" w:hAnsi="Cambria Math"/>
                        <w:color w:val="000000" w:themeColor="text1"/>
                        <w:sz w:val="22"/>
                        <w:szCs w:val="22"/>
                        <w:shd w:val="clear" w:color="auto" w:fill="FFFFFF"/>
                      </w:rPr>
                      <m:t>kt</m:t>
                    </m:r>
                  </m:sub>
                  <m:sup>
                    <m:r>
                      <w:rPr>
                        <w:rFonts w:ascii="Cambria Math" w:hAnsi="Cambria Math"/>
                        <w:color w:val="000000" w:themeColor="text1"/>
                        <w:sz w:val="22"/>
                        <w:szCs w:val="22"/>
                        <w:shd w:val="clear" w:color="auto" w:fill="FFFFFF"/>
                      </w:rPr>
                      <m:t>*</m:t>
                    </m:r>
                  </m:sup>
                </m:sSubSup>
                <m:r>
                  <w:rPr>
                    <w:rFonts w:ascii="Cambria Math" w:hAnsi="Cambria Math"/>
                    <w:color w:val="000000" w:themeColor="text1"/>
                    <w:sz w:val="22"/>
                    <w:szCs w:val="22"/>
                  </w:rPr>
                  <m:t>=</m:t>
                </m:r>
                <m:d>
                  <m:dPr>
                    <m:begChr m:val="{"/>
                    <m:endChr m:val=""/>
                    <m:ctrlPr>
                      <w:rPr>
                        <w:rFonts w:ascii="Cambria Math" w:hAnsi="Cambria Math"/>
                        <w:i/>
                        <w:color w:val="000000" w:themeColor="text1"/>
                        <w:sz w:val="22"/>
                        <w:szCs w:val="22"/>
                      </w:rPr>
                    </m:ctrlPr>
                  </m:dPr>
                  <m:e>
                    <m:eqArr>
                      <m:eqArrPr>
                        <m:ctrlPr>
                          <w:rPr>
                            <w:rFonts w:ascii="Cambria Math" w:hAnsi="Cambria Math"/>
                            <w:i/>
                            <w:color w:val="000000" w:themeColor="text1"/>
                            <w:sz w:val="22"/>
                            <w:szCs w:val="22"/>
                          </w:rPr>
                        </m:ctrlPr>
                      </m:eqArrPr>
                      <m:e>
                        <m:f>
                          <m:fPr>
                            <m:ctrlPr>
                              <w:rPr>
                                <w:rFonts w:ascii="Cambria Math" w:hAnsi="Cambria Math"/>
                                <w:i/>
                                <w:iCs/>
                                <w:color w:val="000000" w:themeColor="text1"/>
                                <w:sz w:val="22"/>
                                <w:szCs w:val="22"/>
                              </w:rPr>
                            </m:ctrlPr>
                          </m:fPr>
                          <m:num>
                            <m:d>
                              <m:dPr>
                                <m:ctrlPr>
                                  <w:rPr>
                                    <w:rFonts w:ascii="Cambria Math" w:hAnsi="Cambria Math"/>
                                    <w:i/>
                                    <w:iCs/>
                                    <w:color w:val="000000" w:themeColor="text1"/>
                                    <w:sz w:val="22"/>
                                    <w:szCs w:val="22"/>
                                  </w:rPr>
                                </m:ctrlPr>
                              </m:dPr>
                              <m:e>
                                <m:r>
                                  <w:rPr>
                                    <w:rFonts w:ascii="Cambria Math" w:hAnsi="Cambria Math"/>
                                    <w:color w:val="000000" w:themeColor="text1"/>
                                    <w:sz w:val="22"/>
                                    <w:szCs w:val="22"/>
                                  </w:rPr>
                                  <m:t>1-</m:t>
                                </m:r>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CSR|U</m:t>
                                    </m:r>
                                  </m:sup>
                                </m:sSubSup>
                              </m:e>
                            </m:d>
                            <m:r>
                              <w:rPr>
                                <w:rFonts w:ascii="Cambria Math" w:hAnsi="Cambria Math"/>
                                <w:color w:val="000000" w:themeColor="text1"/>
                                <w:sz w:val="22"/>
                                <w:szCs w:val="22"/>
                              </w:rPr>
                              <m:t>a+</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kt</m:t>
                                </m:r>
                              </m:sub>
                            </m:sSub>
                            <m:ctrlPr>
                              <w:rPr>
                                <w:rFonts w:ascii="Cambria Math" w:hAnsi="Cambria Math"/>
                                <w:i/>
                                <w:color w:val="000000" w:themeColor="text1"/>
                                <w:sz w:val="22"/>
                                <w:szCs w:val="22"/>
                              </w:rPr>
                            </m:ctrlPr>
                          </m:num>
                          <m:den>
                            <m:d>
                              <m:dPr>
                                <m:ctrlPr>
                                  <w:rPr>
                                    <w:rFonts w:ascii="Cambria Math" w:hAnsi="Cambria Math"/>
                                    <w:i/>
                                    <w:color w:val="000000" w:themeColor="text1"/>
                                    <w:sz w:val="22"/>
                                    <w:szCs w:val="22"/>
                                  </w:rPr>
                                </m:ctrlPr>
                              </m:dPr>
                              <m:e>
                                <m:r>
                                  <w:rPr>
                                    <w:rFonts w:ascii="Cambria Math" w:hAnsi="Cambria Math"/>
                                    <w:color w:val="000000" w:themeColor="text1"/>
                                    <w:sz w:val="22"/>
                                    <w:szCs w:val="22"/>
                                  </w:rPr>
                                  <m:t>1+</m:t>
                                </m:r>
                                <m:sSubSup>
                                  <m:sSubSupPr>
                                    <m:ctrlPr>
                                      <w:rPr>
                                        <w:rFonts w:ascii="Cambria Math" w:hAnsi="Cambria Math"/>
                                        <w:i/>
                                        <w:color w:val="000000" w:themeColor="text1"/>
                                        <w:sz w:val="22"/>
                                        <w:szCs w:val="22"/>
                                      </w:rPr>
                                    </m:ctrlPr>
                                  </m:sSubSupPr>
                                  <m:e>
                                    <m:r>
                                      <m:rPr>
                                        <m:sty m:val="p"/>
                                      </m:rPr>
                                      <w:rPr>
                                        <w:rFonts w:ascii="Cambria Math" w:hAnsi="Cambria Math"/>
                                        <w:color w:val="000000" w:themeColor="text1"/>
                                        <w:sz w:val="22"/>
                                        <w:szCs w:val="22"/>
                                      </w:rPr>
                                      <m:t>Δ</m:t>
                                    </m:r>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m:t>
                                    </m:r>
                                  </m:sup>
                                </m:sSubSup>
                              </m:e>
                            </m:d>
                            <m:r>
                              <w:rPr>
                                <w:rFonts w:ascii="Cambria Math" w:hAnsi="Cambria Math"/>
                                <w:color w:val="000000" w:themeColor="text1"/>
                                <w:sz w:val="22"/>
                                <w:szCs w:val="22"/>
                              </w:rPr>
                              <m:t>a</m:t>
                            </m:r>
                          </m:den>
                        </m:f>
                        <m:r>
                          <w:rPr>
                            <w:rFonts w:ascii="Cambria Math" w:hAnsi="Cambria Math"/>
                            <w:color w:val="000000" w:themeColor="text1"/>
                            <w:sz w:val="22"/>
                            <w:szCs w:val="22"/>
                          </w:rPr>
                          <m:t xml:space="preserve">,                        </m:t>
                        </m:r>
                        <m:r>
                          <m:rPr>
                            <m:sty m:val="p"/>
                          </m:rPr>
                          <w:rPr>
                            <w:rFonts w:ascii="Cambria Math" w:hAnsi="Cambria Math"/>
                            <w:color w:val="000000" w:themeColor="text1"/>
                            <w:sz w:val="22"/>
                            <w:szCs w:val="22"/>
                          </w:rPr>
                          <m:t xml:space="preserve">if </m:t>
                        </m:r>
                        <m:r>
                          <w:rPr>
                            <w:rFonts w:ascii="Cambria Math" w:hAnsi="Cambria Math"/>
                            <w:color w:val="000000" w:themeColor="text1"/>
                            <w:sz w:val="22"/>
                            <w:szCs w:val="22"/>
                          </w:rPr>
                          <m:t xml:space="preserve"> </m:t>
                        </m:r>
                        <m:sSubSup>
                          <m:sSubSupPr>
                            <m:ctrlPr>
                              <w:rPr>
                                <w:rFonts w:ascii="Cambria Math" w:hAnsi="Cambria Math"/>
                                <w:i/>
                                <w:iCs/>
                                <w:color w:val="000000" w:themeColor="text1"/>
                                <w:sz w:val="22"/>
                                <w:szCs w:val="22"/>
                              </w:rPr>
                            </m:ctrlPr>
                          </m:sSubSupPr>
                          <m:e>
                            <m:r>
                              <w:rPr>
                                <w:rFonts w:ascii="Cambria Math" w:hAnsi="Cambria Math"/>
                                <w:color w:val="000000" w:themeColor="text1"/>
                                <w:sz w:val="22"/>
                                <w:szCs w:val="22"/>
                              </w:rPr>
                              <m:t>σ</m:t>
                            </m:r>
                          </m:e>
                          <m:sub>
                            <m:r>
                              <w:rPr>
                                <w:rFonts w:ascii="Cambria Math" w:hAnsi="Cambria Math"/>
                                <w:color w:val="000000" w:themeColor="text1"/>
                                <w:sz w:val="22"/>
                                <w:szCs w:val="22"/>
                              </w:rPr>
                              <m:t>it</m:t>
                            </m:r>
                          </m:sub>
                          <m:sup>
                            <m:r>
                              <w:rPr>
                                <w:rFonts w:ascii="Cambria Math" w:hAnsi="Cambria Math"/>
                                <w:color w:val="000000" w:themeColor="text1"/>
                                <w:sz w:val="22"/>
                                <w:szCs w:val="22"/>
                              </w:rPr>
                              <m:t>b</m:t>
                            </m:r>
                            <m:ctrlPr>
                              <w:rPr>
                                <w:rFonts w:ascii="Cambria Math" w:hAnsi="Cambria Math"/>
                                <w:i/>
                                <w:color w:val="000000" w:themeColor="text1"/>
                                <w:sz w:val="22"/>
                                <w:szCs w:val="22"/>
                              </w:rPr>
                            </m:ctrlPr>
                          </m:sup>
                        </m:sSubSup>
                        <m:r>
                          <w:rPr>
                            <w:rFonts w:ascii="Cambria Math" w:hAnsi="Cambria Math"/>
                            <w:color w:val="000000" w:themeColor="text1"/>
                            <w:sz w:val="22"/>
                            <w:szCs w:val="22"/>
                          </w:rPr>
                          <m:t>=</m:t>
                        </m:r>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H</m:t>
                            </m:r>
                          </m:sup>
                        </m:sSup>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U</m:t>
                            </m:r>
                          </m:sup>
                        </m:sSup>
                        <m:r>
                          <w:rPr>
                            <w:rFonts w:ascii="Cambria Math" w:hAnsi="Cambria Math"/>
                            <w:color w:val="000000" w:themeColor="text1"/>
                            <w:sz w:val="22"/>
                            <w:szCs w:val="22"/>
                          </w:rPr>
                          <m:t xml:space="preserve">   </m:t>
                        </m:r>
                      </m:e>
                      <m:e>
                        <m:f>
                          <m:fPr>
                            <m:ctrlPr>
                              <w:rPr>
                                <w:rFonts w:ascii="Cambria Math" w:hAnsi="Cambria Math"/>
                                <w:i/>
                                <w:iCs/>
                                <w:color w:val="000000" w:themeColor="text1"/>
                                <w:sz w:val="22"/>
                                <w:szCs w:val="22"/>
                              </w:rPr>
                            </m:ctrlPr>
                          </m:fPr>
                          <m:num>
                            <m:d>
                              <m:dPr>
                                <m:ctrlPr>
                                  <w:rPr>
                                    <w:rFonts w:ascii="Cambria Math" w:hAnsi="Cambria Math"/>
                                    <w:i/>
                                    <w:iCs/>
                                    <w:color w:val="000000" w:themeColor="text1"/>
                                    <w:sz w:val="22"/>
                                    <w:szCs w:val="22"/>
                                  </w:rPr>
                                </m:ctrlPr>
                              </m:dPr>
                              <m:e>
                                <m:r>
                                  <w:rPr>
                                    <w:rFonts w:ascii="Cambria Math" w:hAnsi="Cambria Math"/>
                                    <w:color w:val="000000" w:themeColor="text1"/>
                                    <w:sz w:val="22"/>
                                    <w:szCs w:val="22"/>
                                  </w:rPr>
                                  <m:t>1-</m:t>
                                </m:r>
                                <m:d>
                                  <m:dPr>
                                    <m:begChr m:val="["/>
                                    <m:endChr m:val="]"/>
                                    <m:ctrlPr>
                                      <w:rPr>
                                        <w:rFonts w:ascii="Cambria Math" w:hAnsi="Cambria Math"/>
                                        <w:i/>
                                        <w:iCs/>
                                        <w:color w:val="000000" w:themeColor="text1"/>
                                        <w:sz w:val="22"/>
                                        <w:szCs w:val="22"/>
                                      </w:rPr>
                                    </m:ctrlPr>
                                  </m:dPr>
                                  <m:e>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CSR|H</m:t>
                                        </m:r>
                                      </m:sup>
                                    </m:sSubSup>
                                    <m:r>
                                      <w:rPr>
                                        <w:rFonts w:ascii="Cambria Math" w:hAnsi="Cambria Math"/>
                                        <w:color w:val="000000" w:themeColor="text1"/>
                                        <w:sz w:val="22"/>
                                        <w:szCs w:val="22"/>
                                      </w:rPr>
                                      <m:t>+</m:t>
                                    </m:r>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CSR|U</m:t>
                                        </m:r>
                                      </m:sup>
                                    </m:sSubSup>
                                  </m:e>
                                </m:d>
                              </m:e>
                            </m:d>
                            <m:r>
                              <w:rPr>
                                <w:rFonts w:ascii="Cambria Math" w:hAnsi="Cambria Math"/>
                                <w:color w:val="000000" w:themeColor="text1"/>
                                <w:sz w:val="22"/>
                                <w:szCs w:val="22"/>
                              </w:rPr>
                              <m:t>a+2</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kt</m:t>
                                </m:r>
                              </m:sub>
                            </m:sSub>
                            <m:ctrlPr>
                              <w:rPr>
                                <w:rFonts w:ascii="Cambria Math" w:hAnsi="Cambria Math"/>
                                <w:i/>
                                <w:color w:val="000000" w:themeColor="text1"/>
                                <w:sz w:val="22"/>
                                <w:szCs w:val="22"/>
                              </w:rPr>
                            </m:ctrlPr>
                          </m:num>
                          <m:den>
                            <m:d>
                              <m:dPr>
                                <m:ctrlPr>
                                  <w:rPr>
                                    <w:rFonts w:ascii="Cambria Math" w:hAnsi="Cambria Math"/>
                                    <w:i/>
                                    <w:iCs/>
                                    <w:color w:val="000000" w:themeColor="text1"/>
                                    <w:sz w:val="22"/>
                                    <w:szCs w:val="22"/>
                                  </w:rPr>
                                </m:ctrlPr>
                              </m:dPr>
                              <m:e>
                                <m:r>
                                  <w:rPr>
                                    <w:rFonts w:ascii="Cambria Math" w:hAnsi="Cambria Math"/>
                                    <w:color w:val="000000" w:themeColor="text1"/>
                                    <w:sz w:val="22"/>
                                    <w:szCs w:val="22"/>
                                  </w:rPr>
                                  <m:t>1-</m:t>
                                </m:r>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CSR|U</m:t>
                                    </m:r>
                                  </m:sup>
                                </m:sSubSup>
                              </m:e>
                            </m:d>
                            <m:r>
                              <w:rPr>
                                <w:rFonts w:ascii="Cambria Math" w:hAnsi="Cambria Math"/>
                                <w:color w:val="000000" w:themeColor="text1"/>
                                <w:sz w:val="22"/>
                                <w:szCs w:val="22"/>
                              </w:rPr>
                              <m:t>a+</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kt</m:t>
                                </m:r>
                              </m:sub>
                            </m:sSub>
                          </m:den>
                        </m:f>
                        <m:r>
                          <w:rPr>
                            <w:rFonts w:ascii="Cambria Math" w:hAnsi="Cambria Math"/>
                            <w:color w:val="000000" w:themeColor="text1"/>
                            <w:sz w:val="22"/>
                            <w:szCs w:val="22"/>
                          </w:rPr>
                          <m:t xml:space="preserve">,   </m:t>
                        </m:r>
                        <m:r>
                          <m:rPr>
                            <m:sty m:val="p"/>
                          </m:rPr>
                          <w:rPr>
                            <w:rFonts w:ascii="Cambria Math" w:hAnsi="Cambria Math"/>
                            <w:color w:val="000000" w:themeColor="text1"/>
                            <w:sz w:val="22"/>
                            <w:szCs w:val="22"/>
                          </w:rPr>
                          <m:t xml:space="preserve">if </m:t>
                        </m:r>
                        <m:r>
                          <w:rPr>
                            <w:rFonts w:ascii="Cambria Math" w:hAnsi="Cambria Math"/>
                            <w:color w:val="000000" w:themeColor="text1"/>
                            <w:sz w:val="22"/>
                            <w:szCs w:val="22"/>
                          </w:rPr>
                          <m:t xml:space="preserve"> </m:t>
                        </m:r>
                        <m:sSubSup>
                          <m:sSubSupPr>
                            <m:ctrlPr>
                              <w:rPr>
                                <w:rFonts w:ascii="Cambria Math" w:hAnsi="Cambria Math"/>
                                <w:i/>
                                <w:iCs/>
                                <w:color w:val="000000" w:themeColor="text1"/>
                                <w:sz w:val="22"/>
                                <w:szCs w:val="22"/>
                              </w:rPr>
                            </m:ctrlPr>
                          </m:sSubSupPr>
                          <m:e>
                            <m:r>
                              <w:rPr>
                                <w:rFonts w:ascii="Cambria Math" w:hAnsi="Cambria Math"/>
                                <w:color w:val="000000" w:themeColor="text1"/>
                                <w:sz w:val="22"/>
                                <w:szCs w:val="22"/>
                              </w:rPr>
                              <m:t>σ</m:t>
                            </m:r>
                          </m:e>
                          <m:sub>
                            <m:r>
                              <w:rPr>
                                <w:rFonts w:ascii="Cambria Math" w:hAnsi="Cambria Math"/>
                                <w:color w:val="000000" w:themeColor="text1"/>
                                <w:sz w:val="22"/>
                                <w:szCs w:val="22"/>
                              </w:rPr>
                              <m:t>it</m:t>
                            </m:r>
                          </m:sub>
                          <m:sup>
                            <m:r>
                              <w:rPr>
                                <w:rFonts w:ascii="Cambria Math" w:hAnsi="Cambria Math"/>
                                <w:color w:val="000000" w:themeColor="text1"/>
                                <w:sz w:val="22"/>
                                <w:szCs w:val="22"/>
                              </w:rPr>
                              <m:t>b</m:t>
                            </m:r>
                            <m:ctrlPr>
                              <w:rPr>
                                <w:rFonts w:ascii="Cambria Math" w:hAnsi="Cambria Math"/>
                                <w:i/>
                                <w:color w:val="000000" w:themeColor="text1"/>
                                <w:sz w:val="22"/>
                                <w:szCs w:val="22"/>
                              </w:rPr>
                            </m:ctrlPr>
                          </m:sup>
                        </m:sSubSup>
                        <m:r>
                          <w:rPr>
                            <w:rFonts w:ascii="Cambria Math" w:hAnsi="Cambria Math"/>
                            <w:color w:val="000000" w:themeColor="text1"/>
                            <w:sz w:val="22"/>
                            <w:szCs w:val="22"/>
                          </w:rPr>
                          <m:t xml:space="preserve">= </m:t>
                        </m:r>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H</m:t>
                            </m:r>
                          </m:sup>
                        </m:sSup>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U</m:t>
                            </m:r>
                          </m:sup>
                        </m:sSup>
                        <m:r>
                          <w:rPr>
                            <w:rFonts w:ascii="Cambria Math" w:hAnsi="Cambria Math"/>
                            <w:color w:val="000000" w:themeColor="text1"/>
                            <w:sz w:val="22"/>
                            <w:szCs w:val="22"/>
                          </w:rPr>
                          <m:t xml:space="preserve"> </m:t>
                        </m:r>
                      </m:e>
                    </m:eqArr>
                  </m:e>
                </m:d>
              </m:oMath>
            </m:oMathPara>
          </w:p>
        </w:tc>
        <w:tc>
          <w:tcPr>
            <w:tcW w:w="633" w:type="dxa"/>
            <w:vAlign w:val="center"/>
            <w:hideMark/>
          </w:tcPr>
          <w:p w14:paraId="2AC3AF70" w14:textId="77777777" w:rsidR="0001391F" w:rsidRDefault="0001391F">
            <w:pPr>
              <w:spacing w:after="0" w:line="480" w:lineRule="auto"/>
              <w:contextualSpacing/>
              <w:jc w:val="center"/>
              <w:rPr>
                <w:sz w:val="22"/>
                <w:szCs w:val="22"/>
              </w:rPr>
            </w:pPr>
            <w:commentRangeStart w:id="0"/>
            <w:r>
              <w:rPr>
                <w:sz w:val="22"/>
                <w:szCs w:val="22"/>
              </w:rPr>
              <w:t>(</w:t>
            </w:r>
            <w:r>
              <w:rPr>
                <w:sz w:val="22"/>
                <w:szCs w:val="22"/>
                <w:lang w:eastAsia="ko-KR"/>
              </w:rPr>
              <w:t>7</w:t>
            </w:r>
            <w:r>
              <w:rPr>
                <w:sz w:val="22"/>
                <w:szCs w:val="22"/>
              </w:rPr>
              <w:t>)</w:t>
            </w:r>
            <w:commentRangeEnd w:id="0"/>
            <w:r>
              <w:rPr>
                <w:rStyle w:val="CommentReference"/>
                <w:sz w:val="22"/>
                <w:szCs w:val="22"/>
              </w:rPr>
              <w:commentReference w:id="0"/>
            </w:r>
          </w:p>
        </w:tc>
      </w:tr>
    </w:tbl>
    <w:p w14:paraId="6459279D" w14:textId="77777777" w:rsidR="0001391F" w:rsidRDefault="0001391F"/>
    <w:tbl>
      <w:tblPr>
        <w:tblW w:w="10802" w:type="dxa"/>
        <w:tblLook w:val="04A0" w:firstRow="1" w:lastRow="0" w:firstColumn="1" w:lastColumn="0" w:noHBand="0" w:noVBand="1"/>
      </w:tblPr>
      <w:tblGrid>
        <w:gridCol w:w="10083"/>
        <w:gridCol w:w="719"/>
      </w:tblGrid>
      <w:tr w:rsidR="0001391F" w14:paraId="5E86285C" w14:textId="77777777" w:rsidTr="0001391F">
        <w:trPr>
          <w:trHeight w:val="885"/>
        </w:trPr>
        <w:tc>
          <w:tcPr>
            <w:tcW w:w="10083" w:type="dxa"/>
            <w:vAlign w:val="center"/>
            <w:hideMark/>
          </w:tcPr>
          <w:p w14:paraId="4B51AF17" w14:textId="77777777" w:rsidR="0001391F" w:rsidRDefault="0001391F">
            <w:pPr>
              <w:spacing w:after="0" w:line="480" w:lineRule="auto"/>
              <w:contextualSpacing/>
              <w:rPr>
                <w:sz w:val="22"/>
                <w:szCs w:val="22"/>
              </w:rPr>
            </w:pPr>
            <m:oMathPara>
              <m:oMath>
                <m:sSup>
                  <m:sSupPr>
                    <m:ctrlPr>
                      <w:rPr>
                        <w:rFonts w:ascii="Cambria Math" w:hAnsi="Cambria Math"/>
                        <w:i/>
                        <w:sz w:val="22"/>
                        <w:szCs w:val="22"/>
                      </w:rPr>
                    </m:ctrlPr>
                  </m:sSup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it</m:t>
                        </m:r>
                      </m:sub>
                      <m:sup>
                        <m:r>
                          <w:rPr>
                            <w:rFonts w:ascii="Cambria Math" w:hAnsi="Cambria Math"/>
                            <w:sz w:val="22"/>
                            <w:szCs w:val="22"/>
                          </w:rPr>
                          <m:t>b</m:t>
                        </m:r>
                      </m:sup>
                    </m:sSubSup>
                  </m:e>
                  <m:sup>
                    <m:r>
                      <w:rPr>
                        <w:rFonts w:ascii="Cambria Math" w:hAnsi="Cambria Math"/>
                        <w:sz w:val="22"/>
                        <w:szCs w:val="22"/>
                      </w:rPr>
                      <m:t>*</m:t>
                    </m:r>
                  </m:sup>
                </m:sSup>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arg</m:t>
                    </m:r>
                    <m:limLow>
                      <m:limLowPr>
                        <m:ctrlPr>
                          <w:rPr>
                            <w:rFonts w:ascii="Cambria Math" w:hAnsi="Cambria Math"/>
                            <w:i/>
                            <w:sz w:val="22"/>
                            <w:szCs w:val="22"/>
                          </w:rPr>
                        </m:ctrlPr>
                      </m:limLowPr>
                      <m:e>
                        <m:r>
                          <m:rPr>
                            <m:sty m:val="p"/>
                          </m:rPr>
                          <w:rPr>
                            <w:rFonts w:ascii="Cambria Math" w:hAnsi="Cambria Math"/>
                            <w:sz w:val="22"/>
                            <w:szCs w:val="22"/>
                          </w:rPr>
                          <m:t>max</m:t>
                        </m:r>
                        <m:ctrlPr>
                          <w:rPr>
                            <w:rFonts w:ascii="Cambria Math" w:hAnsi="Cambria Math"/>
                            <w:sz w:val="22"/>
                            <w:szCs w:val="22"/>
                          </w:rPr>
                        </m:ctrlPr>
                      </m:e>
                      <m:lim>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it</m:t>
                            </m:r>
                          </m:sub>
                          <m:sup>
                            <m:r>
                              <w:rPr>
                                <w:rFonts w:ascii="Cambria Math" w:hAnsi="Cambria Math"/>
                                <w:sz w:val="22"/>
                                <w:szCs w:val="22"/>
                              </w:rPr>
                              <m:t>b</m:t>
                            </m:r>
                          </m:sup>
                        </m:sSubSup>
                        <m:ctrlPr>
                          <w:rPr>
                            <w:rFonts w:ascii="Cambria Math" w:hAnsi="Cambria Math"/>
                            <w:sz w:val="22"/>
                            <w:szCs w:val="22"/>
                          </w:rPr>
                        </m:ctrlPr>
                      </m:lim>
                    </m:limLow>
                  </m:fName>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H,U</m:t>
                            </m:r>
                          </m:e>
                        </m:d>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Sup>
                              <m:sSubSupPr>
                                <m:ctrlPr>
                                  <w:rPr>
                                    <w:rFonts w:ascii="Cambria Math" w:hAnsi="Cambria Math"/>
                                    <w:i/>
                                    <w:sz w:val="22"/>
                                    <w:szCs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p</m:t>
                                </m:r>
                              </m:sup>
                            </m:sSubSup>
                            <m:r>
                              <w:rPr>
                                <w:rFonts w:ascii="Cambria Math" w:hAnsi="Cambria Math"/>
                                <w:sz w:val="22"/>
                              </w:rPr>
                              <m:t>∈</m:t>
                            </m:r>
                            <m:d>
                              <m:dPr>
                                <m:begChr m:val="{"/>
                                <m:endChr m:val="}"/>
                                <m:ctrlPr>
                                  <w:rPr>
                                    <w:rFonts w:ascii="Cambria Math" w:hAnsi="Cambria Math"/>
                                    <w:i/>
                                    <w:sz w:val="22"/>
                                    <w:szCs w:val="22"/>
                                  </w:rPr>
                                </m:ctrlPr>
                              </m:dPr>
                              <m:e>
                                <m:r>
                                  <w:rPr>
                                    <w:rFonts w:ascii="Cambria Math" w:hAnsi="Cambria Math"/>
                                    <w:sz w:val="22"/>
                                  </w:rPr>
                                  <m:t>CSR,No</m:t>
                                </m:r>
                              </m:e>
                            </m:d>
                          </m:sub>
                        </m:sSub>
                        <m:d>
                          <m:dPr>
                            <m:begChr m:val="["/>
                            <m:endChr m:val="]"/>
                            <m:ctrlPr>
                              <w:rPr>
                                <w:rFonts w:ascii="Cambria Math" w:hAnsi="Cambria Math"/>
                                <w:i/>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rPr>
                                      <m:t>V</m:t>
                                    </m:r>
                                  </m:e>
                                </m:acc>
                              </m:e>
                              <m:sub>
                                <m:r>
                                  <w:rPr>
                                    <w:rFonts w:ascii="Cambria Math" w:hAnsi="Cambria Math"/>
                                    <w:sz w:val="22"/>
                                  </w:rPr>
                                  <m:t>ikt</m:t>
                                </m:r>
                              </m:sub>
                            </m:sSub>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it</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-it</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kt</m:t>
                                    </m:r>
                                  </m:sub>
                                  <m:sup>
                                    <m:r>
                                      <w:rPr>
                                        <w:rFonts w:ascii="Cambria Math" w:hAnsi="Cambria Math"/>
                                      </w:rPr>
                                      <m:t>p</m:t>
                                    </m:r>
                                  </m:sup>
                                </m:sSub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kt</m:t>
                                </m:r>
                              </m:sub>
                            </m:sSub>
                          </m:e>
                        </m:d>
                        <m:ctrlPr>
                          <w:rPr>
                            <w:rFonts w:ascii="Cambria Math" w:eastAsia="Cambria Math" w:hAnsi="Cambria Math" w:cs="Cambria Math"/>
                            <w:i/>
                          </w:rPr>
                        </m:ctrlPr>
                      </m:e>
                      <m:e>
                        <m:r>
                          <w:rPr>
                            <w:rFonts w:ascii="Cambria Math" w:eastAsia="Cambria Math" w:hAnsi="Cambria Math" w:cs="Cambria Math"/>
                          </w:rPr>
                          <m:t>q</m:t>
                        </m:r>
                      </m:e>
                    </m:d>
                  </m:e>
                </m:func>
                <m:r>
                  <w:rPr>
                    <w:rFonts w:ascii="Cambria Math" w:hAnsi="Cambria Math"/>
                    <w:sz w:val="22"/>
                    <w:szCs w:val="22"/>
                  </w:rPr>
                  <m:t>=</m:t>
                </m:r>
                <m:d>
                  <m:dPr>
                    <m:begChr m:val="{"/>
                    <m:endChr m:val=""/>
                    <m:ctrlPr>
                      <w:rPr>
                        <w:rFonts w:ascii="Cambria Math" w:hAnsi="Cambria Math"/>
                        <w:i/>
                        <w:color w:val="000000" w:themeColor="text1"/>
                        <w:sz w:val="22"/>
                        <w:szCs w:val="22"/>
                      </w:rPr>
                    </m:ctrlPr>
                  </m:dPr>
                  <m:e>
                    <m:eqArr>
                      <m:eqArrPr>
                        <m:ctrlPr>
                          <w:rPr>
                            <w:rFonts w:ascii="Cambria Math" w:hAnsi="Cambria Math"/>
                            <w:i/>
                            <w:color w:val="000000" w:themeColor="text1"/>
                            <w:sz w:val="22"/>
                            <w:szCs w:val="22"/>
                          </w:rPr>
                        </m:ctrlPr>
                      </m:eqArrPr>
                      <m:e>
                        <m:r>
                          <w:rPr>
                            <w:rFonts w:ascii="Cambria Math" w:hAnsi="Cambria Math"/>
                            <w:color w:val="000000" w:themeColor="text1"/>
                            <w:sz w:val="22"/>
                            <w:szCs w:val="22"/>
                          </w:rPr>
                          <m:t xml:space="preserve">W,                    </m:t>
                        </m:r>
                        <m:r>
                          <m:rPr>
                            <m:sty m:val="p"/>
                          </m:rPr>
                          <w:rPr>
                            <w:rFonts w:ascii="Cambria Math" w:hAnsi="Cambria Math"/>
                            <w:color w:val="000000" w:themeColor="text1"/>
                            <w:sz w:val="22"/>
                            <w:szCs w:val="22"/>
                          </w:rPr>
                          <m:t xml:space="preserve">if </m:t>
                        </m:r>
                        <m:r>
                          <w:rPr>
                            <w:rFonts w:ascii="Cambria Math" w:hAnsi="Cambria Math"/>
                            <w:color w:val="000000" w:themeColor="text1"/>
                            <w:sz w:val="22"/>
                            <w:szCs w:val="22"/>
                          </w:rPr>
                          <m:t xml:space="preserve"> </m:t>
                        </m:r>
                        <m:r>
                          <w:rPr>
                            <w:rFonts w:ascii="Cambria Math" w:hAnsi="Cambria Math"/>
                            <w:color w:val="000000" w:themeColor="text1"/>
                            <w:sz w:val="22"/>
                            <w:szCs w:val="22"/>
                            <w:shd w:val="clear" w:color="auto" w:fill="FFFFFF"/>
                          </w:rPr>
                          <m:t>κ&lt;</m:t>
                        </m:r>
                        <m:acc>
                          <m:accPr>
                            <m:chr m:val="̅"/>
                            <m:ctrlPr>
                              <w:rPr>
                                <w:rFonts w:ascii="Cambria Math" w:hAnsi="Cambria Math"/>
                                <w:i/>
                                <w:color w:val="000000" w:themeColor="text1"/>
                                <w:sz w:val="22"/>
                                <w:szCs w:val="22"/>
                              </w:rPr>
                            </m:ctrlPr>
                          </m:accPr>
                          <m:e>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κ</m:t>
                                </m:r>
                              </m:e>
                              <m:sub>
                                <m:r>
                                  <w:rPr>
                                    <w:rFonts w:ascii="Cambria Math" w:hAnsi="Cambria Math"/>
                                    <w:color w:val="000000" w:themeColor="text1"/>
                                    <w:sz w:val="22"/>
                                    <w:szCs w:val="22"/>
                                    <w:shd w:val="clear" w:color="auto" w:fill="FFFFFF"/>
                                  </w:rPr>
                                  <m:t>t</m:t>
                                </m:r>
                              </m:sub>
                              <m:sup>
                                <m:r>
                                  <w:rPr>
                                    <w:rFonts w:ascii="Cambria Math" w:hAnsi="Cambria Math"/>
                                    <w:color w:val="000000" w:themeColor="text1"/>
                                    <w:sz w:val="22"/>
                                    <w:szCs w:val="22"/>
                                    <w:shd w:val="clear" w:color="auto" w:fill="FFFFFF"/>
                                  </w:rPr>
                                  <m:t>*</m:t>
                                </m:r>
                              </m:sup>
                            </m:sSubSup>
                          </m:e>
                        </m:acc>
                        <m:r>
                          <w:rPr>
                            <w:rFonts w:ascii="Cambria Math" w:hAnsi="Cambria Math"/>
                            <w:color w:val="000000" w:themeColor="text1"/>
                            <w:sz w:val="22"/>
                            <w:szCs w:val="22"/>
                          </w:rPr>
                          <m:t xml:space="preserve">     </m:t>
                        </m:r>
                      </m:e>
                      <m:e>
                        <m:r>
                          <w:rPr>
                            <w:rFonts w:ascii="Cambria Math" w:hAnsi="Cambria Math"/>
                            <w:color w:val="000000" w:themeColor="text1"/>
                            <w:sz w:val="22"/>
                            <w:szCs w:val="22"/>
                          </w:rPr>
                          <m:t xml:space="preserve">A,                     </m:t>
                        </m:r>
                        <m:r>
                          <m:rPr>
                            <m:sty m:val="p"/>
                          </m:rPr>
                          <w:rPr>
                            <w:rFonts w:ascii="Cambria Math" w:hAnsi="Cambria Math"/>
                            <w:color w:val="000000" w:themeColor="text1"/>
                            <w:sz w:val="22"/>
                            <w:szCs w:val="22"/>
                          </w:rPr>
                          <m:t>if</m:t>
                        </m:r>
                        <m:r>
                          <w:rPr>
                            <w:rFonts w:ascii="Cambria Math" w:hAnsi="Cambria Math"/>
                            <w:color w:val="000000" w:themeColor="text1"/>
                            <w:sz w:val="22"/>
                            <w:szCs w:val="22"/>
                          </w:rPr>
                          <m:t xml:space="preserve">  </m:t>
                        </m:r>
                        <m:r>
                          <w:rPr>
                            <w:rFonts w:ascii="Cambria Math" w:hAnsi="Cambria Math"/>
                            <w:color w:val="000000" w:themeColor="text1"/>
                            <w:sz w:val="22"/>
                            <w:szCs w:val="22"/>
                            <w:shd w:val="clear" w:color="auto" w:fill="FFFFFF"/>
                          </w:rPr>
                          <m:t>κ&gt;</m:t>
                        </m:r>
                        <m:acc>
                          <m:accPr>
                            <m:chr m:val="̅"/>
                            <m:ctrlPr>
                              <w:rPr>
                                <w:rFonts w:ascii="Cambria Math" w:hAnsi="Cambria Math"/>
                                <w:i/>
                                <w:color w:val="000000" w:themeColor="text1"/>
                                <w:sz w:val="22"/>
                                <w:szCs w:val="22"/>
                              </w:rPr>
                            </m:ctrlPr>
                          </m:accPr>
                          <m:e>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κ</m:t>
                                </m:r>
                              </m:e>
                              <m:sub>
                                <m:r>
                                  <w:rPr>
                                    <w:rFonts w:ascii="Cambria Math" w:hAnsi="Cambria Math"/>
                                    <w:color w:val="000000" w:themeColor="text1"/>
                                    <w:sz w:val="22"/>
                                    <w:szCs w:val="22"/>
                                    <w:shd w:val="clear" w:color="auto" w:fill="FFFFFF"/>
                                  </w:rPr>
                                  <m:t>t</m:t>
                                </m:r>
                              </m:sub>
                              <m:sup>
                                <m:r>
                                  <w:rPr>
                                    <w:rFonts w:ascii="Cambria Math" w:hAnsi="Cambria Math"/>
                                    <w:color w:val="000000" w:themeColor="text1"/>
                                    <w:sz w:val="22"/>
                                    <w:szCs w:val="22"/>
                                    <w:shd w:val="clear" w:color="auto" w:fill="FFFFFF"/>
                                  </w:rPr>
                                  <m:t>*</m:t>
                                </m:r>
                              </m:sup>
                            </m:sSubSup>
                          </m:e>
                        </m:acc>
                        <m:r>
                          <w:rPr>
                            <w:rFonts w:ascii="Cambria Math" w:hAnsi="Cambria Math"/>
                            <w:color w:val="000000" w:themeColor="text1"/>
                            <w:sz w:val="22"/>
                            <w:szCs w:val="22"/>
                          </w:rPr>
                          <m:t xml:space="preserve">    </m:t>
                        </m:r>
                        <m:ctrlPr>
                          <w:rPr>
                            <w:rFonts w:ascii="Cambria Math" w:eastAsia="Cambria Math" w:hAnsi="Cambria Math" w:cs="Cambria Math"/>
                            <w:i/>
                            <w:color w:val="000000" w:themeColor="text1"/>
                            <w:sz w:val="22"/>
                            <w:szCs w:val="22"/>
                            <w:shd w:val="clear" w:color="auto" w:fill="FFFFFF"/>
                          </w:rPr>
                        </m:ctrlPr>
                      </m:e>
                      <m:e>
                        <m:r>
                          <m:rPr>
                            <m:sty m:val="p"/>
                          </m:rPr>
                          <w:rPr>
                            <w:rFonts w:ascii="Cambria Math" w:eastAsia="Cambria Math" w:hAnsi="Cambria Math" w:cs="Cambria Math"/>
                            <w:color w:val="000000" w:themeColor="text1"/>
                            <w:sz w:val="22"/>
                            <w:szCs w:val="22"/>
                            <w:shd w:val="clear" w:color="auto" w:fill="FFFFFF"/>
                          </w:rPr>
                          <m:t>indifferent,    if</m:t>
                        </m:r>
                        <m:r>
                          <w:rPr>
                            <w:rFonts w:ascii="Cambria Math" w:eastAsia="Cambria Math" w:hAnsi="Cambria Math" w:cs="Cambria Math"/>
                            <w:color w:val="000000" w:themeColor="text1"/>
                            <w:sz w:val="22"/>
                            <w:szCs w:val="22"/>
                            <w:shd w:val="clear" w:color="auto" w:fill="FFFFFF"/>
                          </w:rPr>
                          <m:t xml:space="preserve">   </m:t>
                        </m:r>
                        <m:r>
                          <w:rPr>
                            <w:rFonts w:ascii="Cambria Math" w:hAnsi="Cambria Math"/>
                            <w:color w:val="000000" w:themeColor="text1"/>
                            <w:sz w:val="22"/>
                            <w:szCs w:val="22"/>
                            <w:shd w:val="clear" w:color="auto" w:fill="FFFFFF"/>
                          </w:rPr>
                          <m:t>κ=</m:t>
                        </m:r>
                        <m:acc>
                          <m:accPr>
                            <m:chr m:val="̅"/>
                            <m:ctrlPr>
                              <w:rPr>
                                <w:rFonts w:ascii="Cambria Math" w:hAnsi="Cambria Math"/>
                                <w:i/>
                                <w:color w:val="000000" w:themeColor="text1"/>
                                <w:sz w:val="22"/>
                                <w:szCs w:val="22"/>
                              </w:rPr>
                            </m:ctrlPr>
                          </m:accPr>
                          <m:e>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κ</m:t>
                                </m:r>
                              </m:e>
                              <m:sub>
                                <m:r>
                                  <w:rPr>
                                    <w:rFonts w:ascii="Cambria Math" w:hAnsi="Cambria Math"/>
                                    <w:color w:val="000000" w:themeColor="text1"/>
                                    <w:sz w:val="22"/>
                                    <w:szCs w:val="22"/>
                                    <w:shd w:val="clear" w:color="auto" w:fill="FFFFFF"/>
                                  </w:rPr>
                                  <m:t>t</m:t>
                                </m:r>
                              </m:sub>
                              <m:sup>
                                <m:r>
                                  <w:rPr>
                                    <w:rFonts w:ascii="Cambria Math" w:hAnsi="Cambria Math"/>
                                    <w:color w:val="000000" w:themeColor="text1"/>
                                    <w:sz w:val="22"/>
                                    <w:szCs w:val="22"/>
                                    <w:shd w:val="clear" w:color="auto" w:fill="FFFFFF"/>
                                  </w:rPr>
                                  <m:t>*</m:t>
                                </m:r>
                              </m:sup>
                            </m:sSubSup>
                          </m:e>
                        </m:acc>
                        <m:r>
                          <w:rPr>
                            <w:rFonts w:ascii="Cambria Math" w:hAnsi="Cambria Math"/>
                            <w:color w:val="000000" w:themeColor="text1"/>
                            <w:sz w:val="22"/>
                            <w:szCs w:val="22"/>
                            <w:shd w:val="clear" w:color="auto" w:fill="FFFFFF"/>
                          </w:rPr>
                          <m:t xml:space="preserve">   </m:t>
                        </m:r>
                      </m:e>
                    </m:eqArr>
                  </m:e>
                </m:d>
              </m:oMath>
            </m:oMathPara>
          </w:p>
        </w:tc>
        <w:tc>
          <w:tcPr>
            <w:tcW w:w="719" w:type="dxa"/>
            <w:vAlign w:val="center"/>
            <w:hideMark/>
          </w:tcPr>
          <w:p w14:paraId="17B6E544" w14:textId="77777777" w:rsidR="0001391F" w:rsidRDefault="0001391F">
            <w:pPr>
              <w:spacing w:after="0" w:line="480" w:lineRule="auto"/>
              <w:contextualSpacing/>
              <w:jc w:val="center"/>
              <w:rPr>
                <w:sz w:val="22"/>
                <w:szCs w:val="22"/>
              </w:rPr>
            </w:pPr>
            <w:r>
              <w:rPr>
                <w:sz w:val="22"/>
                <w:szCs w:val="22"/>
              </w:rPr>
              <w:t>(</w:t>
            </w:r>
            <w:r>
              <w:rPr>
                <w:sz w:val="22"/>
                <w:szCs w:val="22"/>
                <w:lang w:eastAsia="ko-KR"/>
              </w:rPr>
              <w:t>8</w:t>
            </w:r>
            <w:r>
              <w:rPr>
                <w:sz w:val="22"/>
                <w:szCs w:val="22"/>
              </w:rPr>
              <w:t>)</w:t>
            </w:r>
          </w:p>
        </w:tc>
      </w:tr>
    </w:tbl>
    <w:p w14:paraId="5891C968" w14:textId="77777777" w:rsidR="0001391F" w:rsidRDefault="0001391F"/>
    <w:tbl>
      <w:tblPr>
        <w:tblpPr w:leftFromText="180" w:rightFromText="180" w:bottomFromText="160" w:vertAnchor="text" w:tblpY="1"/>
        <w:tblOverlap w:val="never"/>
        <w:tblW w:w="9570" w:type="dxa"/>
        <w:tblLook w:val="04A0" w:firstRow="1" w:lastRow="0" w:firstColumn="1" w:lastColumn="0" w:noHBand="0" w:noVBand="1"/>
      </w:tblPr>
      <w:tblGrid>
        <w:gridCol w:w="8877"/>
        <w:gridCol w:w="693"/>
      </w:tblGrid>
      <w:tr w:rsidR="0001391F" w14:paraId="15C6A16E" w14:textId="77777777" w:rsidTr="0001391F">
        <w:trPr>
          <w:trHeight w:val="862"/>
        </w:trPr>
        <w:tc>
          <w:tcPr>
            <w:tcW w:w="8877" w:type="dxa"/>
            <w:vAlign w:val="center"/>
            <w:hideMark/>
          </w:tcPr>
          <w:p w14:paraId="6BE879B7" w14:textId="77777777" w:rsidR="0001391F" w:rsidRDefault="0001391F" w:rsidP="000900D8">
            <w:pPr>
              <w:spacing w:after="0" w:line="480" w:lineRule="auto"/>
              <w:contextualSpacing/>
              <w:rPr>
                <w:sz w:val="22"/>
                <w:szCs w:val="22"/>
              </w:rPr>
            </w:pPr>
            <m:oMathPara>
              <m:oMath>
                <m:acc>
                  <m:accPr>
                    <m:chr m:val="̅"/>
                    <m:ctrlPr>
                      <w:rPr>
                        <w:rFonts w:ascii="Cambria Math" w:hAnsi="Cambria Math"/>
                        <w:i/>
                        <w:color w:val="000000" w:themeColor="text1"/>
                        <w:sz w:val="22"/>
                        <w:szCs w:val="22"/>
                      </w:rPr>
                    </m:ctrlPr>
                  </m:accPr>
                  <m:e>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κ</m:t>
                        </m:r>
                      </m:e>
                      <m:sub>
                        <m:r>
                          <w:rPr>
                            <w:rFonts w:ascii="Cambria Math" w:hAnsi="Cambria Math"/>
                            <w:color w:val="000000" w:themeColor="text1"/>
                            <w:sz w:val="22"/>
                            <w:szCs w:val="22"/>
                            <w:shd w:val="clear" w:color="auto" w:fill="FFFFFF"/>
                          </w:rPr>
                          <m:t>t</m:t>
                        </m:r>
                      </m:sub>
                      <m:sup>
                        <m:r>
                          <w:rPr>
                            <w:rFonts w:ascii="Cambria Math" w:hAnsi="Cambria Math"/>
                            <w:color w:val="000000" w:themeColor="text1"/>
                            <w:sz w:val="22"/>
                            <w:szCs w:val="22"/>
                            <w:shd w:val="clear" w:color="auto" w:fill="FFFFFF"/>
                          </w:rPr>
                          <m:t>*</m:t>
                        </m:r>
                      </m:sup>
                    </m:sSubSup>
                  </m:e>
                </m:acc>
                <m:r>
                  <w:rPr>
                    <w:rFonts w:ascii="Cambria Math" w:hAnsi="Cambria Math"/>
                    <w:color w:val="000000" w:themeColor="text1"/>
                    <w:sz w:val="22"/>
                    <w:szCs w:val="22"/>
                  </w:rPr>
                  <m:t>≡</m:t>
                </m:r>
                <m:sSub>
                  <m:sSubPr>
                    <m:ctrlPr>
                      <w:rPr>
                        <w:rFonts w:ascii="Cambria Math" w:hAnsi="Cambria Math"/>
                        <w:i/>
                        <w:sz w:val="22"/>
                        <w:szCs w:val="22"/>
                      </w:rPr>
                    </m:ctrlPr>
                  </m:sSubPr>
                  <m:e>
                    <m:r>
                      <m:rPr>
                        <m:scr m:val="double-struck"/>
                      </m:rPr>
                      <w:rPr>
                        <w:rFonts w:ascii="Cambria Math" w:hAnsi="Cambria Math"/>
                        <w:sz w:val="22"/>
                        <w:szCs w:val="22"/>
                      </w:rPr>
                      <m:t>E</m:t>
                    </m:r>
                  </m:e>
                  <m:sub>
                    <m:r>
                      <w:rPr>
                        <w:rFonts w:ascii="Cambria Math" w:hAnsi="Cambria Math"/>
                        <w:sz w:val="22"/>
                        <w:szCs w:val="22"/>
                      </w:rPr>
                      <m:t>z</m:t>
                    </m:r>
                  </m:sub>
                </m:sSub>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κ</m:t>
                        </m:r>
                      </m:e>
                      <m:sub>
                        <m:r>
                          <w:rPr>
                            <w:rFonts w:ascii="Cambria Math" w:hAnsi="Cambria Math"/>
                            <w:sz w:val="22"/>
                            <w:szCs w:val="22"/>
                          </w:rPr>
                          <m:t>t</m:t>
                        </m:r>
                      </m:sub>
                      <m:sup>
                        <m:r>
                          <w:rPr>
                            <w:rFonts w:ascii="Cambria Math" w:hAnsi="Cambria Math"/>
                            <w:sz w:val="22"/>
                            <w:szCs w:val="22"/>
                          </w:rPr>
                          <m:t>*</m:t>
                        </m:r>
                      </m:sup>
                    </m:sSubSup>
                    <m:r>
                      <w:rPr>
                        <w:rFonts w:ascii="Cambria Math" w:hAnsi="Cambria Math"/>
                        <w:sz w:val="22"/>
                        <w:szCs w:val="22"/>
                      </w:rPr>
                      <m:t>|q</m:t>
                    </m:r>
                  </m:e>
                </m:d>
                <m:r>
                  <w:rPr>
                    <w:rFonts w:ascii="Cambria Math" w:hAnsi="Cambria Math"/>
                    <w:sz w:val="22"/>
                    <w:szCs w:val="22"/>
                  </w:rPr>
                  <m:t>=</m:t>
                </m:r>
                <m:r>
                  <w:rPr>
                    <w:rFonts w:ascii="Cambria Math" w:hAnsi="Cambria Math"/>
                    <w:color w:val="000000" w:themeColor="text1"/>
                    <w:sz w:val="22"/>
                    <w:szCs w:val="22"/>
                  </w:rPr>
                  <m:t>q</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ikt</m:t>
                    </m:r>
                  </m:sub>
                </m:sSub>
                <m:r>
                  <w:rPr>
                    <w:rFonts w:ascii="Cambria Math" w:hAnsi="Cambria Math"/>
                    <w:sz w:val="22"/>
                    <w:szCs w:val="22"/>
                  </w:rPr>
                  <m:t>Binomial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t</m:t>
                        </m:r>
                      </m:sub>
                      <m:sup>
                        <m:r>
                          <w:rPr>
                            <w:rFonts w:ascii="Cambria Math" w:hAnsi="Cambria Math"/>
                            <w:sz w:val="22"/>
                            <w:szCs w:val="22"/>
                          </w:rPr>
                          <m:t>*</m:t>
                        </m:r>
                      </m:sup>
                    </m:sSubSup>
                    <m:r>
                      <w:rPr>
                        <w:rFonts w:ascii="Cambria Math" w:hAnsi="Cambria Math"/>
                        <w:sz w:val="22"/>
                        <w:szCs w:val="22"/>
                      </w:rPr>
                      <m:t xml:space="preserve">; N, </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t</m:t>
                        </m:r>
                      </m:sub>
                    </m:sSub>
                  </m:e>
                </m:d>
              </m:oMath>
            </m:oMathPara>
          </w:p>
        </w:tc>
        <w:tc>
          <w:tcPr>
            <w:tcW w:w="693" w:type="dxa"/>
            <w:vAlign w:val="center"/>
            <w:hideMark/>
          </w:tcPr>
          <w:p w14:paraId="509240A4" w14:textId="77777777" w:rsidR="0001391F" w:rsidRDefault="0001391F" w:rsidP="000900D8">
            <w:pPr>
              <w:spacing w:after="0" w:line="480" w:lineRule="auto"/>
              <w:contextualSpacing/>
              <w:jc w:val="center"/>
              <w:rPr>
                <w:sz w:val="22"/>
                <w:szCs w:val="22"/>
              </w:rPr>
            </w:pPr>
            <w:r>
              <w:rPr>
                <w:sz w:val="22"/>
                <w:szCs w:val="22"/>
              </w:rPr>
              <w:t>(</w:t>
            </w:r>
            <w:r>
              <w:rPr>
                <w:sz w:val="22"/>
                <w:szCs w:val="22"/>
                <w:lang w:eastAsia="ko-KR"/>
              </w:rPr>
              <w:t>9</w:t>
            </w:r>
            <w:r>
              <w:rPr>
                <w:sz w:val="22"/>
                <w:szCs w:val="22"/>
              </w:rPr>
              <w:t>)</w:t>
            </w:r>
          </w:p>
        </w:tc>
      </w:tr>
    </w:tbl>
    <w:p w14:paraId="002BC83D" w14:textId="445E543D" w:rsidR="0001391F" w:rsidRDefault="0001391F"/>
    <w:p w14:paraId="71D2855E" w14:textId="345365DA" w:rsidR="00202E84" w:rsidRDefault="00202E84"/>
    <w:p w14:paraId="7E773C06" w14:textId="3F46BE98" w:rsidR="00202E84" w:rsidRDefault="00202E84"/>
    <w:p w14:paraId="180AB659" w14:textId="6E0221BC" w:rsidR="00202E84" w:rsidRDefault="00202E84"/>
    <w:p w14:paraId="62D52C58" w14:textId="27132056" w:rsidR="00202E84" w:rsidRDefault="00202E84"/>
    <w:tbl>
      <w:tblPr>
        <w:tblpPr w:leftFromText="180" w:rightFromText="180" w:bottomFromText="160" w:vertAnchor="text" w:tblpY="1"/>
        <w:tblOverlap w:val="never"/>
        <w:tblW w:w="9570" w:type="dxa"/>
        <w:tblLook w:val="04A0" w:firstRow="1" w:lastRow="0" w:firstColumn="1" w:lastColumn="0" w:noHBand="0" w:noVBand="1"/>
      </w:tblPr>
      <w:tblGrid>
        <w:gridCol w:w="8877"/>
        <w:gridCol w:w="693"/>
      </w:tblGrid>
      <w:tr w:rsidR="00202E84" w14:paraId="2F2945EE" w14:textId="77777777" w:rsidTr="00202E84">
        <w:trPr>
          <w:trHeight w:val="862"/>
        </w:trPr>
        <w:tc>
          <w:tcPr>
            <w:tcW w:w="8877" w:type="dxa"/>
            <w:vAlign w:val="center"/>
            <w:hideMark/>
          </w:tcPr>
          <w:bookmarkStart w:id="1" w:name="_GoBack"/>
          <w:p w14:paraId="398FC239" w14:textId="77777777" w:rsidR="00202E84" w:rsidRDefault="00202E84" w:rsidP="000900D8">
            <w:pPr>
              <w:spacing w:after="0" w:line="480" w:lineRule="auto"/>
              <w:contextualSpacing/>
              <w:rPr>
                <w:sz w:val="22"/>
                <w:szCs w:val="22"/>
              </w:rPr>
            </w:pPr>
            <m:oMathPara>
              <m:oMath>
                <m:sSub>
                  <m:sSubPr>
                    <m:ctrlPr>
                      <w:rPr>
                        <w:rFonts w:ascii="Cambria Math" w:hAnsi="Cambria Math"/>
                        <w:color w:val="FF0000"/>
                        <w:sz w:val="22"/>
                        <w:szCs w:val="22"/>
                      </w:rPr>
                    </m:ctrlPr>
                  </m:sSubPr>
                  <m:e>
                    <m:r>
                      <m:rPr>
                        <m:sty m:val="p"/>
                      </m:rPr>
                      <w:rPr>
                        <w:rFonts w:ascii="Cambria Math" w:hAnsi="Cambria Math"/>
                        <w:color w:val="FF0000"/>
                        <w:sz w:val="22"/>
                        <w:szCs w:val="22"/>
                      </w:rPr>
                      <m:t>μ</m:t>
                    </m:r>
                  </m:e>
                  <m:sub>
                    <m:r>
                      <m:rPr>
                        <m:sty m:val="p"/>
                      </m:rPr>
                      <w:rPr>
                        <w:rFonts w:ascii="Cambria Math" w:hAnsi="Cambria Math"/>
                        <w:color w:val="FF0000"/>
                        <w:sz w:val="22"/>
                        <w:szCs w:val="22"/>
                      </w:rPr>
                      <m:t>t</m:t>
                    </m:r>
                  </m:sub>
                </m:sSub>
                <m:r>
                  <m:rPr>
                    <m:sty m:val="p"/>
                  </m:rPr>
                  <w:rPr>
                    <w:rFonts w:ascii="Cambria Math" w:hAnsi="Cambria Math"/>
                    <w:color w:val="FF0000"/>
                    <w:sz w:val="22"/>
                    <w:szCs w:val="22"/>
                  </w:rPr>
                  <m:t>(κ)≡</m:t>
                </m:r>
                <m:sSub>
                  <m:sSubPr>
                    <m:ctrlPr>
                      <w:rPr>
                        <w:rFonts w:ascii="Cambria Math" w:hAnsi="Cambria Math"/>
                        <w:color w:val="FF0000"/>
                        <w:sz w:val="22"/>
                        <w:szCs w:val="22"/>
                      </w:rPr>
                    </m:ctrlPr>
                  </m:sSubPr>
                  <m:e>
                    <m:r>
                      <m:rPr>
                        <m:scr m:val="double-struck"/>
                        <m:sty m:val="p"/>
                      </m:rPr>
                      <w:rPr>
                        <w:rFonts w:ascii="Cambria Math" w:hAnsi="Cambria Math"/>
                        <w:color w:val="FF0000"/>
                        <w:sz w:val="22"/>
                        <w:szCs w:val="22"/>
                      </w:rPr>
                      <m:t>E</m:t>
                    </m:r>
                  </m:e>
                  <m:sub>
                    <m:sSub>
                      <m:sSubPr>
                        <m:ctrlPr>
                          <w:rPr>
                            <w:rFonts w:ascii="Cambria Math" w:hAnsi="Cambria Math"/>
                            <w:i/>
                            <w:color w:val="FF0000"/>
                            <w:sz w:val="22"/>
                            <w:szCs w:val="22"/>
                          </w:rPr>
                        </m:ctrlPr>
                      </m:sSubPr>
                      <m:e>
                        <m:r>
                          <w:rPr>
                            <w:rFonts w:ascii="Cambria Math" w:hAnsi="Cambria Math"/>
                            <w:color w:val="FF0000"/>
                            <w:sz w:val="22"/>
                            <w:szCs w:val="22"/>
                          </w:rPr>
                          <m:t>z</m:t>
                        </m:r>
                      </m:e>
                      <m:sub>
                        <m:r>
                          <w:rPr>
                            <w:rFonts w:ascii="Cambria Math" w:hAnsi="Cambria Math"/>
                            <w:color w:val="FF0000"/>
                            <w:sz w:val="22"/>
                            <w:szCs w:val="22"/>
                          </w:rPr>
                          <m:t>i</m:t>
                        </m:r>
                      </m:sub>
                    </m:sSub>
                    <m:r>
                      <w:rPr>
                        <w:rFonts w:ascii="Cambria Math" w:hAnsi="Cambria Math"/>
                        <w:color w:val="FF0000"/>
                        <w:sz w:val="22"/>
                        <w:szCs w:val="22"/>
                      </w:rPr>
                      <m:t>∈</m:t>
                    </m:r>
                    <m:d>
                      <m:dPr>
                        <m:begChr m:val="{"/>
                        <m:endChr m:val="}"/>
                        <m:ctrlPr>
                          <w:rPr>
                            <w:rFonts w:ascii="Cambria Math" w:hAnsi="Cambria Math"/>
                            <w:i/>
                            <w:color w:val="FF0000"/>
                            <w:sz w:val="22"/>
                            <w:szCs w:val="22"/>
                          </w:rPr>
                        </m:ctrlPr>
                      </m:dPr>
                      <m:e>
                        <m:r>
                          <w:rPr>
                            <w:rFonts w:ascii="Cambria Math" w:hAnsi="Cambria Math"/>
                            <w:color w:val="FF0000"/>
                            <w:sz w:val="22"/>
                            <w:szCs w:val="22"/>
                          </w:rPr>
                          <m:t>U,H</m:t>
                        </m:r>
                      </m:e>
                    </m:d>
                  </m:sub>
                </m:sSub>
                <m:r>
                  <m:rPr>
                    <m:scr m:val="double-struck"/>
                    <m:sty m:val="p"/>
                  </m:rPr>
                  <w:rPr>
                    <w:rFonts w:ascii="Cambria Math" w:hAnsi="Cambria Math"/>
                    <w:color w:val="FF0000"/>
                    <w:sz w:val="22"/>
                    <w:szCs w:val="22"/>
                  </w:rPr>
                  <m:t>[P</m:t>
                </m:r>
                <m:d>
                  <m:dPr>
                    <m:ctrlPr>
                      <w:rPr>
                        <w:rFonts w:ascii="Cambria Math" w:hAnsi="Cambria Math"/>
                        <w:color w:val="FF0000"/>
                        <w:sz w:val="22"/>
                        <w:szCs w:val="22"/>
                      </w:rPr>
                    </m:ctrlPr>
                  </m:dPr>
                  <m:e>
                    <m:sSubSup>
                      <m:sSubSupPr>
                        <m:ctrlPr>
                          <w:rPr>
                            <w:rFonts w:ascii="Cambria Math" w:hAnsi="Cambria Math"/>
                            <w:color w:val="FF0000"/>
                            <w:sz w:val="22"/>
                            <w:szCs w:val="22"/>
                          </w:rPr>
                        </m:ctrlPr>
                      </m:sSubSupPr>
                      <m:e>
                        <m:r>
                          <m:rPr>
                            <m:sty m:val="p"/>
                          </m:rPr>
                          <w:rPr>
                            <w:rFonts w:ascii="Cambria Math" w:hAnsi="Cambria Math"/>
                            <w:color w:val="FF0000"/>
                            <w:sz w:val="22"/>
                            <w:szCs w:val="22"/>
                          </w:rPr>
                          <m:t>σ</m:t>
                        </m:r>
                      </m:e>
                      <m:sub>
                        <m:r>
                          <m:rPr>
                            <m:sty m:val="p"/>
                          </m:rPr>
                          <w:rPr>
                            <w:rFonts w:ascii="Cambria Math" w:hAnsi="Cambria Math"/>
                            <w:color w:val="FF0000"/>
                            <w:sz w:val="22"/>
                            <w:szCs w:val="22"/>
                          </w:rPr>
                          <m:t>it</m:t>
                        </m:r>
                      </m:sub>
                      <m:sup>
                        <m:r>
                          <m:rPr>
                            <m:sty m:val="p"/>
                          </m:rPr>
                          <w:rPr>
                            <w:rFonts w:ascii="Cambria Math" w:hAnsi="Cambria Math"/>
                            <w:color w:val="FF0000"/>
                            <w:sz w:val="22"/>
                            <w:szCs w:val="22"/>
                          </w:rPr>
                          <m:t>b</m:t>
                        </m:r>
                      </m:sup>
                    </m:sSubSup>
                    <m:r>
                      <m:rPr>
                        <m:sty m:val="p"/>
                      </m:rPr>
                      <w:rPr>
                        <w:rFonts w:ascii="Cambria Math" w:hAnsi="Cambria Math"/>
                        <w:color w:val="FF0000"/>
                        <w:sz w:val="22"/>
                        <w:szCs w:val="22"/>
                      </w:rPr>
                      <m:t>=W</m:t>
                    </m:r>
                  </m:e>
                </m:d>
                <m:r>
                  <m:rPr>
                    <m:sty m:val="p"/>
                  </m:rPr>
                  <w:rPr>
                    <w:rFonts w:ascii="Cambria Math" w:hAnsi="Cambria Math"/>
                    <w:color w:val="FF0000"/>
                    <w:sz w:val="22"/>
                    <w:szCs w:val="22"/>
                  </w:rPr>
                  <m:t>|</m:t>
                </m:r>
                <m:r>
                  <w:rPr>
                    <w:rFonts w:ascii="Cambria Math" w:hAnsi="Cambria Math"/>
                    <w:color w:val="FF0000"/>
                    <w:sz w:val="22"/>
                    <w:szCs w:val="22"/>
                  </w:rPr>
                  <m:t>q</m:t>
                </m:r>
                <m:r>
                  <m:rPr>
                    <m:sty m:val="p"/>
                  </m:rPr>
                  <w:rPr>
                    <w:rFonts w:ascii="Cambria Math" w:hAnsi="Cambria Math"/>
                    <w:color w:val="FF0000"/>
                    <w:sz w:val="22"/>
                    <w:szCs w:val="22"/>
                  </w:rPr>
                  <m:t>]</m:t>
                </m:r>
                <m:r>
                  <w:rPr>
                    <w:rFonts w:ascii="Cambria Math" w:hAnsi="Cambria Math"/>
                    <w:color w:val="FF0000"/>
                    <w:sz w:val="22"/>
                    <w:szCs w:val="22"/>
                  </w:rPr>
                  <m:t>=</m:t>
                </m:r>
                <m:d>
                  <m:dPr>
                    <m:begChr m:val="{"/>
                    <m:endChr m:val=""/>
                    <m:ctrlPr>
                      <w:rPr>
                        <w:rFonts w:ascii="Cambria Math" w:hAnsi="Cambria Math"/>
                        <w:i/>
                        <w:color w:val="FF0000"/>
                        <w:sz w:val="22"/>
                        <w:szCs w:val="22"/>
                      </w:rPr>
                    </m:ctrlPr>
                  </m:dPr>
                  <m:e>
                    <m:eqArr>
                      <m:eqArrPr>
                        <m:ctrlPr>
                          <w:rPr>
                            <w:rFonts w:ascii="Cambria Math" w:hAnsi="Cambria Math"/>
                            <w:i/>
                            <w:color w:val="FF0000"/>
                            <w:sz w:val="22"/>
                            <w:szCs w:val="22"/>
                          </w:rPr>
                        </m:ctrlPr>
                      </m:eqArrPr>
                      <m:e>
                        <m:r>
                          <w:rPr>
                            <w:rFonts w:ascii="Cambria Math" w:hAnsi="Cambria Math"/>
                            <w:color w:val="FF0000"/>
                            <w:sz w:val="22"/>
                            <w:szCs w:val="22"/>
                          </w:rPr>
                          <m:t xml:space="preserve"> q,  κ&lt; </m:t>
                        </m:r>
                        <m:acc>
                          <m:accPr>
                            <m:chr m:val="̅"/>
                            <m:ctrlPr>
                              <w:rPr>
                                <w:rFonts w:ascii="Cambria Math" w:hAnsi="Cambria Math"/>
                                <w:i/>
                                <w:color w:val="FF0000"/>
                                <w:sz w:val="22"/>
                                <w:szCs w:val="22"/>
                              </w:rPr>
                            </m:ctrlPr>
                          </m:accPr>
                          <m:e>
                            <m:sSubSup>
                              <m:sSubSupPr>
                                <m:ctrlPr>
                                  <w:rPr>
                                    <w:rFonts w:ascii="Cambria Math" w:hAnsi="Cambria Math"/>
                                    <w:i/>
                                    <w:color w:val="FF0000"/>
                                    <w:sz w:val="22"/>
                                    <w:szCs w:val="22"/>
                                    <w:shd w:val="clear" w:color="auto" w:fill="FFFFFF"/>
                                  </w:rPr>
                                </m:ctrlPr>
                              </m:sSubSupPr>
                              <m:e>
                                <m:r>
                                  <w:rPr>
                                    <w:rFonts w:ascii="Cambria Math" w:hAnsi="Cambria Math"/>
                                    <w:color w:val="FF0000"/>
                                    <w:sz w:val="22"/>
                                    <w:szCs w:val="22"/>
                                    <w:shd w:val="clear" w:color="auto" w:fill="FFFFFF"/>
                                  </w:rPr>
                                  <m:t>κ</m:t>
                                </m:r>
                              </m:e>
                              <m:sub>
                                <m:r>
                                  <w:rPr>
                                    <w:rFonts w:ascii="Cambria Math" w:hAnsi="Cambria Math"/>
                                    <w:color w:val="FF0000"/>
                                    <w:sz w:val="22"/>
                                    <w:szCs w:val="22"/>
                                    <w:shd w:val="clear" w:color="auto" w:fill="FFFFFF"/>
                                  </w:rPr>
                                  <m:t>t</m:t>
                                </m:r>
                              </m:sub>
                              <m:sup>
                                <m:r>
                                  <w:rPr>
                                    <w:rFonts w:ascii="Cambria Math" w:hAnsi="Cambria Math"/>
                                    <w:color w:val="FF0000"/>
                                    <w:sz w:val="22"/>
                                    <w:szCs w:val="22"/>
                                    <w:shd w:val="clear" w:color="auto" w:fill="FFFFFF"/>
                                  </w:rPr>
                                  <m:t>*</m:t>
                                </m:r>
                              </m:sup>
                            </m:sSubSup>
                          </m:e>
                        </m:acc>
                        <m:r>
                          <w:rPr>
                            <w:rFonts w:ascii="Cambria Math" w:hAnsi="Cambria Math"/>
                            <w:color w:val="FF0000"/>
                            <w:sz w:val="22"/>
                            <w:szCs w:val="22"/>
                          </w:rPr>
                          <m:t xml:space="preserve">  </m:t>
                        </m:r>
                      </m:e>
                      <m:e>
                        <m:r>
                          <w:rPr>
                            <w:rFonts w:ascii="Cambria Math" w:hAnsi="Cambria Math"/>
                            <w:color w:val="FF0000"/>
                            <w:sz w:val="22"/>
                            <w:szCs w:val="22"/>
                          </w:rPr>
                          <m:t xml:space="preserve">0,  κ&gt; </m:t>
                        </m:r>
                        <m:acc>
                          <m:accPr>
                            <m:chr m:val="̅"/>
                            <m:ctrlPr>
                              <w:rPr>
                                <w:rFonts w:ascii="Cambria Math" w:hAnsi="Cambria Math"/>
                                <w:i/>
                                <w:color w:val="FF0000"/>
                                <w:sz w:val="22"/>
                                <w:szCs w:val="22"/>
                              </w:rPr>
                            </m:ctrlPr>
                          </m:accPr>
                          <m:e>
                            <m:sSubSup>
                              <m:sSubSupPr>
                                <m:ctrlPr>
                                  <w:rPr>
                                    <w:rFonts w:ascii="Cambria Math" w:hAnsi="Cambria Math"/>
                                    <w:i/>
                                    <w:color w:val="FF0000"/>
                                    <w:sz w:val="22"/>
                                    <w:szCs w:val="22"/>
                                    <w:shd w:val="clear" w:color="auto" w:fill="FFFFFF"/>
                                  </w:rPr>
                                </m:ctrlPr>
                              </m:sSubSupPr>
                              <m:e>
                                <m:r>
                                  <w:rPr>
                                    <w:rFonts w:ascii="Cambria Math" w:hAnsi="Cambria Math"/>
                                    <w:color w:val="FF0000"/>
                                    <w:sz w:val="22"/>
                                    <w:szCs w:val="22"/>
                                    <w:shd w:val="clear" w:color="auto" w:fill="FFFFFF"/>
                                  </w:rPr>
                                  <m:t>κ</m:t>
                                </m:r>
                              </m:e>
                              <m:sub>
                                <m:r>
                                  <w:rPr>
                                    <w:rFonts w:ascii="Cambria Math" w:hAnsi="Cambria Math"/>
                                    <w:color w:val="FF0000"/>
                                    <w:sz w:val="22"/>
                                    <w:szCs w:val="22"/>
                                    <w:shd w:val="clear" w:color="auto" w:fill="FFFFFF"/>
                                  </w:rPr>
                                  <m:t>t</m:t>
                                </m:r>
                              </m:sub>
                              <m:sup>
                                <m:r>
                                  <w:rPr>
                                    <w:rFonts w:ascii="Cambria Math" w:hAnsi="Cambria Math"/>
                                    <w:color w:val="FF0000"/>
                                    <w:sz w:val="22"/>
                                    <w:szCs w:val="22"/>
                                    <w:shd w:val="clear" w:color="auto" w:fill="FFFFFF"/>
                                  </w:rPr>
                                  <m:t>*</m:t>
                                </m:r>
                              </m:sup>
                            </m:sSubSup>
                          </m:e>
                        </m:acc>
                      </m:e>
                    </m:eqArr>
                  </m:e>
                </m:d>
              </m:oMath>
            </m:oMathPara>
            <w:bookmarkEnd w:id="1"/>
          </w:p>
        </w:tc>
        <w:tc>
          <w:tcPr>
            <w:tcW w:w="693" w:type="dxa"/>
            <w:vAlign w:val="center"/>
            <w:hideMark/>
          </w:tcPr>
          <w:p w14:paraId="5B1AD34E" w14:textId="77777777" w:rsidR="00202E84" w:rsidRDefault="00202E84" w:rsidP="000900D8">
            <w:pPr>
              <w:spacing w:after="0" w:line="480" w:lineRule="auto"/>
              <w:contextualSpacing/>
              <w:jc w:val="center"/>
              <w:rPr>
                <w:sz w:val="22"/>
                <w:szCs w:val="22"/>
              </w:rPr>
            </w:pPr>
            <w:r>
              <w:rPr>
                <w:color w:val="FF0000"/>
                <w:sz w:val="22"/>
                <w:szCs w:val="22"/>
              </w:rPr>
              <w:t>(</w:t>
            </w:r>
            <w:r>
              <w:rPr>
                <w:color w:val="FF0000"/>
                <w:sz w:val="22"/>
                <w:szCs w:val="22"/>
                <w:lang w:eastAsia="ko-KR"/>
              </w:rPr>
              <w:t>10</w:t>
            </w:r>
            <w:r>
              <w:rPr>
                <w:sz w:val="22"/>
                <w:szCs w:val="22"/>
              </w:rPr>
              <w:t>)</w:t>
            </w:r>
          </w:p>
        </w:tc>
      </w:tr>
    </w:tbl>
    <w:p w14:paraId="23CC3A17" w14:textId="5D6C9932" w:rsidR="00202E84" w:rsidRDefault="00202E84"/>
    <w:p w14:paraId="2A3DF5EC" w14:textId="261021A6" w:rsidR="00202E84" w:rsidRDefault="00202E84"/>
    <w:p w14:paraId="53E798A6" w14:textId="76D7ECBF" w:rsidR="00202E84" w:rsidRDefault="00202E84"/>
    <w:p w14:paraId="54A2506C" w14:textId="71F434F2" w:rsidR="00202E84" w:rsidRDefault="00202E84"/>
    <w:p w14:paraId="40A00F77" w14:textId="02009D4E" w:rsidR="000900D8" w:rsidRDefault="000900D8">
      <w:pPr>
        <w:widowControl/>
        <w:spacing w:line="259" w:lineRule="auto"/>
      </w:pPr>
      <w:r>
        <w:br w:type="page"/>
      </w:r>
    </w:p>
    <w:p w14:paraId="7AA34B31" w14:textId="77777777" w:rsidR="000900D8" w:rsidRDefault="000900D8" w:rsidP="000900D8">
      <w:pPr>
        <w:shd w:val="clear" w:color="auto" w:fill="FFFFFF"/>
        <w:spacing w:after="0" w:line="480" w:lineRule="auto"/>
        <w:jc w:val="both"/>
      </w:pPr>
    </w:p>
    <w:p w14:paraId="658883AB" w14:textId="77777777" w:rsidR="000900D8" w:rsidRDefault="000900D8" w:rsidP="000900D8">
      <w:pPr>
        <w:pStyle w:val="Heading1"/>
        <w:spacing w:before="0" w:line="480" w:lineRule="auto"/>
        <w:rPr>
          <w:rFonts w:eastAsia="Batang"/>
          <w:lang w:eastAsia="ko-KR"/>
        </w:rPr>
      </w:pPr>
      <w:r>
        <w:rPr>
          <w:rFonts w:eastAsia="Batang"/>
        </w:rPr>
        <w:t>3. CSR Marketing Signaling (CMS) Game</w:t>
      </w:r>
    </w:p>
    <w:p w14:paraId="4130347A" w14:textId="77777777" w:rsidR="000900D8" w:rsidRDefault="000900D8" w:rsidP="000900D8">
      <w:pPr>
        <w:pStyle w:val="Heading2"/>
        <w:rPr>
          <w:rFonts w:eastAsia="Batang"/>
        </w:rPr>
      </w:pPr>
      <w:r>
        <w:rPr>
          <w:rFonts w:eastAsia="Batang"/>
        </w:rPr>
        <w:t>3.1 Game Preamble</w:t>
      </w:r>
    </w:p>
    <w:p w14:paraId="715A01BC" w14:textId="77777777" w:rsidR="000900D8" w:rsidRDefault="000900D8" w:rsidP="000900D8">
      <w:pPr>
        <w:spacing w:after="0" w:line="480" w:lineRule="auto"/>
        <w:ind w:firstLine="720"/>
        <w:contextualSpacing/>
        <w:jc w:val="both"/>
        <w:rPr>
          <w:sz w:val="22"/>
          <w:szCs w:val="22"/>
        </w:rPr>
      </w:pPr>
      <w:r>
        <w:rPr>
          <w:sz w:val="22"/>
          <w:szCs w:val="22"/>
        </w:rPr>
        <w:t xml:space="preserve">The CSR market signaling (CMS) game is, as the name implies, a game of incomplete information </w:t>
      </w:r>
      <w:r>
        <w:rPr>
          <w:sz w:val="22"/>
          <w:szCs w:val="22"/>
        </w:rPr>
        <w:fldChar w:fldCharType="begin" w:fldLock="1"/>
      </w:r>
      <w:r>
        <w:rPr>
          <w:sz w:val="22"/>
          <w:szCs w:val="22"/>
        </w:rPr>
        <w:instrText>ADDIN CSL_CITATION { "citationItems" : [ { "id" : "ITEM-1", "itemData" : { "DOI" : "10.1287/mnsc.14.7.486", "ISBN" : "00251909", "ISSN" : "0025-1909", "PMID" : "15721856", "abstract" : "Parts I and II of this paper have described a new theory for the analysis of games with incomplete information. Two cases have been distinguished: consistent games in which there exists some basic probability distribution from which the players' subjective probability distributions can be derived as conditional probability distributions; and inconsistent games in which no such basic probability distribution exists. Part III will now show that in consistent games, where a basic probability distribution exists, it is essentially unique. It will also be argued that, in the absence of special reasons to the contrary, one should try to analyze any given game situation with incomplete information in terms of a consistent-game model. However, it will be shown that our theory can be extended also to inconsistent games, in case the situation does require the use of an inconsistent-game model.", "author" : [ { "dropping-particle" : "", "family" : "Harsanyi", "given" : "John C.", "non-dropping-particle" : "", "parse-names" : false, "suffix" : "" } ], "container-title" : "Management Science", "id" : "ITEM-1", "issue" : "7", "issued" : { "date-parts" : [ [ "1968" ] ] }, "page" : "486-502", "title" : "Games with Incomplete Information Played by 'Bayesian' Players, Part III. The Basic Probability Distribution of the Game", "type" : "article-journal", "volume" : "14" }, "uris" : [ "http://www.mendeley.com/documents/?uuid=9b164cc3-a1ef-48fb-a0bb-a7cadc460468", "http://www.mendeley.com/documents/?uuid=abbbbbe6-fb15-4543-92ee-b1eb5a7bbc6d" ] }, { "id" : "ITEM-2", "itemData" : { "DOI" : "10.1287/mnsc.14.3.159", "ISSN" : "0025-1909", "author" : [ { "dropping-particle" : "", "family" : "Harsanyi", "given" : "John C.", "non-dropping-particle" : "", "parse-names" : false, "suffix" : "" } ], "container-title" : "Management Science", "id" : "ITEM-2", "issue" : "3", "issued" : { "date-parts" : [ [ "1967", "11" ] ] }, "page" : "159-182", "title" : "Games with incomplete information played by \u201cBayesian\u201d players, I\u2013III", "type" : "article-journal", "volume" : "14" }, "uris" : [ "http://www.mendeley.com/documents/?uuid=41d9fd60-983e-4d8c-ad35-3f7ae35bcd97" ] } ], "mendeley" : { "formattedCitation" : "(Harsanyi, 1967, 1968)", "plainTextFormattedCitation" : "(Harsanyi, 1967, 1968)", "previouslyFormattedCitation" : "(Harsanyi, 1967, 1968)" }, "properties" : { "noteIndex" : 0 }, "schema" : "https://github.com/citation-style-language/schema/raw/master/csl-citation.json" }</w:instrText>
      </w:r>
      <w:r>
        <w:rPr>
          <w:sz w:val="22"/>
          <w:szCs w:val="22"/>
        </w:rPr>
        <w:fldChar w:fldCharType="separate"/>
      </w:r>
      <w:r>
        <w:rPr>
          <w:noProof/>
          <w:sz w:val="22"/>
          <w:szCs w:val="22"/>
        </w:rPr>
        <w:t>(Harsanyi, 1967, 1968)</w:t>
      </w:r>
      <w:r>
        <w:rPr>
          <w:sz w:val="22"/>
          <w:szCs w:val="22"/>
        </w:rPr>
        <w:fldChar w:fldCharType="end"/>
      </w:r>
      <w:r>
        <w:rPr>
          <w:sz w:val="22"/>
          <w:szCs w:val="22"/>
        </w:rPr>
        <w:t xml:space="preserve"> and consumer signals of preference for corporate social responsibility, also known as “voting with the wallet” </w:t>
      </w:r>
      <w:r>
        <w:rPr>
          <w:sz w:val="22"/>
          <w:szCs w:val="22"/>
        </w:rPr>
        <w:fldChar w:fldCharType="begin" w:fldLock="1"/>
      </w:r>
      <w:r>
        <w:rPr>
          <w:sz w:val="22"/>
          <w:szCs w:val="22"/>
        </w:rPr>
        <w:instrText>ADDIN CSL_CITATION { "citationItems" : [ { "id" : "ITEM-1", "itemData" : { "DOI" : "10.1007/s12232-012-0166-9", "ISBN" : "1223201201", "ISSN" : "18651704", "abstract" : "The vote with the wallet is a new, emerging feature of economic participation and democracy in the globally integrated market economy. This expression identifies the pivotal role that responsible consumption and investment can play in addressing social and environmental emergencies which have been aggravated by the asymmetry of power between domestic institutions and global corporations. In this paper, we examine (both in general and by using examples drawn from the financial and non-financial sectors) how \u201cvoting\u201d for producers which are at the forefront of a three-sided efficiency which reconciles the creation of economic value with social and environmental responsibility may generate contagion effects by triggering ethical imitation of traditional profit-maximizing actors, thereby enhancing the production of positive social and environmental externalities. Within this new framework, policies that reduce the search and information costs of voting with the wallet may help socioeconomic systems to exploit the bottom-up market forces of other-regarding preferences, thereby enhancing opportunities to achieve well-being with reduced top-down government intervention.", "author" : [ { "dropping-particle" : "", "family" : "Becchetti", "given" : "Leonardo", "non-dropping-particle" : "", "parse-names" : false, "suffix" : "" } ], "container-title" : "International Review of Economics", "id" : "ITEM-1", "issue" : "3", "issued" : { "date-parts" : [ [ "2012" ] ] }, "page" : "245-268", "title" : "Voting with the wallet", "type" : "article-journal", "volume" : "59" }, "uris" : [ "http://www.mendeley.com/documents/?uuid=470d11f0-3d17-4aba-b04f-13a73ece156f" ] } ], "mendeley" : { "formattedCitation" : "(Becchetti, 2012)", "manualFormatting" : "(Becchetti, 2012)", "plainTextFormattedCitation" : "(Becchetti, 2012)", "previouslyFormattedCitation" : "(Becchetti, 2012)" }, "properties" : { "noteIndex" : 0 }, "schema" : "https://github.com/citation-style-language/schema/raw/master/csl-citation.json" }</w:instrText>
      </w:r>
      <w:r>
        <w:rPr>
          <w:sz w:val="22"/>
          <w:szCs w:val="22"/>
        </w:rPr>
        <w:fldChar w:fldCharType="separate"/>
      </w:r>
      <w:r>
        <w:rPr>
          <w:noProof/>
          <w:sz w:val="22"/>
          <w:szCs w:val="22"/>
        </w:rPr>
        <w:t>(Becchetti, 2012)</w:t>
      </w:r>
      <w:r>
        <w:rPr>
          <w:sz w:val="22"/>
          <w:szCs w:val="22"/>
        </w:rPr>
        <w:fldChar w:fldCharType="end"/>
      </w:r>
      <w:r>
        <w:rPr>
          <w:sz w:val="22"/>
          <w:szCs w:val="22"/>
        </w:rPr>
        <w:t xml:space="preserve">.  The CMS game represents uncertainty about </w:t>
      </w:r>
      <w:r>
        <w:rPr>
          <w:rFonts w:eastAsia="Malgun Gothic"/>
          <w:color w:val="000000" w:themeColor="text1"/>
          <w:sz w:val="22"/>
          <w:szCs w:val="22"/>
          <w:lang w:eastAsia="ko-KR"/>
        </w:rPr>
        <w:t>consumer</w:t>
      </w:r>
      <w:r>
        <w:rPr>
          <w:sz w:val="22"/>
          <w:szCs w:val="22"/>
        </w:rPr>
        <w:t xml:space="preserve"> willingness to pay for non-traditional product or brand attributes (i.e., CSR) in the form of private information (the buyer’s “type”) decided, through convention, by </w:t>
      </w:r>
      <w:r>
        <w:rPr>
          <w:i/>
          <w:sz w:val="22"/>
          <w:szCs w:val="22"/>
        </w:rPr>
        <w:t>nature</w:t>
      </w:r>
      <w:r>
        <w:rPr>
          <w:sz w:val="22"/>
          <w:szCs w:val="22"/>
        </w:rPr>
        <w:t>. The buyer’s own type is known to him- or herself, but n</w:t>
      </w:r>
      <w:r>
        <w:rPr>
          <w:sz w:val="22"/>
          <w:szCs w:val="22"/>
          <w:lang w:eastAsia="ko-KR"/>
        </w:rPr>
        <w:t>either</w:t>
      </w:r>
      <w:r>
        <w:rPr>
          <w:sz w:val="22"/>
          <w:szCs w:val="22"/>
        </w:rPr>
        <w:t xml:space="preserve"> by the other buyers in the market nor by platform operator. Here we make use of the common distinction between utilitarian and hedonic consumption </w:t>
      </w:r>
      <w:r>
        <w:rPr>
          <w:sz w:val="22"/>
          <w:szCs w:val="22"/>
        </w:rPr>
        <w:fldChar w:fldCharType="begin" w:fldLock="1"/>
      </w:r>
      <w:r>
        <w:rPr>
          <w:sz w:val="22"/>
          <w:szCs w:val="22"/>
        </w:rPr>
        <w:instrText>ADDIN CSL_CITATION { "citationItems" : [ { "id" : "ITEM-1", "itemData" : { "author" : [ { "dropping-particle" : "", "family" : "Childers", "given" : "Terry L", "non-dropping-particle" : "", "parse-names" : false, "suffix" : "" }, { "dropping-particle" : "", "family" : "Carr", "given" : "Christopher L", "non-dropping-particle" : "", "parse-names" : false, "suffix" : "" }, { "dropping-particle" : "", "family" : "Peck", "given" : "Joann", "non-dropping-particle" : "", "parse-names" : false, "suffix" : "" }, { "dropping-particle" : "", "family" : "Carson", "given" : "Stephen", "non-dropping-particle" : "", "parse-names" : false, "suffix" : "" } ], "container-title" : "Journal of Retailing", "id" : "ITEM-1", "issued" : { "date-parts" : [ [ "2001" ] ] }, "page" : "511-535", "title" : "Hedonic and utilitarian motivations for online retail shopping behavior", "type" : "article-journal", "volume" : "77" }, "uris" : [ "http://www.mendeley.com/documents/?uuid=2663041a-d6bc-4d81-bef7-7fdc629a5f64" ] }, { "id" : "ITEM-2", "itemData" : { "DOI" : "0093-5301", "ISSN" : "00935301", "abstract" : "Consumer researchers' growing interest in consumer experiences has revealed that many consumption activities produce both hedonic and utilitarian outcomes. Thus, there is an increasing need for scales to assess consumer perceptions of both hedonic and utilitarian values. This article describes the development of a scale measuring both values obtained from the pervasive consumption experience of shopping. The authors develop and validate the scale using a multistep process. The results demonstrate that distinct hedonic and utilitarian shopping value dimensions exist and are related to a number of important consumption variables. Implications for further applications of the scale are discussed.", "author" : [ { "dropping-particle" : "", "family" : "Babin", "given" : "Barry J", "non-dropping-particle" : "", "parse-names" : false, "suffix" : "" }, { "dropping-particle" : "", "family" : "Darden", "given" : "William R", "non-dropping-particle" : "", "parse-names" : false, "suffix" : "" }, { "dropping-particle" : "", "family" : "Griffin", "given" : "Mitch", "non-dropping-particle" : "", "parse-names" : false, "suffix" : "" }, { "dropping-particle" : "", "family" : "Darden", "given" : "R", "non-dropping-particle" : "", "parse-names" : false, "suffix" : "" } ], "container-title" : "Journal of Consumer Research", "id" : "ITEM-2", "issue" : "4", "issued" : { "date-parts" : [ [ "1994" ] ] }, "page" : "644-656", "title" : "Work and/or fun: Measuring hedonic and utilitarian shopping value", "type" : "article-journal", "volume" : "20" }, "uris" : [ "http://www.mendeley.com/documents/?uuid=39a4fbea-c3a5-4184-a2cb-942db7da4f0b" ] }, { "id" : "ITEM-3", "itemData" : { "DOI" : "10.1007/BF00994132", "ISBN" : "00222437", "ISSN" : "09230645", "PMID" : "10333017", "abstract" : "This article reports the development and validation of a parsimonious, generalizable scale that measures the hedonic and utilitarian dimensions of consumer attitudes toward product categories and different brands within categories. The hedonic/utilitarian (HED/UT) scale includes ten semantic differential response items, five of which refer to the hedonic dimension and five of which refer to the utilitarian dimension of consumer attitudes. The authors conducted six studies to establish the unidimen- sionality, reliability, and validity of the two HED/UT subscales. In reaching the final scale, the authors also develop and implement a unique process of paring down a psychometrically sound but otherwise too large set of items. Nomological validity is established by replacing a typical, one- dimensional attitude toward the brand measure with the hedonic and util- itarian dimensions in a central route processing model. Results suggest that the hedonic and utilitarian constructs are two distinct dimensions of brand attitude and are reliably and validly measured by the HED/UT scale", "author" : [ { "dropping-particle" : "", "family" : "Crowley", "given" : "Ayn E.", "non-dropping-particle" : "", "parse-names" : false, "suffix" : "" }, { "dropping-particle" : "", "family" : "Spangenberg", "given" : "Eric R.", "non-dropping-particle" : "", "parse-names" : false, "suffix" : "" }, { "dropping-particle" : "", "family" : "Hughes", "given" : "Kevin R.", "non-dropping-particle" : "", "parse-names" : false, "suffix" : "" } ], "container-title" : "Marketing Letters", "id" : "ITEM-3", "issue" : "3", "issued" : { "date-parts" : [ [ "1992" ] ] }, "page" : "239-249", "title" : "Measuring the hedonic and utilitarian dimensions of attitudes toward product categories", "type" : "article-journal", "volume" : "3" }, "uris" : [ "http://www.mendeley.com/documents/?uuid=e84ef636-8366-4139-8019-09552565f3b4" ] }, { "id" : "ITEM-4", "itemData" : { "author" : [ { "dropping-particle" : "", "family" : "Batra", "given" : "Rajeev", "non-dropping-particle" : "", "parse-names" : false, "suffix" : "" }, { "dropping-particle" : "", "family" : "Ahtola", "given" : "Olli T.", "non-dropping-particle" : "", "parse-names" : false, "suffix" : "" } ], "container-title" : "Consumer Attitudes", "id" : "ITEM-4", "issue" : "2", "issued" : { "date-parts" : [ [ "1990" ] ] }, "page" : "159-170", "title" : "Sources of the Hedonic and Utilitarian Measuring Attitudes Consumer", "type" : "article-journal", "volume" : "2" }, "uris" : [ "http://www.mendeley.com/documents/?uuid=041066a7-0868-4bf6-891a-0e9265d9f19c" ] } ], "mendeley" : { "formattedCitation" : "(Babin, Darden, Griffin, &amp; Darden, 1994; Batra &amp; Ahtola, 1990; Childers, Carr, Peck, &amp; Carson, 2001; Crowley, Spangenberg, &amp; Hughes, 1992)", "manualFormatting" : "(e.g., Babin, Darden, Griffin, &amp; Darden, 1994; Batra &amp; Ahtola, 1990; Childers, Carr, Peck, &amp; Carson, 2001; Crowley, Spangenberg, &amp; Hughes, 1992)", "plainTextFormattedCitation" : "(Babin, Darden, Griffin, &amp; Darden, 1994; Batra &amp; Ahtola, 1990; Childers, Carr, Peck, &amp; Carson, 2001; Crowley, Spangenberg, &amp; Hughes, 1992)", "previouslyFormattedCitation" : "(Babin, Darden, Griffin, &amp; Darden, 1994; Batra &amp; Ahtola, 1990; Childers, Carr, Peck, &amp; Carson, 2001; Crowley, Spangenberg, &amp; Hughes, 1992)" }, "properties" : { "noteIndex" : 0 }, "schema" : "https://github.com/citation-style-language/schema/raw/master/csl-citation.json" }</w:instrText>
      </w:r>
      <w:r>
        <w:rPr>
          <w:sz w:val="22"/>
          <w:szCs w:val="22"/>
        </w:rPr>
        <w:fldChar w:fldCharType="separate"/>
      </w:r>
      <w:r>
        <w:rPr>
          <w:noProof/>
          <w:sz w:val="22"/>
          <w:szCs w:val="22"/>
        </w:rPr>
        <w:t>(e.g., Babin, Darden, Griffin, &amp; Darden, 1994; Batra &amp; Ahtola, 1990; Childers, Carr, Peck, &amp; Carson, 2001; Crowley, Spangenberg, &amp; Hughes, 1992)</w:t>
      </w:r>
      <w:r>
        <w:rPr>
          <w:sz w:val="22"/>
          <w:szCs w:val="22"/>
        </w:rPr>
        <w:fldChar w:fldCharType="end"/>
      </w:r>
      <w:r>
        <w:rPr>
          <w:sz w:val="22"/>
          <w:szCs w:val="22"/>
        </w:rPr>
        <w:t xml:space="preserve"> for a simple dichotomy of buyer types. The former (utilitarian) only values product-specific attributes and is price sensitive. The latter (hedonic) values non-product-specific attributes and therefore possesses utility components that permit a higher willingness to pay for CSR, despite consuming less quantity under the same budget constraint. Each hedonic buyer hopes all firms use CSR; however, each hedonic buyer doesn’t wish to be required to choose the CSR-engaged platform before knowing the full details (e.g., charitable cause to be supported, responsible business practices to be enacted, etc.) and earnestness of the platform’s CSR policy. The buyer’s CSR signaling thus comes at a cost that reflects the sentiments of the skeptical CSR consumer </w:t>
      </w:r>
      <w:r>
        <w:rPr>
          <w:sz w:val="22"/>
          <w:szCs w:val="22"/>
        </w:rPr>
        <w:fldChar w:fldCharType="begin" w:fldLock="1"/>
      </w:r>
      <w:r>
        <w:rPr>
          <w:sz w:val="22"/>
          <w:szCs w:val="22"/>
        </w:rPr>
        <w:instrText>ADDIN CSL_CITATION { "citationItems" : [ { "id" : "ITEM-1", "itemData" : { "DOI" : "10.1016/j.jbusres.2013.02.004", "ISBN" : "0148-2963", "ISSN" : "01482963", "abstract" : "Corporate social responsibility (CSR) is a hot topic in management today. More than ever before, companies engage in CSR initiatives to make a positive contribution to society or support their strategic goals. Yet, in the face of a plethora of CSR claims and numerous reported incidents of corporate misconduct, many people doubt the extent to which companies live up to their professed standards, and consumer skepticism toward corporate social involvement is on the rise. Drawing on attribution theory, this study proposes and tests a model that explains both how consumer skepticism toward the CSR of grocery retailers develops and its influence on important consumer-related outcomes. The findings reveal that attributions of egoistic- and stakeholder-driven motives elicit consumer skepticism toward CSR, while values-driven attributions inhibit skepticism. The results also indicate that CSR skepticism hurts retailer equity, decreases resistance to negative information about the retailer, and stimulates unfavorable word of mouth. \u00a9 2013 Elsevier Inc.", "author" : [ { "dropping-particle" : "", "family" : "Skarmeas", "given" : "Dionysis", "non-dropping-particle" : "", "parse-names" : false, "suffix" : "" }, { "dropping-particle" : "", "family" : "Leonidou", "given" : "Constantinos N.", "non-dropping-particle" : "", "parse-names" : false, "suffix" : "" } ], "container-title" : "Journal of Business Research", "id" : "ITEM-1", "issue" : "10", "issued" : { "date-parts" : [ [ "2013" ] ] }, "page" : "1831-1838", "publisher" : "Elsevier Inc.", "title" : "When consumers doubt, Watch out! The role of CSR skepticism", "type" : "article-journal", "volume" : "66" }, "uris" : [ "http://www.mendeley.com/documents/?uuid=3e425141-bd1a-4642-8e70-d59ff7b222e6" ] } ], "mendeley" : { "formattedCitation" : "(Skarmeas &amp; Leonidou, 2013)", "plainTextFormattedCitation" : "(Skarmeas &amp; Leonidou, 2013)", "previouslyFormattedCitation" : "(Skarmeas &amp; Leonidou, 2013)" }, "properties" : { "noteIndex" : 0 }, "schema" : "https://github.com/citation-style-language/schema/raw/master/csl-citation.json" }</w:instrText>
      </w:r>
      <w:r>
        <w:rPr>
          <w:sz w:val="22"/>
          <w:szCs w:val="22"/>
        </w:rPr>
        <w:fldChar w:fldCharType="separate"/>
      </w:r>
      <w:r>
        <w:rPr>
          <w:noProof/>
          <w:sz w:val="22"/>
          <w:szCs w:val="22"/>
        </w:rPr>
        <w:t>(Skarmeas &amp; Leonidou, 2013)</w:t>
      </w:r>
      <w:r>
        <w:rPr>
          <w:sz w:val="22"/>
          <w:szCs w:val="22"/>
        </w:rPr>
        <w:fldChar w:fldCharType="end"/>
      </w:r>
      <w:r>
        <w:rPr>
          <w:sz w:val="22"/>
          <w:szCs w:val="22"/>
        </w:rPr>
        <w:t xml:space="preserve"> and may also include related switching costs </w:t>
      </w:r>
      <w:r>
        <w:rPr>
          <w:sz w:val="22"/>
          <w:szCs w:val="22"/>
        </w:rPr>
        <w:fldChar w:fldCharType="begin" w:fldLock="1"/>
      </w:r>
      <w:r>
        <w:rPr>
          <w:sz w:val="22"/>
          <w:szCs w:val="22"/>
        </w:rPr>
        <w:instrText>ADDIN CSL_CITATION { "citationItems" : [ { "id" : "ITEM-1", "itemData" : { "DOI" : "10.1016/s1573-448x(06)03031-7", "ISSN" : "1573448X", "abstract" : "Switching costs and network effects bind customers to vendors if products are incompatible, locking customers or even markets in to early choices. Lock-in hinders customers from changing suppliers in response to (predictable or unpredictable) changes in efficiency, and gives vendors lucrative ex post market powerover the same buyer in the case of switching costs (or brand loyalty), or over others with network effects. Firms compete ex ante for this ex post power, using penetration pricing, introductory offers, and price wars. Such competition for the market\" or life-cycle competition\" can adequately replace ordinary compatible competition, and can even be fiercer than compatible competition by weakening differentiation. More often, however, incompatible competition not only involves direct efficiency losses but also softens competition and magnifies incumbency advantages. With network effects, established firms have little incentive to offer better deals when buyers and complementors expectations hinge on non-efficiency factors (especially history such as past market shares), and although competition between incompatible networks is initially unstable and sensitive to competitive offers and random events, it later tips\" to monopoly, after which entry is hard, often even too hard given incompatibility. And while switching costs can encourage small- scale entry, they discourage sellers from raiding one anothers existing customers, and so also discourage more aggressive entry. Because of these competitive effects, even inefficient incompatible competition is often more profitable than compatible competition, especially for dominant firms with installed-base or expectational advantages. Thus firms probably seek incompatibility too often. We therefore favor thoughtfully pro-compatibility public policy.", "author" : [ { "dropping-particle" : "", "family" : "Farrell", "given" : "Joseph", "non-dropping-particle" : "", "parse-names" : false, "suffix" : "" }, { "dropping-particle" : "", "family" : "Klemperer", "given" : "Paul", "non-dropping-particle" : "", "parse-names" : false, "suffix" : "" } ], "chapter-number" : "31", "collection-title" : "Handbook of Industrial Organization", "container-title" : "Handbook of industrial organization", "editor" : [ { "dropping-particle" : "", "family" : "Armstrong", "given" : "Mark", "non-dropping-particle" : "", "parse-names" : false, "suffix" : "" }, { "dropping-particle" : "", "family" : "Porter", "given" : "Robert", "non-dropping-particle" : "", "parse-names" : false, "suffix" : "" } ], "id" : "ITEM-1", "issue" : "May", "issued" : { "date-parts" : [ [ "2007" ] ] }, "page" : "1967\u20132072", "publisher" : "Elsevier", "title" : "Coordination and Lock-In: Competition with Switching Costs and Network Effects", "type" : "article-journal", "volume" : "3" }, "uris" : [ "http://www.mendeley.com/documents/?uuid=2dda3b4c-f319-4a73-93d3-2598c471809f" ] } ], "mendeley" : { "formattedCitation" : "(Farrell &amp; Klemperer, 2007)", "plainTextFormattedCitation" : "(Farrell &amp; Klemperer, 2007)", "previouslyFormattedCitation" : "(Farrell &amp; Klemperer, 2007)" }, "properties" : { "noteIndex" : 0 }, "schema" : "https://github.com/citation-style-language/schema/raw/master/csl-citation.json" }</w:instrText>
      </w:r>
      <w:r>
        <w:rPr>
          <w:sz w:val="22"/>
          <w:szCs w:val="22"/>
        </w:rPr>
        <w:fldChar w:fldCharType="separate"/>
      </w:r>
      <w:r>
        <w:rPr>
          <w:noProof/>
          <w:sz w:val="22"/>
          <w:szCs w:val="22"/>
        </w:rPr>
        <w:t>(Farrell &amp; Klemperer, 2007)</w:t>
      </w:r>
      <w:r>
        <w:rPr>
          <w:sz w:val="22"/>
          <w:szCs w:val="22"/>
        </w:rPr>
        <w:fldChar w:fldCharType="end"/>
      </w:r>
      <w:r>
        <w:rPr>
          <w:sz w:val="22"/>
          <w:szCs w:val="22"/>
        </w:rPr>
        <w:t xml:space="preserve">, such as technological incompatibility; forfeited brand loyalty, either psychological or monetary, in the form of accrued loyalty points; onboarding fees; learning curve time, etc.  </w:t>
      </w:r>
    </w:p>
    <w:p w14:paraId="25018C33" w14:textId="77777777" w:rsidR="000900D8" w:rsidRDefault="000900D8" w:rsidP="000900D8">
      <w:pPr>
        <w:spacing w:after="0" w:line="480" w:lineRule="auto"/>
        <w:ind w:firstLine="720"/>
        <w:contextualSpacing/>
        <w:jc w:val="both"/>
        <w:rPr>
          <w:sz w:val="22"/>
          <w:szCs w:val="22"/>
        </w:rPr>
      </w:pPr>
      <w:r>
        <w:rPr>
          <w:sz w:val="22"/>
          <w:szCs w:val="22"/>
        </w:rPr>
        <w:t xml:space="preserve">The strategic choice by the platform operator to engage in CSR when facing a market of unknown buyer types is therefore an investment under uncertainty, informed by prior knowledge of the marketplace and the observed buyers’ voting with the wallet as signals of responsible consumption. This setup differs from other signaling games </w:t>
      </w:r>
      <w:r>
        <w:rPr>
          <w:sz w:val="22"/>
          <w:szCs w:val="22"/>
        </w:rPr>
        <w:fldChar w:fldCharType="begin" w:fldLock="1"/>
      </w:r>
      <w:r>
        <w:rPr>
          <w:sz w:val="22"/>
          <w:szCs w:val="22"/>
        </w:rPr>
        <w:instrText>ADDIN CSL_CITATION { "citationItems" : [ { "id" : "ITEM-1", "itemData" : { "DOI" : "10.2307/1882010", "ISBN" : "00335533", "ISSN" : "0033-5533", "PMID" : "19620913", "abstract" : "I. Introduction 355.--2. Hiring as investment under uncertainty, 356.--3 Applicant signaling, 358.--4. Informational feedback and the definition of equilibrium, 359.--5. Properties of informational equilibria: An example, 361.--6. The informational impact of indices, 368.--Conclusions, 374.", "author" : [ { "dropping-particle" : "", "family" : "Spence", "given" : "Michael", "non-dropping-particle" : "", "parse-names" : false, "suffix" : "" } ], "container-title" : "The Quarterly Journal of Economics", "id" : "ITEM-1", "issue" : "3", "issued" : { "date-parts" : [ [ "1973" ] ] }, "page" : "355-374", "title" : "Job Market Signaling", "type" : "article-journal", "volume" : "87" }, "uris" : [ "http://www.mendeley.com/documents/?uuid=fdf0df7f-b368-4b17-89fe-fb70334029a8" ] } ], "mendeley" : { "formattedCitation" : "(Spence, 1973)", "plainTextFormattedCitation" : "(Spence, 1973)", "previouslyFormattedCitation" : "(Spence, 1973)" }, "properties" : { "noteIndex" : 0 }, "schema" : "https://github.com/citation-style-language/schema/raw/master/csl-citation.json" }</w:instrText>
      </w:r>
      <w:r>
        <w:rPr>
          <w:sz w:val="22"/>
          <w:szCs w:val="22"/>
        </w:rPr>
        <w:fldChar w:fldCharType="separate"/>
      </w:r>
      <w:r>
        <w:rPr>
          <w:noProof/>
          <w:sz w:val="22"/>
          <w:szCs w:val="22"/>
        </w:rPr>
        <w:t>(Spence, 1973)</w:t>
      </w:r>
      <w:r>
        <w:rPr>
          <w:sz w:val="22"/>
          <w:szCs w:val="22"/>
        </w:rPr>
        <w:fldChar w:fldCharType="end"/>
      </w:r>
      <w:r>
        <w:rPr>
          <w:sz w:val="22"/>
          <w:szCs w:val="22"/>
        </w:rPr>
        <w:t xml:space="preserve"> in the CSR literature </w:t>
      </w:r>
      <w:r>
        <w:rPr>
          <w:b/>
          <w:sz w:val="22"/>
          <w:szCs w:val="22"/>
        </w:rPr>
        <w:fldChar w:fldCharType="begin" w:fldLock="1"/>
      </w:r>
      <w:r>
        <w:rPr>
          <w:b/>
          <w:sz w:val="22"/>
          <w:szCs w:val="22"/>
        </w:rPr>
        <w:instrText>ADDIN CSL_CITATION { "citationItems" : [ { "id" : "ITEM-1", "itemData" : { "author" : [ { "dropping-particle" : "", "family" : "Fisman", "given" : "Ray", "non-dropping-particle" : "", "parse-names" : false, "suffix" : "" }, { "dropping-particle" : "", "family" : "Heal", "given" : "Geoffrey", "non-dropping-particle" : "", "parse-names" : false, "suffix" : "" }, { "dropping-particle" : "", "family" : "Nair", "given" : "Vinay B.", "non-dropping-particle" : "", "parse-names" : false, "suffix" : "" } ], "id" : "ITEM-1", "issued" : { "date-parts" : [ [ "2006" ] ] }, "number-of-pages" : "1-23", "title" : "A Model of Corporate Philanthropy", "type" : "report" }, "uris" : [ "http://www.mendeley.com/documents/?uuid=31e2355d-f7bd-4124-8ccc-32955aa8f831" ] } ], "mendeley" : { "formattedCitation" : "(Fisman et al., 2006)", "manualFormatting" : "(e.g., Fisman et al., 2006)", "plainTextFormattedCitation" : "(Fisman et al., 2006)", "previouslyFormattedCitation" : "(Fisman et al., 2006)" }, "properties" : { "noteIndex" : 0 }, "schema" : "https://github.com/citation-style-language/schema/raw/master/csl-citation.json" }</w:instrText>
      </w:r>
      <w:r>
        <w:rPr>
          <w:b/>
          <w:sz w:val="22"/>
          <w:szCs w:val="22"/>
        </w:rPr>
        <w:fldChar w:fldCharType="separate"/>
      </w:r>
      <w:r>
        <w:rPr>
          <w:noProof/>
          <w:sz w:val="22"/>
          <w:szCs w:val="22"/>
        </w:rPr>
        <w:t>(e.g., Fisman et al., 2006)</w:t>
      </w:r>
      <w:r>
        <w:rPr>
          <w:b/>
          <w:sz w:val="22"/>
          <w:szCs w:val="22"/>
        </w:rPr>
        <w:fldChar w:fldCharType="end"/>
      </w:r>
      <w:r>
        <w:rPr>
          <w:b/>
          <w:sz w:val="22"/>
          <w:szCs w:val="22"/>
        </w:rPr>
        <w:t>,</w:t>
      </w:r>
      <w:r>
        <w:rPr>
          <w:sz w:val="22"/>
          <w:szCs w:val="22"/>
        </w:rPr>
        <w:t xml:space="preserve"> since those have represented the firm as the privately informed player, with the information deficit instead on the side of the buyer, who must decide whether or not to believe the firm’s CSR spending as a signal of altruism or opportunism. Here, instead, we turn the strategic focus to the firm (or in this case, the platform) as the uninformed player, while importantly also allowing for each buyer to be skeptical of and influenced by the unobserved types and strategies of the other buyers as well. </w:t>
      </w:r>
    </w:p>
    <w:p w14:paraId="476C4097" w14:textId="77777777" w:rsidR="000900D8" w:rsidRDefault="000900D8" w:rsidP="000900D8">
      <w:pPr>
        <w:pStyle w:val="Heading2"/>
        <w:rPr>
          <w:rFonts w:eastAsia="Batang"/>
          <w:lang w:eastAsia="ko-KR"/>
        </w:rPr>
      </w:pPr>
      <w:r>
        <w:rPr>
          <w:rFonts w:eastAsia="Batang"/>
        </w:rPr>
        <w:t>3.2. Game Explanation and Definition</w:t>
      </w:r>
      <w:commentRangeStart w:id="2"/>
      <w:r>
        <w:rPr>
          <w:rFonts w:eastAsia="Batang"/>
          <w:lang w:eastAsia="ko-KR"/>
        </w:rPr>
        <w:t>s</w:t>
      </w:r>
      <w:commentRangeEnd w:id="2"/>
      <w:r>
        <w:rPr>
          <w:rStyle w:val="CommentReference"/>
          <w:rFonts w:eastAsia="Batang"/>
        </w:rPr>
        <w:commentReference w:id="2"/>
      </w:r>
    </w:p>
    <w:p w14:paraId="1EF6C650" w14:textId="77777777" w:rsidR="000900D8" w:rsidRDefault="000900D8" w:rsidP="000900D8">
      <w:pPr>
        <w:spacing w:after="0" w:line="480" w:lineRule="auto"/>
        <w:contextualSpacing/>
        <w:jc w:val="both"/>
        <w:rPr>
          <w:sz w:val="22"/>
          <w:szCs w:val="22"/>
        </w:rPr>
      </w:pPr>
      <w:r>
        <w:rPr>
          <w:sz w:val="22"/>
          <w:szCs w:val="22"/>
        </w:rPr>
        <w:t>The CMS game models CSR as a strategic response to market demand signals when facing a preemptive CSR strategy introduced by a rival. The rival platform (platform 2) is at a size disadvantage vs. the larger focal platform</w:t>
      </w:r>
      <w:r>
        <w:rPr>
          <w:sz w:val="22"/>
          <w:szCs w:val="22"/>
          <w:lang w:eastAsia="ko-KR"/>
        </w:rPr>
        <w:t xml:space="preserve"> (platform 1)</w:t>
      </w:r>
      <w:r>
        <w:rPr>
          <w:sz w:val="22"/>
          <w:szCs w:val="22"/>
        </w:rPr>
        <w:t xml:space="preserve"> in a market of </w:t>
      </w:r>
      <m:oMath>
        <m:r>
          <w:rPr>
            <w:rFonts w:ascii="Cambria Math" w:hAnsi="Cambria Math"/>
            <w:sz w:val="22"/>
            <w:szCs w:val="22"/>
          </w:rPr>
          <m:t>N</m:t>
        </m:r>
      </m:oMath>
      <w:r>
        <w:rPr>
          <w:sz w:val="22"/>
          <w:szCs w:val="22"/>
        </w:rPr>
        <w:t xml:space="preserve"> buyers. The platforms are undifferentiated in terms of baseline (i.e., utilitarian) quality; however, platform 1 has more sellers, which augments its value to buyers.</w:t>
      </w:r>
      <w:r>
        <w:rPr>
          <w:rStyle w:val="FootnoteReference"/>
          <w:sz w:val="22"/>
          <w:szCs w:val="22"/>
        </w:rPr>
        <w:footnoteReference w:id="1"/>
      </w:r>
      <w:r>
        <w:rPr>
          <w:sz w:val="22"/>
          <w:szCs w:val="22"/>
        </w:rPr>
        <w:t xml:space="preserve"> In an attempt to counter this size disadvantage, the rival platform 2 decides to engage in CSR in order to capitalize on its potential for “total quality” differentiation--that is, utilitarian plus hedonic quality--which exists if enough buyers in the market value CSR. The rival’s strategy choice causes an exogenous shock to the market. After observing the signals of responsible consumption from buyers voting with their wallets, the focal platform 1 then must choose whether or not to engage in CSR to negate its rival’s CSR-derived advantage. The profitability of that decision depends on the cost-benefit trade off of the CSR policy, which includes the proportion of hedonic buyers who value CSR in the market and their willingness to pay a CSR-related price premium versus the costs stemming from the CSR policy. These costs include both an initial investment toward responsible operations or donation to a charitable cause, and an increase in marginal cost related, for example, to sustainable raw materials and operations costs or increased training or organizational restructuring costs to ensure responsible practices, etc., which raise the prices of goods on a platform engaging in CSR.</w:t>
      </w:r>
    </w:p>
    <w:p w14:paraId="7C229C49" w14:textId="77777777" w:rsidR="000900D8" w:rsidRDefault="000900D8" w:rsidP="000900D8">
      <w:pPr>
        <w:spacing w:after="0" w:line="480" w:lineRule="auto"/>
        <w:ind w:firstLine="720"/>
        <w:contextualSpacing/>
        <w:jc w:val="both"/>
        <w:rPr>
          <w:sz w:val="22"/>
          <w:szCs w:val="22"/>
        </w:rPr>
      </w:pPr>
      <w:r>
        <w:rPr>
          <w:b/>
          <w:i/>
          <w:sz w:val="22"/>
          <w:szCs w:val="22"/>
        </w:rPr>
        <w:t>Game stages</w:t>
      </w:r>
      <w:r>
        <w:rPr>
          <w:sz w:val="22"/>
          <w:szCs w:val="22"/>
        </w:rPr>
        <w:t>. The CMS game proceeds dynamically as follows</w:t>
      </w:r>
      <w:r>
        <w:rPr>
          <w:sz w:val="22"/>
          <w:szCs w:val="22"/>
          <w:lang w:eastAsia="ko-KR"/>
        </w:rPr>
        <w:t xml:space="preserve"> (Figure 1)</w:t>
      </w:r>
      <w:r>
        <w:rPr>
          <w:sz w:val="22"/>
          <w:szCs w:val="22"/>
        </w:rPr>
        <w:t xml:space="preserve">. In the first stage, </w:t>
      </w:r>
      <w:r>
        <w:rPr>
          <w:i/>
          <w:sz w:val="22"/>
          <w:szCs w:val="22"/>
        </w:rPr>
        <w:t>nature</w:t>
      </w:r>
      <w:r>
        <w:rPr>
          <w:sz w:val="22"/>
          <w:szCs w:val="22"/>
        </w:rPr>
        <w:t xml:space="preserve"> chooses the type of the buyers in the market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1=Hedonic, 0=Utilitarian</m:t>
            </m:r>
          </m:e>
        </m:d>
      </m:oMath>
      <w:r>
        <w:rPr>
          <w:sz w:val="22"/>
          <w:szCs w:val="22"/>
        </w:rPr>
        <w:t xml:space="preserve">, for </w:t>
      </w:r>
      <m:oMath>
        <m:r>
          <w:rPr>
            <w:rFonts w:ascii="Cambria Math" w:hAnsi="Cambria Math"/>
            <w:sz w:val="22"/>
            <w:szCs w:val="22"/>
          </w:rPr>
          <m:t>i=1,…,N</m:t>
        </m:r>
      </m:oMath>
      <w:r>
        <w:rPr>
          <w:sz w:val="22"/>
          <w:szCs w:val="22"/>
        </w:rPr>
        <w:t>. A buyer is hedonic and values CSR with probability</w:t>
      </w:r>
      <w:r>
        <w:rPr>
          <w:sz w:val="22"/>
          <w:szCs w:val="22"/>
          <w:lang w:eastAsia="ko-KR"/>
        </w:rPr>
        <w:t xml:space="preserve"> </w:t>
      </w:r>
      <w:r>
        <w:rPr>
          <w:sz w:val="22"/>
          <w:szCs w:val="22"/>
        </w:rPr>
        <w:t xml:space="preserve"> </w:t>
      </w:r>
      <m:oMath>
        <m:r>
          <w:rPr>
            <w:rFonts w:ascii="Cambria Math" w:hAnsi="Cambria Math"/>
            <w:sz w:val="22"/>
            <w:szCs w:val="22"/>
          </w:rPr>
          <m:t>q</m:t>
        </m:r>
        <m:r>
          <m:rPr>
            <m:scr m:val="double-struck"/>
          </m:rP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=1)</m:t>
        </m:r>
      </m:oMath>
      <w:r>
        <w:rPr>
          <w:sz w:val="22"/>
          <w:szCs w:val="22"/>
        </w:rPr>
        <w:t>,  or utilitarian and does not value CSR with probability (</w:t>
      </w:r>
      <m:oMath>
        <m:r>
          <w:rPr>
            <w:rFonts w:ascii="Cambria Math" w:hAnsi="Cambria Math"/>
            <w:sz w:val="22"/>
            <w:szCs w:val="22"/>
          </w:rPr>
          <m:t>1-q</m:t>
        </m:r>
        <m:r>
          <m:rPr>
            <m:scr m:val="double-struck"/>
          </m:rP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=0)</m:t>
        </m:r>
      </m:oMath>
      <w:r>
        <w:rPr>
          <w:sz w:val="22"/>
          <w:szCs w:val="22"/>
        </w:rPr>
        <w:t>. Additionally, in this initial stage, the rival platform 2 has already introduced its preemptive CSR policy. Then, in the second stage, the buyers simultaneously signal their types, choosing either to vote with the wallet (</w:t>
      </w:r>
      <w:r>
        <w:rPr>
          <w:i/>
          <w:sz w:val="22"/>
          <w:szCs w:val="22"/>
        </w:rPr>
        <w:t>W</w:t>
      </w:r>
      <w:r>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b</m:t>
            </m:r>
          </m:sup>
        </m:sSubSup>
        <m:r>
          <w:rPr>
            <w:rFonts w:ascii="Cambria Math" w:hAnsi="Cambria Math"/>
            <w:sz w:val="22"/>
            <w:szCs w:val="22"/>
          </w:rPr>
          <m:t>=1</m:t>
        </m:r>
      </m:oMath>
      <w:r>
        <w:rPr>
          <w:sz w:val="22"/>
          <w:szCs w:val="22"/>
        </w:rPr>
        <w:t xml:space="preserve">, at cost </w:t>
      </w:r>
      <m:oMath>
        <m:r>
          <w:rPr>
            <w:rFonts w:ascii="Cambria Math" w:hAnsi="Cambria Math"/>
            <w:sz w:val="22"/>
            <w:szCs w:val="22"/>
          </w:rPr>
          <m:t>κ</m:t>
        </m:r>
      </m:oMath>
      <w:r>
        <w:rPr>
          <w:sz w:val="22"/>
          <w:szCs w:val="22"/>
        </w:rPr>
        <w:t xml:space="preserve"> or abstain (</w:t>
      </w:r>
      <m:oMath>
        <m:r>
          <w:rPr>
            <w:rFonts w:ascii="Cambria Math" w:hAnsi="Cambria Math"/>
            <w:sz w:val="22"/>
            <w:szCs w:val="22"/>
          </w:rPr>
          <m:t>A</m:t>
        </m:r>
      </m:oMath>
      <w:r>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b</m:t>
            </m:r>
          </m:sup>
        </m:sSubSup>
        <m:r>
          <w:rPr>
            <w:rFonts w:ascii="Cambria Math" w:hAnsi="Cambria Math"/>
            <w:sz w:val="22"/>
            <w:szCs w:val="22"/>
          </w:rPr>
          <m:t>=0</m:t>
        </m:r>
      </m:oMath>
      <w:r>
        <w:rPr>
          <w:sz w:val="22"/>
          <w:szCs w:val="22"/>
        </w:rPr>
        <w:t>, at zero cost. Finally, in the th</w:t>
      </w:r>
      <w:proofErr w:type="spellStart"/>
      <w:r>
        <w:rPr>
          <w:sz w:val="22"/>
          <w:szCs w:val="22"/>
        </w:rPr>
        <w:t>ird</w:t>
      </w:r>
      <w:proofErr w:type="spellEnd"/>
      <w:r>
        <w:rPr>
          <w:sz w:val="22"/>
          <w:szCs w:val="22"/>
        </w:rPr>
        <w:t xml:space="preserve"> stage, the focal platform chooses its strategy to engage in CSR or not, </w:t>
      </w:r>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p</m:t>
            </m:r>
          </m:sup>
        </m:sSubSup>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 xml:space="preserve">1=CSR, 0=No </m:t>
            </m:r>
          </m:e>
        </m:d>
      </m:oMath>
      <w:r>
        <w:rPr>
          <w:sz w:val="22"/>
          <w:szCs w:val="22"/>
        </w:rPr>
        <w:t>, after which, the buyers make their platform adoption decisions rationally according to their types and the platforms’ CSR strategies. In the short ho</w:t>
      </w:r>
      <w:proofErr w:type="spellStart"/>
      <w:r>
        <w:rPr>
          <w:sz w:val="22"/>
          <w:szCs w:val="22"/>
        </w:rPr>
        <w:t>rizon</w:t>
      </w:r>
      <w:proofErr w:type="spellEnd"/>
      <w:r>
        <w:rPr>
          <w:sz w:val="22"/>
          <w:szCs w:val="22"/>
        </w:rPr>
        <w:t xml:space="preserve"> (1-period) CMS game version, platform 1 does not consider future periods. Then we relax this restriction in the long horizon (multi-period) game and platform 1 considers the effect of its CSR policy through future periods in which a proportion of buyers and sellers may churn (i.e., leave their current platform) and adopt another platform probabilistically in proportion to their expected value from each platform. </w:t>
      </w:r>
    </w:p>
    <w:p w14:paraId="56D2A9AF" w14:textId="7C9732B8" w:rsidR="000900D8" w:rsidRDefault="000900D8" w:rsidP="000900D8">
      <w:pPr>
        <w:spacing w:after="0" w:line="480" w:lineRule="auto"/>
        <w:jc w:val="center"/>
        <w:rPr>
          <w:lang w:eastAsia="ko-KR"/>
        </w:rPr>
      </w:pPr>
      <w:r>
        <w:rPr>
          <w:noProof/>
        </w:rPr>
        <w:lastRenderedPageBreak/>
        <w:drawing>
          <wp:inline distT="0" distB="0" distL="0" distR="0" wp14:anchorId="0567D000" wp14:editId="161346FE">
            <wp:extent cx="5355590" cy="2434590"/>
            <wp:effectExtent l="19050" t="19050" r="1651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5590" cy="2434590"/>
                    </a:xfrm>
                    <a:prstGeom prst="rect">
                      <a:avLst/>
                    </a:prstGeom>
                    <a:noFill/>
                    <a:ln w="9525" cmpd="sng">
                      <a:solidFill>
                        <a:srgbClr val="000000"/>
                      </a:solidFill>
                      <a:miter lim="800000"/>
                      <a:headEnd/>
                      <a:tailEnd/>
                    </a:ln>
                    <a:effectLst/>
                  </pic:spPr>
                </pic:pic>
              </a:graphicData>
            </a:graphic>
          </wp:inline>
        </w:drawing>
      </w:r>
    </w:p>
    <w:p w14:paraId="6AC48081" w14:textId="77777777" w:rsidR="000900D8" w:rsidRDefault="000900D8" w:rsidP="000900D8">
      <w:pPr>
        <w:spacing w:line="480" w:lineRule="auto"/>
        <w:jc w:val="center"/>
      </w:pPr>
      <w:r>
        <w:t xml:space="preserve">Fig. 1. CSR market signaling game (Stages 1-3) in short (3A) and long (3A-B) decision horizons. </w:t>
      </w:r>
    </w:p>
    <w:p w14:paraId="0F82BE37" w14:textId="77777777" w:rsidR="000900D8" w:rsidRDefault="000900D8" w:rsidP="000900D8">
      <w:pPr>
        <w:spacing w:after="0" w:line="480" w:lineRule="auto"/>
        <w:jc w:val="both"/>
        <w:rPr>
          <w:b/>
          <w:i/>
          <w:color w:val="000000" w:themeColor="text1"/>
          <w:lang w:eastAsia="ko-KR"/>
        </w:rPr>
      </w:pPr>
    </w:p>
    <w:p w14:paraId="25C8064B" w14:textId="77777777" w:rsidR="000900D8" w:rsidRDefault="000900D8" w:rsidP="000900D8">
      <w:pPr>
        <w:spacing w:after="0" w:line="480" w:lineRule="auto"/>
        <w:ind w:firstLine="720"/>
        <w:jc w:val="both"/>
        <w:rPr>
          <w:sz w:val="22"/>
          <w:szCs w:val="22"/>
        </w:rPr>
      </w:pPr>
      <w:r>
        <w:rPr>
          <w:b/>
          <w:i/>
          <w:color w:val="000000" w:themeColor="text1"/>
          <w:sz w:val="22"/>
          <w:szCs w:val="22"/>
        </w:rPr>
        <w:t>Representative buyer’s value</w:t>
      </w:r>
      <w:r>
        <w:rPr>
          <w:b/>
          <w:color w:val="000000" w:themeColor="text1"/>
          <w:sz w:val="22"/>
          <w:szCs w:val="22"/>
        </w:rPr>
        <w:t xml:space="preserve">. </w:t>
      </w:r>
      <w:r>
        <w:rPr>
          <w:color w:val="000000" w:themeColor="text1"/>
          <w:sz w:val="22"/>
          <w:szCs w:val="22"/>
        </w:rPr>
        <w:t xml:space="preserve"> </w:t>
      </w:r>
      <w:r>
        <w:rPr>
          <w:sz w:val="22"/>
          <w:szCs w:val="22"/>
        </w:rPr>
        <w:t xml:space="preserve">To quantify a buyer’s demand for each platform, we derive a value (indirect utility) function following the constant elasticity of substitution form </w:t>
      </w:r>
      <w:r>
        <w:rPr>
          <w:sz w:val="22"/>
          <w:szCs w:val="22"/>
        </w:rPr>
        <w:fldChar w:fldCharType="begin" w:fldLock="1"/>
      </w:r>
      <w:r>
        <w:rPr>
          <w:sz w:val="22"/>
          <w:szCs w:val="22"/>
        </w:rPr>
        <w:instrText>ADDIN CSL_CITATION { "citationItems" : [ { "id" : "ITEM-1", "itemData" : { "DOI" : "10.1016/S0167-7187(98)00007-1", "ISBN" : "00028282", "ISSN" : "01677187", "PMID" : "17746758", "abstract" : "This article focuses on the impact of scale economies on whether a market solution will yield the socially optimum kinds and quantities of commodities in welfare economics. This article develops some models to study various aspects of the relationship between market and optimal resource allocation in the presence of some nonconvexities. The monopoly power, which is a necessary ingredient of markets with nonconvexities, is usually considered to distort resources away from the sector concerned. However, in the analysis monopoly power enables firms to pay fixed costs, and entry cannot be prevented, so the relationship between monopoly power and the direction of market distortion is no longer obvious. In the central case of constant elasticity utility function, the market solution was constrained Pareto optimal, regardless of the value of that elasticity. With variable elasticities, the bias could go either way, and the direction of the bias depended not on how the elasticity of demand ch", "author" : [ { "dropping-particle" : "", "family" : "Dixit", "given" : "Avinash K", "non-dropping-particle" : "", "parse-names" : false, "suffix" : "" }, { "dropping-particle" : "", "family" : "Stiglitz", "given" : "Joseph E", "non-dropping-particle" : "", "parse-names" : false, "suffix" : "" } ], "container-title" : "The American Economic Review", "id" : "ITEM-1", "issue" : "3", "issued" : { "date-parts" : [ [ "1977" ] ] }, "page" : "297-308", "title" : "Monopolistic competition and optimum product diversity", "type" : "article-journal", "volume" : "67" }, "uris" : [ "http://www.mendeley.com/documents/?uuid=70d891c3-9a5c-4984-bd47-57126fd9d30b" ] } ], "mendeley" : { "formattedCitation" : "(Dixit &amp; Stiglitz, 1977)", "plainTextFormattedCitation" : "(Dixit &amp; Stiglitz, 1977)", "previouslyFormattedCitation" : "(Dixit &amp; Stiglitz, 1977)" }, "properties" : { "noteIndex" : 0 }, "schema" : "https://github.com/citation-style-language/schema/raw/master/csl-citation.json" }</w:instrText>
      </w:r>
      <w:r>
        <w:rPr>
          <w:sz w:val="22"/>
          <w:szCs w:val="22"/>
        </w:rPr>
        <w:fldChar w:fldCharType="separate"/>
      </w:r>
      <w:r>
        <w:rPr>
          <w:noProof/>
          <w:sz w:val="22"/>
          <w:szCs w:val="22"/>
        </w:rPr>
        <w:t>(Dixit &amp; Stiglitz, 1977)</w:t>
      </w:r>
      <w:r>
        <w:rPr>
          <w:sz w:val="22"/>
          <w:szCs w:val="22"/>
        </w:rPr>
        <w:fldChar w:fldCharType="end"/>
      </w:r>
      <w:r>
        <w:rPr>
          <w:sz w:val="22"/>
          <w:szCs w:val="22"/>
        </w:rPr>
        <w:t xml:space="preserve">, which is common in platform competition literature models accounting for a cross-group network effect </w:t>
      </w:r>
      <w:r>
        <w:rPr>
          <w:sz w:val="22"/>
          <w:szCs w:val="22"/>
        </w:rPr>
        <w:fldChar w:fldCharType="begin" w:fldLock="1"/>
      </w:r>
      <w:r>
        <w:rPr>
          <w:sz w:val="22"/>
          <w:szCs w:val="22"/>
        </w:rPr>
        <w:instrText>ADDIN CSL_CITATION { "citationItems" : [ { "id" : "ITEM-1", "itemData" : { "DOI" : "10.2139/ssrn.408280", "ISSN" : "15565068", "abstract" : "We present a framework to measure empirically the size of indirect network effects in high-technology markets with competing incompatible technology standards. These indirect network effects arise due to inter-dependence in demand for hardware and compatible software. By modeling the joint determination of hardware sales and software availability in the market, we are able to describe the nature of demand inter-dependence and to measure the size of the indirect network effects. We apply the model to price and sales data from the industry for personal digital assistants (PDAs) along with the availability of software titles compatible with each PDA hardware standard. Our empirical results indicate significant indirect network effects. By July 2002, the network effect explains roughly 22% of the log-odds ratio of the sales of all Palm O/S compatible PDA-s to Microsoft O/S compatible PDA-s, where the remaining 78% reflects price and model features. We also use our model estimates to study the growth of the installed bases of Palm and Microsoft PDA hardware, with and without the availability of compatible third party software. We find that lack of third party software negatively impacts the evolution of the installed hardware bases of both formats. These results suggest PDA hardware firms would benefit from investing resources in increasing the provision of software for their products. We then compare the benefits of investments in software with investments in the quality of hardware technology. This exercise helps disentangle the potential for incremental hardware sales due to hardware quality improvement from that of positive feedback due to market software provision. ABSTRACT FROM AUTHOR", "author" : [ { "dropping-particle" : "", "family" : "Nair", "given" : "Harikesh", "non-dropping-particle" : "", "parse-names" : false, "suffix" : "" }, { "dropping-particle" : "", "family" : "Chintagunta", "given" : "Pradeep K", "non-dropping-particle" : "", "parse-names" : false, "suffix" : "" }, { "dropping-particle" : "", "family" : "Dube", "given" : "Jean-Pierre H", "non-dropping-particle" : "", "parse-names" : false, "suffix" : "" } ], "container-title" : "Quantitative Marketing and Economics", "id" : "ITEM-1", "issue" : "1", "issued" : { "date-parts" : [ [ "2004" ] ] }, "page" : "23-58", "publisher" : "Springer", "title" : "Empirical Analysis of Indirect Network Effects in the Market for Personal Digital Assistants", "type" : "article-journal", "volume" : "2" }, "uris" : [ "http://www.mendeley.com/documents/?uuid=d9ec76a9-4808-4471-9583-081d3d97759f" ] }, { "id" : "ITEM-2", "itemData" : { "DOI" : "10.1002/smj.941", "ISSN" : "1097-0266", "abstract" : "This paper examines the relative importance of platform quality, indirect network effects, and consumer expectations on the success of entrants in platform-based markets. We develop a theoretical model and find that an entrant's success depends on the strength of indirect network effects and on the consumers' discount factor for future applications. We then illustrate the model's applicability by examining Xbox's entry into the video game industry. We find that Xbox had a small quality advantage over the incumbent, PlayStation 2, and the strength of indirect network effects and the consumers' discount factor, while statistically significant, fall in the region where PlayStation 2's position is unsustainable. Copyright \u00a9 2012 John Wiley &amp; Sons, Ltd.", "author" : [ { "dropping-particle" : "", "family" : "Zhu", "given" : "Feng", "non-dropping-particle" : "", "parse-names" : false, "suffix" : "" }, { "dropping-particle" : "", "family" : "Iansiti", "given" : "Marco", "non-dropping-particle" : "", "parse-names" : false, "suffix" : "" } ], "container-title" : "Strategic Management Journal", "id" : "ITEM-2", "issue" : "1", "issued" : { "date-parts" : [ [ "2012", "1" ] ] }, "language" : "en", "page" : "88-106", "title" : "Entry into platform-based markets", "type" : "article-journal", "volume" : "33" }, "uris" : [ "http://www.mendeley.com/documents/?uuid=2931ad5e-b0aa-4bdc-bd41-77a3f2f03c4c" ] }, { "id" : "ITEM-3", "itemData" : { "DOI" : "10.1016/j.techfore.2014.09.008", "ISSN" : "0040-1625", "abstract" : "We investigate a market entry scenario where a technologically-superior new platform may overcomeits installed base disadvantagewith the backing of a strong keystone species advantage within the business ecosystem, called keystone effect in this study, over an incumbent in amarket that exhibits indirect network effects. The strength of the keystone species impacts the availability of complementary goods, which is a key factor for a platform to increase its installed base. This study proposes a dynamic economic model to map a market landscape that shows the internal condition (entrant's keystone effect) and external conditions (incumbent's keystone effect and indirect network effects) under which a new platform can successfully enter (i.e., maintain oligopoly ormonopoly share) or fail to enter atwo-sidedmarket in a winner-take-all scenario.We then illustrate the model's applicability by examining the entry ofWorldwide Interoperability for Microwave Access (WiMAX) into the global mobile telecommunications market, employing recentmarket data from2009 to 2012 aswell as forecast scenario data from2010 to 2014. In both the historical data and hypothetical forecast scenario we find that WiMAX's keystone effect disadvantage and the market's indirect network effects were cumulatively strong enough to prevent the new technology standard from successfully competing with the incumbent (cellular 3G and Long Term Evolution) for oligopoly or monopoly share in the long run.", "author" : [ { "dropping-particle" : "", "family" : "Kang", "given" : "Jin-Su", "non-dropping-particle" : "", "parse-names" : false, "suffix" : "" }, { "dropping-particle" : "", "family" : "Downing", "given" : "Stephen", "non-dropping-particle" : "", "parse-names" : false, "suffix" : "" } ], "container-title" : "Technological Forecasting &amp; Social Change", "id" : "ITEM-3", "issued" : { "date-parts" : [ [ "2015" ] ] }, "page" : "170-186", "publisher" : "Elsevier Inc.", "title" : "Keystone effect on entry into two-sided markets: An analysis of the market entry of WiMAX", "type" : "article-journal", "volume" : "94" }, "uris" : [ "http://www.mendeley.com/documents/?uuid=7166a111-4847-49c6-8432-a08b87351e7d" ] } ], "mendeley" : { "formattedCitation" : "(Kang &amp; Downing, 2015; Nair, Chintagunta, &amp; Dube, 2004; Zhu &amp; Iansiti, 2012)", "manualFormatting" : "(e.g., Kang &amp; Downing, 2015; Nair, Chintagunta, &amp; Dube, 2004; Zhu &amp; Iansiti, 2012)", "plainTextFormattedCitation" : "(Kang &amp; Downing, 2015; Nair, Chintagunta, &amp; Dube, 2004; Zhu &amp; Iansiti, 2012)", "previouslyFormattedCitation" : "(Kang &amp; Downing, 2015; Nair, Chintagunta, &amp; Dube, 2004; Zhu &amp; Iansiti, 2012)" }, "properties" : { "noteIndex" : 0 }, "schema" : "https://github.com/citation-style-language/schema/raw/master/csl-citation.json" }</w:instrText>
      </w:r>
      <w:r>
        <w:rPr>
          <w:sz w:val="22"/>
          <w:szCs w:val="22"/>
        </w:rPr>
        <w:fldChar w:fldCharType="separate"/>
      </w:r>
      <w:r>
        <w:rPr>
          <w:noProof/>
          <w:sz w:val="22"/>
          <w:szCs w:val="22"/>
        </w:rPr>
        <w:t>(e.g., Kang &amp; Downing, 2015; Nair, Chintagunta, &amp; Dube, 2004; Zhu &amp; Iansiti, 2012)</w:t>
      </w:r>
      <w:r>
        <w:rPr>
          <w:sz w:val="22"/>
          <w:szCs w:val="22"/>
        </w:rPr>
        <w:fldChar w:fldCharType="end"/>
      </w:r>
      <w:r>
        <w:rPr>
          <w:sz w:val="22"/>
          <w:szCs w:val="22"/>
        </w:rPr>
        <w:t xml:space="preserve">, and we then solve the utility maximization problem (see Appendix XX) to yield the value buyer </w:t>
      </w:r>
      <w:proofErr w:type="spellStart"/>
      <w:r>
        <w:rPr>
          <w:i/>
          <w:sz w:val="22"/>
          <w:szCs w:val="22"/>
        </w:rPr>
        <w:t>i</w:t>
      </w:r>
      <w:proofErr w:type="spellEnd"/>
      <w:r>
        <w:rPr>
          <w:sz w:val="22"/>
          <w:szCs w:val="22"/>
        </w:rPr>
        <w:t xml:space="preserve"> would receive from platform </w:t>
      </w:r>
      <w:r>
        <w:rPr>
          <w:i/>
          <w:sz w:val="22"/>
          <w:szCs w:val="22"/>
        </w:rPr>
        <w:t>k</w:t>
      </w:r>
      <w:r>
        <w:rPr>
          <w:sz w:val="22"/>
          <w:szCs w:val="22"/>
        </w:rPr>
        <w:t xml:space="preserve"> at time </w:t>
      </w:r>
      <w:r>
        <w:rPr>
          <w:i/>
          <w:sz w:val="22"/>
          <w:szCs w:val="22"/>
        </w:rPr>
        <w:t>t</w:t>
      </w:r>
      <w:r>
        <w:rPr>
          <w:sz w:val="22"/>
          <w:szCs w:val="22"/>
        </w:rPr>
        <w:t xml:space="preserve">, </w:t>
      </w:r>
      <m:oMath>
        <m:sSub>
          <m:sSubPr>
            <m:ctrlPr>
              <w:rPr>
                <w:rFonts w:ascii="Cambria Math" w:hAnsi="Cambria Math"/>
                <w:i/>
                <w:sz w:val="22"/>
                <w:szCs w:val="22"/>
              </w:rPr>
            </m:ctrlPr>
          </m:sSubPr>
          <m:e>
            <m:r>
              <m:rPr>
                <m:sty m:val="p"/>
              </m:rPr>
              <w:rPr>
                <w:rFonts w:ascii="Cambria Math" w:hAnsi="Cambria Math"/>
                <w:sz w:val="22"/>
                <w:szCs w:val="22"/>
              </w:rPr>
              <m:t>V</m:t>
            </m:r>
          </m:e>
          <m:sub>
            <m:r>
              <w:rPr>
                <w:rFonts w:ascii="Cambria Math" w:hAnsi="Cambria Math"/>
                <w:sz w:val="22"/>
                <w:szCs w:val="22"/>
              </w:rPr>
              <m:t>ikt</m:t>
            </m:r>
          </m:sub>
        </m:sSub>
      </m:oMath>
      <w:r>
        <w:rPr>
          <w:sz w:val="22"/>
          <w:szCs w:val="22"/>
        </w:rPr>
        <w:t xml:space="preserve">: </w:t>
      </w:r>
    </w:p>
    <w:tbl>
      <w:tblPr>
        <w:tblW w:w="9510" w:type="dxa"/>
        <w:tblLook w:val="04A0" w:firstRow="1" w:lastRow="0" w:firstColumn="1" w:lastColumn="0" w:noHBand="0" w:noVBand="1"/>
      </w:tblPr>
      <w:tblGrid>
        <w:gridCol w:w="8877"/>
        <w:gridCol w:w="633"/>
      </w:tblGrid>
      <w:tr w:rsidR="000900D8" w14:paraId="4ADD8108" w14:textId="77777777" w:rsidTr="000900D8">
        <w:trPr>
          <w:trHeight w:val="862"/>
        </w:trPr>
        <w:tc>
          <w:tcPr>
            <w:tcW w:w="8877" w:type="dxa"/>
            <w:vAlign w:val="center"/>
          </w:tcPr>
          <w:p w14:paraId="05A63B93" w14:textId="77777777" w:rsidR="000900D8" w:rsidRDefault="000900D8">
            <w:pPr>
              <w:spacing w:after="0" w:line="480" w:lineRule="auto"/>
              <w:jc w:val="both"/>
              <w:rPr>
                <w:sz w:val="22"/>
                <w:szCs w:val="22"/>
              </w:rPr>
            </w:pPr>
          </w:p>
        </w:tc>
        <w:tc>
          <w:tcPr>
            <w:tcW w:w="633" w:type="dxa"/>
            <w:vAlign w:val="center"/>
            <w:hideMark/>
          </w:tcPr>
          <w:p w14:paraId="55481F16" w14:textId="77777777" w:rsidR="000900D8" w:rsidRDefault="000900D8">
            <w:pPr>
              <w:spacing w:after="0" w:line="480" w:lineRule="auto"/>
              <w:jc w:val="center"/>
              <w:rPr>
                <w:sz w:val="22"/>
                <w:szCs w:val="22"/>
              </w:rPr>
            </w:pPr>
            <w:r>
              <w:rPr>
                <w:sz w:val="22"/>
                <w:szCs w:val="22"/>
              </w:rPr>
              <w:t>(</w:t>
            </w:r>
            <w:r>
              <w:rPr>
                <w:sz w:val="22"/>
                <w:szCs w:val="22"/>
                <w:lang w:eastAsia="ko-KR"/>
              </w:rPr>
              <w:t>1</w:t>
            </w:r>
            <w:r>
              <w:rPr>
                <w:sz w:val="22"/>
                <w:szCs w:val="22"/>
              </w:rPr>
              <w:t>)</w:t>
            </w:r>
          </w:p>
        </w:tc>
      </w:tr>
    </w:tbl>
    <w:p w14:paraId="2EABFB48" w14:textId="77777777" w:rsidR="000900D8" w:rsidRDefault="000900D8" w:rsidP="000900D8">
      <w:pPr>
        <w:spacing w:after="0" w:line="480" w:lineRule="auto"/>
        <w:jc w:val="both"/>
        <w:rPr>
          <w:sz w:val="22"/>
          <w:szCs w:val="22"/>
        </w:rPr>
      </w:pPr>
      <w:r>
        <w:rPr>
          <w:sz w:val="22"/>
          <w:szCs w:val="22"/>
        </w:rPr>
        <w:t xml:space="preserve">In Eq. (1), the constant  </w:t>
      </w:r>
      <w:r>
        <w:rPr>
          <w:rFonts w:ascii="Cambria Math" w:hAnsi="Cambria Math"/>
          <w:sz w:val="22"/>
          <w:szCs w:val="22"/>
        </w:rPr>
        <w:t>ε</w:t>
      </w:r>
      <w:r>
        <w:rPr>
          <w:sz w:val="22"/>
          <w:szCs w:val="22"/>
        </w:rPr>
        <w:t xml:space="preserve"> is the cross-group network effect term (see Appendix XX for explanation), and the solution assume prices are equal for sellers on the same platform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jkt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j'kt</m:t>
            </m:r>
          </m:sub>
        </m:sSub>
        <m:r>
          <w:rPr>
            <w:rFonts w:ascii="Cambria Math" w:hAnsi="Cambria Math"/>
            <w:sz w:val="22"/>
            <w:szCs w:val="22"/>
          </w:rPr>
          <m:t>,∀j≠j'</m:t>
        </m:r>
      </m:oMath>
      <w:r>
        <w:rPr>
          <w:sz w:val="22"/>
          <w:szCs w:val="22"/>
        </w:rPr>
        <w:t>). This expression captures the value buyers receive from consuming goods on either platform as a sum of (i) the q</w:t>
      </w:r>
      <w:proofErr w:type="spellStart"/>
      <w:r>
        <w:rPr>
          <w:sz w:val="22"/>
          <w:szCs w:val="22"/>
        </w:rPr>
        <w:t>uantity</w:t>
      </w:r>
      <w:proofErr w:type="spellEnd"/>
      <w:r>
        <w:rPr>
          <w:sz w:val="22"/>
          <w:szCs w:val="22"/>
        </w:rPr>
        <w:t xml:space="preserve"> of goods one can afford, (ii) total quality of the platform and its goods, and (iii) the platform’s size, in terms of number of sellers scaled by the magnitude of cross-group network effect. The total quality term</w:t>
      </w:r>
      <w:r>
        <w:rPr>
          <w:sz w:val="22"/>
          <w:szCs w:val="22"/>
          <w:lang w:eastAsia="ko-KR"/>
        </w:rPr>
        <w:t xml:space="preserve">, </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ikt</m:t>
            </m:r>
          </m:sub>
        </m:sSub>
        <m:r>
          <w:rPr>
            <w:rFonts w:ascii="Cambria Math" w:hAnsi="Cambria Math"/>
            <w:sz w:val="22"/>
            <w:szCs w:val="22"/>
            <w:lang w:eastAsia="ko-KR"/>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kt</m:t>
            </m:r>
          </m:sub>
        </m:sSub>
        <m:r>
          <w:rPr>
            <w:rFonts w:ascii="Cambria Math" w:hAnsi="Cambria Math"/>
            <w:sz w:val="22"/>
            <w:szCs w:val="22"/>
          </w:rPr>
          <m:t>+ω</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p</m:t>
            </m:r>
          </m:sup>
        </m:sSubSup>
        <m:sSub>
          <m:sSubPr>
            <m:ctrlPr>
              <w:rPr>
                <w:rFonts w:ascii="Cambria Math" w:eastAsia="Malgun Gothic" w:hAnsi="Cambria Math"/>
                <w:i/>
                <w:sz w:val="22"/>
                <w:szCs w:val="22"/>
              </w:rPr>
            </m:ctrlPr>
          </m:sSubPr>
          <m:e>
            <m:r>
              <w:rPr>
                <w:rFonts w:ascii="Cambria Math" w:eastAsia="Malgun Gothic" w:hAnsi="Cambria Math"/>
                <w:sz w:val="22"/>
                <w:szCs w:val="22"/>
              </w:rPr>
              <m:t>z</m:t>
            </m:r>
          </m:e>
          <m:sub>
            <m:r>
              <w:rPr>
                <w:rFonts w:ascii="Cambria Math" w:eastAsia="Malgun Gothic" w:hAnsi="Cambria Math"/>
                <w:sz w:val="22"/>
                <w:szCs w:val="22"/>
              </w:rPr>
              <m:t>i</m:t>
            </m:r>
          </m:sub>
        </m:sSub>
      </m:oMath>
      <w:r>
        <w:rPr>
          <w:sz w:val="22"/>
          <w:szCs w:val="22"/>
          <w:lang w:eastAsia="ko-KR"/>
        </w:rPr>
        <w:t xml:space="preserve">, </w:t>
      </w:r>
      <w:r>
        <w:rPr>
          <w:sz w:val="22"/>
          <w:szCs w:val="22"/>
        </w:rPr>
        <w:t>includ</w:t>
      </w:r>
      <w:r>
        <w:rPr>
          <w:sz w:val="22"/>
          <w:szCs w:val="22"/>
          <w:lang w:eastAsia="ko-KR"/>
        </w:rPr>
        <w:t xml:space="preserve">es </w:t>
      </w:r>
      <w:r>
        <w:rPr>
          <w:sz w:val="22"/>
          <w:szCs w:val="22"/>
        </w:rPr>
        <w:t xml:space="preserve">both baseline quality </w:t>
      </w:r>
      <w:r>
        <w:rPr>
          <w:sz w:val="22"/>
          <w:szCs w:val="22"/>
          <w:lang w:eastAsia="ko-KR"/>
        </w:rPr>
        <w:t xml:space="preserve">which is utilitarian,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kt</m:t>
            </m:r>
          </m:sub>
        </m:sSub>
      </m:oMath>
      <w:r>
        <w:rPr>
          <w:sz w:val="22"/>
          <w:szCs w:val="22"/>
          <w:lang w:eastAsia="ko-KR"/>
        </w:rPr>
        <w:t xml:space="preserve">, </w:t>
      </w:r>
      <w:r>
        <w:rPr>
          <w:sz w:val="22"/>
          <w:szCs w:val="22"/>
        </w:rPr>
        <w:t>and CSR-related quality</w:t>
      </w:r>
      <w:r>
        <w:rPr>
          <w:sz w:val="22"/>
          <w:szCs w:val="22"/>
          <w:lang w:eastAsia="ko-KR"/>
        </w:rPr>
        <w:t xml:space="preserve">, </w:t>
      </w:r>
      <w:r>
        <w:rPr>
          <w:sz w:val="22"/>
          <w:szCs w:val="22"/>
        </w:rPr>
        <w:t xml:space="preserve"> </w:t>
      </w:r>
      <m:oMath>
        <m:r>
          <w:rPr>
            <w:rFonts w:ascii="Cambria Math" w:hAnsi="Cambria Math"/>
            <w:sz w:val="22"/>
            <w:szCs w:val="22"/>
          </w:rPr>
          <m:t>ω</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p</m:t>
            </m:r>
          </m:sup>
        </m:sSubSup>
        <m:sSub>
          <m:sSubPr>
            <m:ctrlPr>
              <w:rPr>
                <w:rFonts w:ascii="Cambria Math" w:eastAsia="Malgun Gothic" w:hAnsi="Cambria Math"/>
                <w:i/>
                <w:sz w:val="22"/>
                <w:szCs w:val="22"/>
              </w:rPr>
            </m:ctrlPr>
          </m:sSubPr>
          <m:e>
            <m:r>
              <w:rPr>
                <w:rFonts w:ascii="Cambria Math" w:eastAsia="Malgun Gothic" w:hAnsi="Cambria Math"/>
                <w:sz w:val="22"/>
                <w:szCs w:val="22"/>
              </w:rPr>
              <m:t>z</m:t>
            </m:r>
          </m:e>
          <m:sub>
            <m:r>
              <w:rPr>
                <w:rFonts w:ascii="Cambria Math" w:eastAsia="Malgun Gothic" w:hAnsi="Cambria Math"/>
                <w:sz w:val="22"/>
                <w:szCs w:val="22"/>
              </w:rPr>
              <m:t>i</m:t>
            </m:r>
          </m:sub>
        </m:sSub>
      </m:oMath>
      <w:r>
        <w:rPr>
          <w:sz w:val="22"/>
          <w:szCs w:val="22"/>
          <w:lang w:eastAsia="ko-KR"/>
        </w:rPr>
        <w:t xml:space="preserve">. The latter part, CSR-related quality, demonstrates the importance of the platform’s CSR policy-market fit, since the total quality increases by </w:t>
      </w:r>
      <m:oMath>
        <m:r>
          <w:rPr>
            <w:rFonts w:ascii="Cambria Math" w:hAnsi="Cambria Math"/>
            <w:sz w:val="22"/>
            <w:szCs w:val="22"/>
          </w:rPr>
          <m:t>ω</m:t>
        </m:r>
      </m:oMath>
      <w:r>
        <w:rPr>
          <w:sz w:val="22"/>
          <w:szCs w:val="22"/>
        </w:rPr>
        <w:t xml:space="preserve"> only when the platform uses CSR (</w:t>
      </w:r>
      <w:r>
        <w:rPr>
          <w:sz w:val="22"/>
          <w:szCs w:val="22"/>
          <w:lang w:eastAsia="ko-KR"/>
        </w:rPr>
        <w:t xml:space="preserve">i.e. </w:t>
      </w:r>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p</m:t>
            </m:r>
          </m:sup>
        </m:sSubSup>
        <m:r>
          <w:rPr>
            <w:rFonts w:ascii="Cambria Math" w:hAnsi="Cambria Math"/>
            <w:sz w:val="22"/>
            <w:szCs w:val="22"/>
          </w:rPr>
          <m:t>=CSR=1</m:t>
        </m:r>
      </m:oMath>
      <w:r>
        <w:rPr>
          <w:sz w:val="22"/>
          <w:szCs w:val="22"/>
        </w:rPr>
        <w:t xml:space="preserve">)  </w:t>
      </w:r>
      <w:r>
        <w:rPr>
          <w:i/>
          <w:sz w:val="22"/>
          <w:szCs w:val="22"/>
        </w:rPr>
        <w:t>and</w:t>
      </w:r>
      <w:r>
        <w:rPr>
          <w:sz w:val="22"/>
          <w:szCs w:val="22"/>
        </w:rPr>
        <w:t xml:space="preserve"> the buyer is hedonic</w:t>
      </w:r>
      <w:r>
        <w:rPr>
          <w:sz w:val="22"/>
          <w:szCs w:val="22"/>
          <w:lang w:eastAsia="ko-KR"/>
        </w:rPr>
        <w:t xml:space="preserve"> </w:t>
      </w:r>
      <w:r>
        <w:rPr>
          <w:sz w:val="22"/>
          <w:szCs w:val="22"/>
        </w:rPr>
        <w:t>(</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=H=1</m:t>
        </m:r>
      </m:oMath>
      <w:r>
        <w:rPr>
          <w:sz w:val="22"/>
          <w:szCs w:val="22"/>
        </w:rPr>
        <w:t>). No quality increase is experienced by the hedonic buyer if the platform doesn’t engage in CSR (</w:t>
      </w:r>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p</m:t>
            </m:r>
          </m:sup>
        </m:sSubSup>
        <m:r>
          <w:rPr>
            <w:rFonts w:ascii="Cambria Math" w:hAnsi="Cambria Math"/>
            <w:sz w:val="22"/>
            <w:szCs w:val="22"/>
          </w:rPr>
          <m:t>=No=0</m:t>
        </m:r>
      </m:oMath>
      <w:r>
        <w:rPr>
          <w:sz w:val="22"/>
          <w:szCs w:val="22"/>
        </w:rPr>
        <w:t>), representing a lost oppo</w:t>
      </w:r>
      <w:proofErr w:type="spellStart"/>
      <w:r>
        <w:rPr>
          <w:sz w:val="22"/>
          <w:szCs w:val="22"/>
        </w:rPr>
        <w:t>rtunity</w:t>
      </w:r>
      <w:proofErr w:type="spellEnd"/>
      <w:r>
        <w:rPr>
          <w:sz w:val="22"/>
          <w:szCs w:val="22"/>
        </w:rPr>
        <w:t xml:space="preserve"> for differentiation. Similarly no quality increase is experienced by a utilitarian buyer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=U=0</m:t>
        </m:r>
      </m:oMath>
      <w:r>
        <w:rPr>
          <w:sz w:val="22"/>
          <w:szCs w:val="22"/>
        </w:rPr>
        <w:t xml:space="preserve">), even when the platform engages in CSR, which makes any CSR investment financially unviable facing a utilitarian buyer. Interpreting the value of platform size for buyers depends upon the type of platform. On a ride sharing platform like Uber or Lyft, for example, size means </w:t>
      </w:r>
      <w:r>
        <w:rPr>
          <w:i/>
          <w:sz w:val="22"/>
          <w:szCs w:val="22"/>
        </w:rPr>
        <w:t>availability</w:t>
      </w:r>
      <w:r>
        <w:rPr>
          <w:sz w:val="22"/>
          <w:szCs w:val="22"/>
        </w:rPr>
        <w:t xml:space="preserve"> of rides at low expected wait times; whereas, on an ecommerce or gaming platform, size means </w:t>
      </w:r>
      <w:r>
        <w:rPr>
          <w:i/>
          <w:sz w:val="22"/>
          <w:szCs w:val="22"/>
        </w:rPr>
        <w:t>variety</w:t>
      </w:r>
      <w:r>
        <w:rPr>
          <w:sz w:val="22"/>
          <w:szCs w:val="22"/>
        </w:rPr>
        <w:t xml:space="preserve"> of products or game titles from which the buyer may choose. Finally, the buyer’s payoff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V</m:t>
                </m:r>
              </m:e>
            </m:acc>
          </m:e>
          <m:sub>
            <m:r>
              <w:rPr>
                <w:rFonts w:ascii="Cambria Math" w:hAnsi="Cambria Math"/>
                <w:sz w:val="22"/>
                <w:szCs w:val="22"/>
              </w:rPr>
              <m:t>ikt</m:t>
            </m:r>
          </m:sub>
        </m:sSub>
      </m:oMath>
      <w:r>
        <w:rPr>
          <w:sz w:val="22"/>
          <w:szCs w:val="22"/>
        </w:rPr>
        <w:t>) as a function of the choice to vote or abstain is:</w:t>
      </w:r>
    </w:p>
    <w:tbl>
      <w:tblPr>
        <w:tblW w:w="9510" w:type="dxa"/>
        <w:tblLook w:val="04A0" w:firstRow="1" w:lastRow="0" w:firstColumn="1" w:lastColumn="0" w:noHBand="0" w:noVBand="1"/>
      </w:tblPr>
      <w:tblGrid>
        <w:gridCol w:w="8787"/>
        <w:gridCol w:w="723"/>
      </w:tblGrid>
      <w:tr w:rsidR="000900D8" w14:paraId="2E5453C8" w14:textId="77777777" w:rsidTr="000900D8">
        <w:trPr>
          <w:trHeight w:val="862"/>
        </w:trPr>
        <w:tc>
          <w:tcPr>
            <w:tcW w:w="8787" w:type="dxa"/>
            <w:vAlign w:val="center"/>
          </w:tcPr>
          <w:p w14:paraId="16D3B7CD" w14:textId="77777777" w:rsidR="000900D8" w:rsidRDefault="000900D8">
            <w:pPr>
              <w:spacing w:after="0" w:line="480" w:lineRule="auto"/>
              <w:jc w:val="both"/>
              <w:rPr>
                <w:sz w:val="22"/>
                <w:szCs w:val="22"/>
              </w:rPr>
            </w:pPr>
          </w:p>
        </w:tc>
        <w:tc>
          <w:tcPr>
            <w:tcW w:w="723" w:type="dxa"/>
            <w:vAlign w:val="center"/>
            <w:hideMark/>
          </w:tcPr>
          <w:p w14:paraId="533EE141" w14:textId="77777777" w:rsidR="000900D8" w:rsidRDefault="000900D8">
            <w:pPr>
              <w:spacing w:after="0" w:line="480" w:lineRule="auto"/>
              <w:jc w:val="center"/>
              <w:rPr>
                <w:sz w:val="22"/>
                <w:szCs w:val="22"/>
              </w:rPr>
            </w:pPr>
            <w:r>
              <w:rPr>
                <w:sz w:val="22"/>
                <w:szCs w:val="22"/>
              </w:rPr>
              <w:t>(2)</w:t>
            </w:r>
          </w:p>
        </w:tc>
      </w:tr>
    </w:tbl>
    <w:p w14:paraId="741ED8F9" w14:textId="77777777" w:rsidR="000900D8" w:rsidRDefault="000900D8" w:rsidP="000900D8">
      <w:pPr>
        <w:spacing w:after="0" w:line="480" w:lineRule="auto"/>
        <w:jc w:val="both"/>
        <w:rPr>
          <w:iCs/>
          <w:color w:val="FF0000"/>
          <w:sz w:val="22"/>
          <w:szCs w:val="22"/>
          <w:lang w:eastAsia="ko-KR"/>
        </w:rPr>
      </w:pPr>
      <w:r>
        <w:rPr>
          <w:sz w:val="22"/>
          <w:szCs w:val="22"/>
        </w:rPr>
        <w:t>which is the value from Eq. (1) minus the signaling cost of his or her strategy (</w:t>
      </w:r>
      <m:oMath>
        <m:r>
          <w:rPr>
            <w:rFonts w:ascii="Cambria Math" w:hAnsi="Cambria Math"/>
            <w:sz w:val="22"/>
            <w:szCs w:val="22"/>
          </w:rPr>
          <m:t>κ</m:t>
        </m:r>
      </m:oMath>
      <w:r>
        <w:rPr>
          <w:sz w:val="22"/>
          <w:szCs w:val="22"/>
        </w:rPr>
        <w:t>)</w:t>
      </w:r>
      <w:r>
        <w:rPr>
          <w:iCs/>
          <w:color w:val="FF0000"/>
          <w:sz w:val="22"/>
          <w:szCs w:val="22"/>
        </w:rPr>
        <w:t xml:space="preserve">. </w:t>
      </w:r>
      <w:r>
        <w:rPr>
          <w:iCs/>
          <w:color w:val="FF0000"/>
          <w:sz w:val="22"/>
          <w:szCs w:val="22"/>
          <w:lang w:eastAsia="ko-KR"/>
        </w:rPr>
        <w:t xml:space="preserve"> </w:t>
      </w:r>
      <w:r>
        <w:rPr>
          <w:iCs/>
          <w:color w:val="FF0000"/>
          <w:sz w:val="22"/>
          <w:szCs w:val="22"/>
          <w:lang w:eastAsia="ko-KR"/>
        </w:rPr>
        <w:tab/>
      </w:r>
      <w:r>
        <w:rPr>
          <w:iCs/>
          <w:color w:val="FF0000"/>
          <w:sz w:val="22"/>
          <w:szCs w:val="22"/>
          <w:lang w:eastAsia="ko-KR"/>
        </w:rPr>
        <w:tab/>
      </w:r>
    </w:p>
    <w:p w14:paraId="5E76C6EF" w14:textId="77777777" w:rsidR="000900D8" w:rsidRDefault="000900D8" w:rsidP="000900D8">
      <w:pPr>
        <w:spacing w:after="0" w:line="480" w:lineRule="auto"/>
        <w:ind w:firstLine="720"/>
        <w:jc w:val="both"/>
        <w:rPr>
          <w:sz w:val="22"/>
          <w:szCs w:val="22"/>
        </w:rPr>
      </w:pPr>
      <w:r>
        <w:rPr>
          <w:b/>
          <w:i/>
          <w:color w:val="000000" w:themeColor="text1"/>
          <w:sz w:val="22"/>
          <w:szCs w:val="22"/>
        </w:rPr>
        <w:t>CSR price premium</w:t>
      </w:r>
      <w:r>
        <w:rPr>
          <w:color w:val="000000" w:themeColor="text1"/>
          <w:sz w:val="22"/>
          <w:szCs w:val="22"/>
        </w:rPr>
        <w:t>. Define the expected CSR price premium for platform 2, (</w:t>
      </w:r>
      <m:oMath>
        <m:acc>
          <m:accPr>
            <m:chr m:val="̅"/>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ζ</m:t>
                </m:r>
              </m:e>
              <m:sub>
                <m:r>
                  <w:rPr>
                    <w:rFonts w:ascii="Cambria Math" w:hAnsi="Cambria Math"/>
                    <w:color w:val="000000" w:themeColor="text1"/>
                    <w:sz w:val="22"/>
                    <w:szCs w:val="22"/>
                  </w:rPr>
                  <m:t>2t</m:t>
                </m:r>
              </m:sub>
            </m:sSub>
          </m:e>
        </m:acc>
      </m:oMath>
      <w:r>
        <w:rPr>
          <w:color w:val="000000" w:themeColor="text1"/>
          <w:sz w:val="22"/>
          <w:szCs w:val="22"/>
        </w:rPr>
        <w:t>), as the markup of platform 2’s price above platform 1’s price evaluated at the level where demand is equal if platform 1 decides not to engage in CSR despite that fact that platform 2 has already chosen to utilize a CSR strategy. Platform 1 must consider this amount in making its CSR strategy decision because by choosing not to engage in CSR it would be allowing platform 2 the opportunity to earn this premium. Expressed in terms of non-price value components, this is proportional to the product of the ratios of platform quality (total quality for platform 2 with CSR, only utilitarian quality for platform 1 without CSR) and platform size (number of sellers) (see Appendix XX):</w:t>
      </w:r>
    </w:p>
    <w:tbl>
      <w:tblPr>
        <w:tblW w:w="9510" w:type="dxa"/>
        <w:tblLook w:val="04A0" w:firstRow="1" w:lastRow="0" w:firstColumn="1" w:lastColumn="0" w:noHBand="0" w:noVBand="1"/>
      </w:tblPr>
      <w:tblGrid>
        <w:gridCol w:w="8877"/>
        <w:gridCol w:w="633"/>
      </w:tblGrid>
      <w:tr w:rsidR="000900D8" w14:paraId="7EB2FA3C" w14:textId="77777777" w:rsidTr="000900D8">
        <w:trPr>
          <w:trHeight w:val="862"/>
        </w:trPr>
        <w:tc>
          <w:tcPr>
            <w:tcW w:w="8877" w:type="dxa"/>
            <w:vAlign w:val="center"/>
          </w:tcPr>
          <w:p w14:paraId="0DBAB00B" w14:textId="77777777" w:rsidR="000900D8" w:rsidRDefault="000900D8">
            <w:pPr>
              <w:spacing w:after="0" w:line="480" w:lineRule="auto"/>
              <w:ind w:firstLine="720"/>
              <w:rPr>
                <w:sz w:val="22"/>
                <w:szCs w:val="22"/>
              </w:rPr>
            </w:pPr>
          </w:p>
        </w:tc>
        <w:tc>
          <w:tcPr>
            <w:tcW w:w="633" w:type="dxa"/>
            <w:vAlign w:val="center"/>
            <w:hideMark/>
          </w:tcPr>
          <w:p w14:paraId="4E005B14" w14:textId="77777777" w:rsidR="000900D8" w:rsidRDefault="000900D8">
            <w:pPr>
              <w:spacing w:after="0" w:line="480" w:lineRule="auto"/>
              <w:jc w:val="center"/>
              <w:rPr>
                <w:sz w:val="22"/>
                <w:szCs w:val="22"/>
              </w:rPr>
            </w:pPr>
            <w:r>
              <w:rPr>
                <w:sz w:val="22"/>
                <w:szCs w:val="22"/>
              </w:rPr>
              <w:t>(3)</w:t>
            </w:r>
          </w:p>
        </w:tc>
      </w:tr>
    </w:tbl>
    <w:p w14:paraId="3336C62F" w14:textId="77777777" w:rsidR="000900D8" w:rsidRDefault="000900D8" w:rsidP="000900D8">
      <w:pPr>
        <w:spacing w:after="0" w:line="480" w:lineRule="auto"/>
        <w:jc w:val="both"/>
        <w:rPr>
          <w:color w:val="000000" w:themeColor="text1"/>
          <w:sz w:val="22"/>
          <w:szCs w:val="22"/>
        </w:rPr>
      </w:pPr>
      <w:r>
        <w:rPr>
          <w:color w:val="000000" w:themeColor="text1"/>
          <w:sz w:val="22"/>
          <w:szCs w:val="22"/>
        </w:rPr>
        <w:t>The network effect term exponentially amplifies (</w:t>
      </w:r>
      <m:oMath>
        <m:r>
          <w:rPr>
            <w:rFonts w:ascii="Cambria Math" w:hAnsi="Cambria Math"/>
            <w:sz w:val="22"/>
            <w:szCs w:val="22"/>
          </w:rPr>
          <m:t>ε&gt;1)</m:t>
        </m:r>
      </m:oMath>
      <w:r>
        <w:rPr>
          <w:color w:val="000000" w:themeColor="text1"/>
          <w:sz w:val="22"/>
          <w:szCs w:val="22"/>
        </w:rPr>
        <w:t xml:space="preserve"> or dampens (</w:t>
      </w:r>
      <m:oMath>
        <m:r>
          <w:rPr>
            <w:rFonts w:ascii="Cambria Math" w:hAnsi="Cambria Math"/>
            <w:sz w:val="22"/>
            <w:szCs w:val="22"/>
          </w:rPr>
          <m:t>ε&lt;1</m:t>
        </m:r>
      </m:oMath>
      <w:r>
        <w:rPr>
          <w:color w:val="000000" w:themeColor="text1"/>
          <w:sz w:val="22"/>
          <w:szCs w:val="22"/>
        </w:rPr>
        <w:t>) the impact of size difference on the value experienced by the consumer. This must factor into platform 1’s strategy decision since an overwhelming size advantage in a market of high cross-group network effect magnitude might make the CSR price premium negligible, or vice versa.  Additionally, platform 1 must consider the cost of the CSR policy with its resultant price markup (i.e., CSR-related marginal cost increases) and how that compares to the price premium, which is the additional value enjoyed by a hedonic buyer. This CSR cost-value tradeoff is illustrated in the dynamic simulations of price premiums presented in Section 4.2.2.</w:t>
      </w:r>
    </w:p>
    <w:p w14:paraId="575DD29D" w14:textId="77777777" w:rsidR="000900D8" w:rsidRDefault="000900D8" w:rsidP="000900D8">
      <w:pPr>
        <w:spacing w:after="0" w:line="480" w:lineRule="auto"/>
        <w:ind w:firstLine="720"/>
        <w:rPr>
          <w:sz w:val="22"/>
          <w:szCs w:val="22"/>
        </w:rPr>
      </w:pPr>
      <w:r>
        <w:rPr>
          <w:b/>
          <w:i/>
          <w:color w:val="000000" w:themeColor="text1"/>
          <w:sz w:val="22"/>
          <w:szCs w:val="22"/>
        </w:rPr>
        <w:t>Demand share</w:t>
      </w:r>
      <w:r>
        <w:rPr>
          <w:color w:val="000000" w:themeColor="text1"/>
          <w:sz w:val="22"/>
          <w:szCs w:val="22"/>
        </w:rPr>
        <w:t>. To determine the expected share of demand for each platform, we make use of the discrete choice model form</w:t>
      </w:r>
      <w:r>
        <w:rPr>
          <w:rStyle w:val="FootnoteReference"/>
          <w:sz w:val="22"/>
          <w:szCs w:val="22"/>
        </w:rPr>
        <w:footnoteReference w:id="2"/>
      </w:r>
      <w:r>
        <w:rPr>
          <w:sz w:val="22"/>
          <w:szCs w:val="22"/>
        </w:rPr>
        <w:t xml:space="preserve"> </w:t>
      </w:r>
      <w:r>
        <w:rPr>
          <w:sz w:val="22"/>
          <w:szCs w:val="22"/>
        </w:rPr>
        <w:lastRenderedPageBreak/>
        <w:fldChar w:fldCharType="begin" w:fldLock="1"/>
      </w:r>
      <w:r>
        <w:rPr>
          <w:sz w:val="22"/>
          <w:szCs w:val="22"/>
        </w:rPr>
        <w:instrText>ADDIN CSL_CITATION { "citationItems" : [ { "id" : "ITEM-1", "itemData" : { "DOI" : "10.1108/eb028592", "ISBN" : "0127761500", "ISSN" : "10867376", "abstract" : "McFadden D. 1974. Conditional logit analysis of qualitative choice behaviour. In Zarembka P, ed. Frontiers in econometrics. New York: Acad Pr. p 10542.", "author" : [ { "dropping-particle" : "", "family" : "McFadden", "given" : "D", "non-dropping-particle" : "", "parse-names" : false, "suffix" : "" } ], "chapter-number" : "4", "collection-title" : "Economic theory and mathematical economics", "container-title" : "Frontiers in Econometrics", "editor" : [ { "dropping-particle" : "", "family" : "Zarembka", "given" : "P", "non-dropping-particle" : "", "parse-names" : false, "suffix" : "" } ], "id" : "ITEM-1", "issue" : "2", "issued" : { "date-parts" : [ [ "1973" ] ] }, "page" : "105-142", "publisher" : "Academic Press", "title" : "Conditional logit analysis of qualitative choice behavior", "type" : "chapter", "volume" : "1" }, "uris" : [ "http://www.mendeley.com/documents/?uuid=c4852c86-a2f0-4843-a80f-f4689b5d7f86" ] } ], "mendeley" : { "formattedCitation" : "(McFadden, 1973)", "plainTextFormattedCitation" : "(McFadden, 1973)", "previouslyFormattedCitation" : "(McFadden, 1973)" }, "properties" : { "noteIndex" : 0 }, "schema" : "https://github.com/citation-style-language/schema/raw/master/csl-citation.json" }</w:instrText>
      </w:r>
      <w:r>
        <w:rPr>
          <w:sz w:val="22"/>
          <w:szCs w:val="22"/>
        </w:rPr>
        <w:fldChar w:fldCharType="separate"/>
      </w:r>
      <w:r>
        <w:rPr>
          <w:noProof/>
          <w:sz w:val="22"/>
          <w:szCs w:val="22"/>
        </w:rPr>
        <w:t>(McFadden, 1973)</w:t>
      </w:r>
      <w:r>
        <w:rPr>
          <w:sz w:val="22"/>
          <w:szCs w:val="22"/>
        </w:rPr>
        <w:fldChar w:fldCharType="end"/>
      </w:r>
      <w:r>
        <w:rPr>
          <w:sz w:val="22"/>
          <w:szCs w:val="22"/>
        </w:rPr>
        <w:t>,</w:t>
      </w:r>
      <w:r>
        <w:rPr>
          <w:color w:val="000000" w:themeColor="text1"/>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ikt</m:t>
            </m:r>
          </m:sub>
        </m:sSub>
        <m:r>
          <w:rPr>
            <w:rFonts w:ascii="Cambria Math" w:hAnsi="Cambria Math"/>
            <w:sz w:val="22"/>
            <w:szCs w:val="22"/>
          </w:rPr>
          <m:t>=</m:t>
        </m:r>
        <m:f>
          <m:fPr>
            <m:ctrlPr>
              <w:rPr>
                <w:rFonts w:ascii="Cambria Math" w:hAnsi="Cambria Math"/>
                <w:i/>
                <w:sz w:val="22"/>
                <w:szCs w:val="22"/>
              </w:rPr>
            </m:ctrlPr>
          </m:fPr>
          <m:num>
            <m:func>
              <m:funcPr>
                <m:ctrlPr>
                  <w:rPr>
                    <w:rFonts w:ascii="Cambria Math" w:hAnsi="Cambria Math"/>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V</m:t>
                        </m:r>
                      </m:e>
                      <m:sub>
                        <m:r>
                          <w:rPr>
                            <w:rFonts w:ascii="Cambria Math" w:hAnsi="Cambria Math"/>
                            <w:sz w:val="22"/>
                            <w:szCs w:val="22"/>
                          </w:rPr>
                          <m:t>ikt</m:t>
                        </m:r>
                      </m:sub>
                    </m:sSub>
                  </m:e>
                </m:d>
              </m:e>
            </m:func>
          </m:num>
          <m:den>
            <m:nary>
              <m:naryPr>
                <m:chr m:val="∑"/>
                <m:supHide m:val="1"/>
                <m:ctrlPr>
                  <w:rPr>
                    <w:rFonts w:ascii="Cambria Math" w:hAnsi="Cambria Math"/>
                    <w:i/>
                    <w:sz w:val="22"/>
                    <w:szCs w:val="22"/>
                  </w:rPr>
                </m:ctrlPr>
              </m:naryPr>
              <m:sub>
                <m:r>
                  <w:rPr>
                    <w:rFonts w:ascii="Cambria Math" w:hAnsi="Cambria Math"/>
                    <w:sz w:val="22"/>
                    <w:szCs w:val="22"/>
                  </w:rPr>
                  <m:t>k</m:t>
                </m:r>
              </m:sub>
              <m:sup/>
              <m:e>
                <m:r>
                  <m:rPr>
                    <m:sty m:val="p"/>
                  </m:rPr>
                  <w:rPr>
                    <w:rFonts w:ascii="Cambria Math" w:hAnsi="Cambria Math"/>
                    <w:sz w:val="22"/>
                    <w:szCs w:val="22"/>
                  </w:rPr>
                  <m:t>exp⁡</m:t>
                </m:r>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V</m:t>
                    </m:r>
                  </m:e>
                  <m:sub>
                    <m:r>
                      <w:rPr>
                        <w:rFonts w:ascii="Cambria Math" w:hAnsi="Cambria Math"/>
                        <w:sz w:val="22"/>
                        <w:szCs w:val="22"/>
                      </w:rPr>
                      <m:t>ikt</m:t>
                    </m:r>
                  </m:sub>
                </m:sSub>
                <m:r>
                  <w:rPr>
                    <w:rFonts w:ascii="Cambria Math" w:hAnsi="Cambria Math"/>
                    <w:sz w:val="22"/>
                    <w:szCs w:val="22"/>
                  </w:rPr>
                  <m:t>)</m:t>
                </m:r>
              </m:e>
            </m:nary>
          </m:den>
        </m:f>
      </m:oMath>
      <w:r>
        <w:rPr>
          <w:sz w:val="22"/>
          <w:szCs w:val="22"/>
        </w:rPr>
        <w:t>, which smooths the relative value of one platform to the total potential value among platforms into an s-shaped curve.  Substituting in the value function from Eq. (1), we obtain the demand share for platf</w:t>
      </w:r>
      <w:proofErr w:type="spellStart"/>
      <w:r>
        <w:rPr>
          <w:sz w:val="22"/>
          <w:szCs w:val="22"/>
        </w:rPr>
        <w:t>orm</w:t>
      </w:r>
      <w:proofErr w:type="spellEnd"/>
      <w:r>
        <w:rPr>
          <w:sz w:val="22"/>
          <w:szCs w:val="22"/>
        </w:rPr>
        <w:t xml:space="preserve"> </w:t>
      </w:r>
      <m:oMath>
        <m:r>
          <w:rPr>
            <w:rFonts w:ascii="Cambria Math" w:hAnsi="Cambria Math"/>
            <w:sz w:val="22"/>
            <w:szCs w:val="22"/>
          </w:rPr>
          <m:t>k</m:t>
        </m:r>
      </m:oMath>
      <w:r>
        <w:rPr>
          <w:sz w:val="22"/>
          <w:szCs w:val="22"/>
        </w:rPr>
        <w:t xml:space="preserve"> in period </w:t>
      </w:r>
      <m:oMath>
        <m:r>
          <w:rPr>
            <w:rFonts w:ascii="Cambria Math" w:hAnsi="Cambria Math"/>
            <w:sz w:val="22"/>
            <w:szCs w:val="22"/>
          </w:rPr>
          <m:t>t</m:t>
        </m:r>
      </m:oMath>
      <w:r>
        <w:rPr>
          <w:sz w:val="22"/>
          <w:szCs w:val="22"/>
        </w:rPr>
        <w:t>:</w:t>
      </w:r>
    </w:p>
    <w:tbl>
      <w:tblPr>
        <w:tblW w:w="9510" w:type="dxa"/>
        <w:tblLook w:val="04A0" w:firstRow="1" w:lastRow="0" w:firstColumn="1" w:lastColumn="0" w:noHBand="0" w:noVBand="1"/>
      </w:tblPr>
      <w:tblGrid>
        <w:gridCol w:w="8834"/>
        <w:gridCol w:w="676"/>
      </w:tblGrid>
      <w:tr w:rsidR="000900D8" w14:paraId="1975E95D" w14:textId="77777777" w:rsidTr="000900D8">
        <w:trPr>
          <w:trHeight w:val="862"/>
        </w:trPr>
        <w:tc>
          <w:tcPr>
            <w:tcW w:w="8834" w:type="dxa"/>
            <w:vAlign w:val="center"/>
          </w:tcPr>
          <w:p w14:paraId="4565AD32" w14:textId="77777777" w:rsidR="000900D8" w:rsidRDefault="000900D8">
            <w:pPr>
              <w:spacing w:after="0" w:line="480" w:lineRule="auto"/>
              <w:jc w:val="both"/>
              <w:rPr>
                <w:rFonts w:ascii="Cambria Math" w:eastAsia="PMingLiU" w:hAnsi="Cambria Math"/>
                <w:sz w:val="22"/>
                <w:szCs w:val="22"/>
                <w:oMath/>
              </w:rPr>
            </w:pPr>
          </w:p>
        </w:tc>
        <w:tc>
          <w:tcPr>
            <w:tcW w:w="676" w:type="dxa"/>
            <w:vAlign w:val="center"/>
            <w:hideMark/>
          </w:tcPr>
          <w:p w14:paraId="68B24109" w14:textId="77777777" w:rsidR="000900D8" w:rsidRDefault="000900D8">
            <w:pPr>
              <w:spacing w:after="0" w:line="480" w:lineRule="auto"/>
              <w:jc w:val="center"/>
              <w:rPr>
                <w:sz w:val="22"/>
                <w:szCs w:val="22"/>
              </w:rPr>
            </w:pPr>
            <w:r>
              <w:rPr>
                <w:sz w:val="22"/>
                <w:szCs w:val="22"/>
              </w:rPr>
              <w:t>(4)</w:t>
            </w:r>
          </w:p>
        </w:tc>
      </w:tr>
    </w:tbl>
    <w:p w14:paraId="5B864842" w14:textId="77777777" w:rsidR="000900D8" w:rsidRDefault="000900D8" w:rsidP="000900D8">
      <w:pPr>
        <w:spacing w:after="0" w:line="480" w:lineRule="auto"/>
        <w:contextualSpacing/>
      </w:pPr>
      <w:r>
        <w:rPr>
          <w:sz w:val="22"/>
          <w:szCs w:val="22"/>
        </w:rPr>
        <w:t xml:space="preserve">where </w:t>
      </w:r>
      <m:oMath>
        <m:sSub>
          <m:sSubPr>
            <m:ctrlPr>
              <w:rPr>
                <w:rFonts w:ascii="Cambria Math" w:eastAsia="Malgun Gothic" w:hAnsi="Cambria Math"/>
                <w:i/>
                <w:sz w:val="22"/>
                <w:szCs w:val="22"/>
              </w:rPr>
            </m:ctrlPr>
          </m:sSubPr>
          <m:e>
            <m:r>
              <w:rPr>
                <w:rFonts w:ascii="Cambria Math" w:hAnsi="Cambria Math"/>
                <w:sz w:val="22"/>
                <w:szCs w:val="22"/>
              </w:rPr>
              <m:t>Q</m:t>
            </m:r>
          </m:e>
          <m:sub>
            <m:r>
              <w:rPr>
                <w:rFonts w:ascii="Cambria Math" w:hAnsi="Cambria Math"/>
                <w:sz w:val="22"/>
                <w:szCs w:val="22"/>
              </w:rPr>
              <m:t>it</m:t>
            </m:r>
          </m:sub>
        </m:sSub>
        <m:r>
          <w:rPr>
            <w:rFonts w:ascii="Cambria Math" w:hAnsi="Cambria Math"/>
            <w:sz w:val="22"/>
            <w:szCs w:val="22"/>
          </w:rPr>
          <m:t>=</m:t>
        </m:r>
        <m:sSub>
          <m:sSubPr>
            <m:ctrlPr>
              <w:rPr>
                <w:rFonts w:ascii="Cambria Math" w:eastAsia="Malgun Gothic" w:hAnsi="Cambria Math"/>
                <w:i/>
                <w:sz w:val="22"/>
                <w:szCs w:val="22"/>
              </w:rPr>
            </m:ctrlPr>
          </m:sSubPr>
          <m:e>
            <m:r>
              <w:rPr>
                <w:rFonts w:ascii="Cambria Math" w:hAnsi="Cambria Math"/>
                <w:sz w:val="22"/>
                <w:szCs w:val="22"/>
              </w:rPr>
              <m:t>Q</m:t>
            </m:r>
          </m:e>
          <m:sub>
            <m:r>
              <w:rPr>
                <w:rFonts w:ascii="Cambria Math" w:hAnsi="Cambria Math"/>
                <w:sz w:val="22"/>
                <w:szCs w:val="22"/>
              </w:rPr>
              <m:t>i1t</m:t>
            </m:r>
          </m:sub>
        </m:sSub>
        <m:r>
          <w:rPr>
            <w:rFonts w:ascii="Cambria Math" w:hAnsi="Cambria Math"/>
            <w:sz w:val="22"/>
            <w:szCs w:val="22"/>
          </w:rPr>
          <m:t>/</m:t>
        </m:r>
        <m:sSub>
          <m:sSubPr>
            <m:ctrlPr>
              <w:rPr>
                <w:rFonts w:ascii="Cambria Math" w:eastAsia="Malgun Gothic" w:hAnsi="Cambria Math"/>
                <w:i/>
                <w:sz w:val="22"/>
                <w:szCs w:val="22"/>
              </w:rPr>
            </m:ctrlPr>
          </m:sSubPr>
          <m:e>
            <m:r>
              <w:rPr>
                <w:rFonts w:ascii="Cambria Math" w:hAnsi="Cambria Math"/>
                <w:sz w:val="22"/>
                <w:szCs w:val="22"/>
              </w:rPr>
              <m:t>Q</m:t>
            </m:r>
          </m:e>
          <m:sub>
            <m:r>
              <w:rPr>
                <w:rFonts w:ascii="Cambria Math" w:hAnsi="Cambria Math"/>
                <w:sz w:val="22"/>
                <w:szCs w:val="22"/>
              </w:rPr>
              <m:t>i2t</m:t>
            </m:r>
          </m:sub>
        </m:sSub>
      </m:oMath>
      <w:r>
        <w:rPr>
          <w:sz w:val="22"/>
          <w:szCs w:val="22"/>
        </w:rPr>
        <w:t xml:space="preserve">, </w:t>
      </w:r>
      <m:oMath>
        <m:sSub>
          <m:sSubPr>
            <m:ctrlPr>
              <w:rPr>
                <w:rFonts w:ascii="Cambria Math" w:eastAsia="Malgun Gothic" w:hAnsi="Cambria Math"/>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sSub>
          <m:sSubPr>
            <m:ctrlPr>
              <w:rPr>
                <w:rFonts w:ascii="Cambria Math" w:eastAsia="Malgun Gothic" w:hAnsi="Cambria Math"/>
                <w:i/>
                <w:sz w:val="22"/>
                <w:szCs w:val="22"/>
              </w:rPr>
            </m:ctrlPr>
          </m:sSubPr>
          <m:e>
            <m:r>
              <w:rPr>
                <w:rFonts w:ascii="Cambria Math" w:hAnsi="Cambria Math"/>
                <w:sz w:val="22"/>
                <w:szCs w:val="22"/>
              </w:rPr>
              <m:t>p</m:t>
            </m:r>
          </m:e>
          <m:sub>
            <m:r>
              <w:rPr>
                <w:rFonts w:ascii="Cambria Math" w:hAnsi="Cambria Math"/>
                <w:sz w:val="22"/>
                <w:szCs w:val="22"/>
              </w:rPr>
              <m:t>1t</m:t>
            </m:r>
          </m:sub>
        </m:sSub>
        <m:r>
          <w:rPr>
            <w:rFonts w:ascii="Cambria Math" w:hAnsi="Cambria Math"/>
            <w:sz w:val="22"/>
            <w:szCs w:val="22"/>
          </w:rPr>
          <m:t>/</m:t>
        </m:r>
        <m:sSub>
          <m:sSubPr>
            <m:ctrlPr>
              <w:rPr>
                <w:rFonts w:ascii="Cambria Math" w:eastAsia="Malgun Gothic" w:hAnsi="Cambria Math"/>
                <w:i/>
                <w:sz w:val="22"/>
                <w:szCs w:val="22"/>
              </w:rPr>
            </m:ctrlPr>
          </m:sSubPr>
          <m:e>
            <m:r>
              <w:rPr>
                <w:rFonts w:ascii="Cambria Math" w:hAnsi="Cambria Math"/>
                <w:sz w:val="22"/>
                <w:szCs w:val="22"/>
              </w:rPr>
              <m:t>p</m:t>
            </m:r>
          </m:e>
          <m:sub>
            <m:r>
              <w:rPr>
                <w:rFonts w:ascii="Cambria Math" w:hAnsi="Cambria Math"/>
                <w:sz w:val="22"/>
                <w:szCs w:val="22"/>
              </w:rPr>
              <m:t>2t</m:t>
            </m:r>
          </m:sub>
        </m:sSub>
      </m:oMath>
      <w:r>
        <w:rPr>
          <w:sz w:val="22"/>
          <w:szCs w:val="22"/>
        </w:rPr>
        <w:t xml:space="preserve">, and </w:t>
      </w:r>
      <m:oMath>
        <m:sSub>
          <m:sSubPr>
            <m:ctrlPr>
              <w:rPr>
                <w:rFonts w:ascii="Cambria Math" w:eastAsia="Malgun Gothic" w:hAnsi="Cambria Math"/>
                <w:i/>
                <w:sz w:val="22"/>
                <w:szCs w:val="22"/>
              </w:rPr>
            </m:ctrlPr>
          </m:sSubPr>
          <m:e>
            <m:r>
              <w:rPr>
                <w:rFonts w:ascii="Cambria Math" w:hAnsi="Cambria Math"/>
                <w:sz w:val="22"/>
                <w:szCs w:val="22"/>
              </w:rPr>
              <m:t>J</m:t>
            </m:r>
          </m:e>
          <m:sub>
            <m:r>
              <w:rPr>
                <w:rFonts w:ascii="Cambria Math" w:hAnsi="Cambria Math"/>
                <w:sz w:val="22"/>
                <w:szCs w:val="22"/>
              </w:rPr>
              <m:t>t</m:t>
            </m:r>
          </m:sub>
        </m:sSub>
        <m:r>
          <w:rPr>
            <w:rFonts w:ascii="Cambria Math" w:hAnsi="Cambria Math"/>
            <w:sz w:val="22"/>
            <w:szCs w:val="22"/>
          </w:rPr>
          <m:t>=</m:t>
        </m:r>
        <m:sSub>
          <m:sSubPr>
            <m:ctrlPr>
              <w:rPr>
                <w:rFonts w:ascii="Cambria Math" w:eastAsia="Malgun Gothic" w:hAnsi="Cambria Math"/>
                <w:i/>
                <w:sz w:val="22"/>
                <w:szCs w:val="22"/>
              </w:rPr>
            </m:ctrlPr>
          </m:sSubPr>
          <m:e>
            <m:r>
              <w:rPr>
                <w:rFonts w:ascii="Cambria Math" w:hAnsi="Cambria Math"/>
                <w:sz w:val="22"/>
                <w:szCs w:val="22"/>
              </w:rPr>
              <m:t>J</m:t>
            </m:r>
          </m:e>
          <m:sub>
            <m:r>
              <w:rPr>
                <w:rFonts w:ascii="Cambria Math" w:hAnsi="Cambria Math"/>
                <w:sz w:val="22"/>
                <w:szCs w:val="22"/>
              </w:rPr>
              <m:t>1t</m:t>
            </m:r>
          </m:sub>
        </m:sSub>
        <m:r>
          <w:rPr>
            <w:rFonts w:ascii="Cambria Math" w:hAnsi="Cambria Math"/>
            <w:sz w:val="22"/>
            <w:szCs w:val="22"/>
          </w:rPr>
          <m:t>/</m:t>
        </m:r>
        <m:sSub>
          <m:sSubPr>
            <m:ctrlPr>
              <w:rPr>
                <w:rFonts w:ascii="Cambria Math" w:eastAsia="Malgun Gothic" w:hAnsi="Cambria Math"/>
                <w:i/>
                <w:sz w:val="22"/>
                <w:szCs w:val="22"/>
              </w:rPr>
            </m:ctrlPr>
          </m:sSubPr>
          <m:e>
            <m:r>
              <w:rPr>
                <w:rFonts w:ascii="Cambria Math" w:hAnsi="Cambria Math"/>
                <w:sz w:val="22"/>
                <w:szCs w:val="22"/>
              </w:rPr>
              <m:t>J</m:t>
            </m:r>
          </m:e>
          <m:sub>
            <m:r>
              <w:rPr>
                <w:rFonts w:ascii="Cambria Math" w:hAnsi="Cambria Math"/>
                <w:sz w:val="22"/>
                <w:szCs w:val="22"/>
              </w:rPr>
              <m:t>2t</m:t>
            </m:r>
          </m:sub>
        </m:sSub>
      </m:oMath>
      <w:r>
        <w:rPr>
          <w:sz w:val="22"/>
          <w:szCs w:val="22"/>
        </w:rPr>
        <w:t>. This form shows the interaction of the CSR strategy choice with the platform size and network effect variables. The ratio of expected platform total quality from equation (</w:t>
      </w:r>
      <w:r>
        <w:rPr>
          <w:sz w:val="22"/>
          <w:szCs w:val="22"/>
          <w:lang w:eastAsia="ko-KR"/>
        </w:rPr>
        <w:t>1</w:t>
      </w:r>
      <w:r>
        <w:rPr>
          <w:sz w:val="22"/>
          <w:szCs w:val="22"/>
        </w:rPr>
        <w:t xml:space="preserve">) multiplied by the ratio of platform prices acts as a coefficient on the size of the platform (i.e., number of sellers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kt</m:t>
            </m:r>
          </m:sub>
        </m:sSub>
        <m:r>
          <w:rPr>
            <w:rFonts w:ascii="Cambria Math" w:hAnsi="Cambria Math"/>
            <w:sz w:val="22"/>
            <w:szCs w:val="22"/>
          </w:rPr>
          <m:t>)</m:t>
        </m:r>
      </m:oMath>
      <w:r>
        <w:rPr>
          <w:sz w:val="22"/>
          <w:szCs w:val="22"/>
        </w:rPr>
        <w:t>, which is itself raised to the power of the market’s cross-group network effect (</w:t>
      </w:r>
      <w:r>
        <w:rPr>
          <w:rFonts w:ascii="Cambria Math" w:hAnsi="Cambria Math"/>
          <w:sz w:val="22"/>
          <w:szCs w:val="22"/>
        </w:rPr>
        <w:t>ε</w:t>
      </w:r>
      <w:r>
        <w:rPr>
          <w:sz w:val="22"/>
          <w:szCs w:val="22"/>
        </w:rPr>
        <w:t>). The interconnectedness of supply and demand in any platform competition is thus evident in equation</w:t>
      </w:r>
      <w:r>
        <w:t xml:space="preserve"> (4). </w:t>
      </w:r>
    </w:p>
    <w:p w14:paraId="498F0403" w14:textId="77777777" w:rsidR="000900D8" w:rsidRDefault="000900D8" w:rsidP="000900D8">
      <w:pPr>
        <w:pStyle w:val="Heading2"/>
        <w:rPr>
          <w:rFonts w:eastAsia="Batang"/>
          <w:lang w:eastAsia="ko-KR"/>
        </w:rPr>
      </w:pPr>
      <w:r>
        <w:rPr>
          <w:rFonts w:eastAsia="Batang"/>
          <w:lang w:eastAsia="ko-KR"/>
        </w:rPr>
        <w:t>3.3 CSR Market Signaling (CMS) Game Solution</w:t>
      </w:r>
    </w:p>
    <w:p w14:paraId="0E99C07C" w14:textId="77777777" w:rsidR="000900D8" w:rsidRDefault="000900D8" w:rsidP="000900D8">
      <w:pPr>
        <w:spacing w:after="0" w:line="480" w:lineRule="auto"/>
        <w:contextualSpacing/>
        <w:jc w:val="both"/>
        <w:rPr>
          <w:sz w:val="22"/>
          <w:szCs w:val="22"/>
        </w:rPr>
      </w:pPr>
      <w:r>
        <w:rPr>
          <w:iCs/>
          <w:color w:val="000000" w:themeColor="text1"/>
          <w:sz w:val="22"/>
          <w:szCs w:val="22"/>
        </w:rPr>
        <w:t>The lack of complete information makes the CMS game irreducible to subgames, so instead</w:t>
      </w:r>
      <w:r>
        <w:rPr>
          <w:color w:val="000000" w:themeColor="text1"/>
          <w:sz w:val="22"/>
          <w:szCs w:val="22"/>
        </w:rPr>
        <w:t xml:space="preserve"> the perfect Bayesian equilibrium (PBE) concept extends the Nash equilibrium to dynamic (i.e., sequential move) Bayesian games.  A </w:t>
      </w:r>
      <w:r>
        <w:rPr>
          <w:sz w:val="22"/>
          <w:szCs w:val="22"/>
        </w:rPr>
        <w:t>PBE consists of a strategy profile for the players and a system of beliefs over the nodes at all information sets. This requires both s</w:t>
      </w:r>
      <w:r>
        <w:rPr>
          <w:i/>
          <w:sz w:val="22"/>
          <w:szCs w:val="22"/>
        </w:rPr>
        <w:t>equential rationality</w:t>
      </w:r>
      <w:r>
        <w:rPr>
          <w:sz w:val="22"/>
          <w:szCs w:val="22"/>
        </w:rPr>
        <w:t>, meaning that strategies specify optimal actions given one’s beliefs and the strategies of other players, and c</w:t>
      </w:r>
      <w:r>
        <w:rPr>
          <w:i/>
          <w:sz w:val="22"/>
          <w:szCs w:val="22"/>
        </w:rPr>
        <w:t xml:space="preserve">onsistency, </w:t>
      </w:r>
      <w:r>
        <w:rPr>
          <w:sz w:val="22"/>
          <w:szCs w:val="22"/>
        </w:rPr>
        <w:t>which entails that the beliefs remain consistent with Bayes rule.  The steps to find the game’s PBE can be summarized as follows</w:t>
      </w:r>
      <w:proofErr w:type="gramStart"/>
      <w:r>
        <w:rPr>
          <w:sz w:val="22"/>
          <w:szCs w:val="22"/>
        </w:rPr>
        <w:t>:  (</w:t>
      </w:r>
      <w:proofErr w:type="spellStart"/>
      <w:proofErr w:type="gramEnd"/>
      <w:r>
        <w:rPr>
          <w:sz w:val="22"/>
          <w:szCs w:val="22"/>
        </w:rPr>
        <w:t>i</w:t>
      </w:r>
      <w:proofErr w:type="spellEnd"/>
      <w:r>
        <w:rPr>
          <w:sz w:val="22"/>
          <w:szCs w:val="22"/>
        </w:rPr>
        <w:t>) identify the buyer’s strategy profile (pooling vs separating); (ii) update the platform’s beliefs about the buyer type via Bayes rule; (iii) compute the platform’s optimal strategy, given updated beliefs; and (iv) check if the buyer’s strategy is a best response to the platform’s strategy. If yes, the strategy profile is a PBE.</w:t>
      </w:r>
    </w:p>
    <w:p w14:paraId="3B79FCE9" w14:textId="77777777" w:rsidR="000900D8" w:rsidRDefault="000900D8" w:rsidP="000900D8">
      <w:pPr>
        <w:spacing w:after="0" w:line="480" w:lineRule="auto"/>
        <w:contextualSpacing/>
        <w:jc w:val="both"/>
        <w:rPr>
          <w:i/>
          <w:sz w:val="22"/>
          <w:szCs w:val="22"/>
        </w:rPr>
      </w:pPr>
      <w:r>
        <w:rPr>
          <w:sz w:val="22"/>
          <w:szCs w:val="22"/>
        </w:rPr>
        <w:tab/>
      </w:r>
      <w:r>
        <w:rPr>
          <w:b/>
          <w:i/>
          <w:sz w:val="22"/>
          <w:szCs w:val="22"/>
        </w:rPr>
        <w:t>Buyer</w:t>
      </w:r>
      <w:r>
        <w:rPr>
          <w:b/>
          <w:sz w:val="22"/>
          <w:szCs w:val="22"/>
        </w:rPr>
        <w:t xml:space="preserve"> s</w:t>
      </w:r>
      <w:r>
        <w:rPr>
          <w:b/>
          <w:i/>
          <w:sz w:val="22"/>
          <w:szCs w:val="22"/>
        </w:rPr>
        <w:t>trategy profiles</w:t>
      </w:r>
      <w:r>
        <w:rPr>
          <w:i/>
          <w:sz w:val="22"/>
          <w:szCs w:val="22"/>
        </w:rPr>
        <w:t xml:space="preserve">. </w:t>
      </w:r>
      <w:r>
        <w:rPr>
          <w:sz w:val="22"/>
          <w:szCs w:val="22"/>
        </w:rPr>
        <w:t>The two possible pooling strategies are (</w:t>
      </w:r>
      <w:proofErr w:type="spellStart"/>
      <w:r>
        <w:rPr>
          <w:sz w:val="22"/>
          <w:szCs w:val="22"/>
        </w:rPr>
        <w:t>i</w:t>
      </w:r>
      <w:proofErr w:type="spellEnd"/>
      <w:r>
        <w:rPr>
          <w:sz w:val="22"/>
          <w:szCs w:val="22"/>
        </w:rPr>
        <w:t>) both buyer types abstain (</w:t>
      </w:r>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H</m:t>
            </m:r>
          </m:sup>
        </m:sSup>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U</m:t>
            </m:r>
          </m:sup>
        </m:sSup>
      </m:oMath>
      <w:r>
        <w:rPr>
          <w:sz w:val="22"/>
          <w:szCs w:val="22"/>
        </w:rPr>
        <w:t>) and (ii) both types vote with the wallet (</w:t>
      </w:r>
      <m:oMath>
        <m:sSup>
          <m:sSupPr>
            <m:ctrlPr>
              <w:rPr>
                <w:rFonts w:ascii="Cambria Math" w:hAnsi="Cambria Math"/>
                <w:i/>
                <w:iCs/>
                <w:sz w:val="22"/>
                <w:szCs w:val="22"/>
              </w:rPr>
            </m:ctrlPr>
          </m:sSupPr>
          <m:e>
            <m:r>
              <w:rPr>
                <w:rFonts w:ascii="Cambria Math" w:hAnsi="Cambria Math"/>
                <w:sz w:val="22"/>
                <w:szCs w:val="22"/>
              </w:rPr>
              <m:t>W</m:t>
            </m:r>
          </m:e>
          <m:sup>
            <m:r>
              <w:rPr>
                <w:rFonts w:ascii="Cambria Math" w:hAnsi="Cambria Math"/>
                <w:sz w:val="22"/>
                <w:szCs w:val="22"/>
              </w:rPr>
              <m:t>H</m:t>
            </m:r>
          </m:sup>
        </m:sSup>
        <m:sSup>
          <m:sSupPr>
            <m:ctrlPr>
              <w:rPr>
                <w:rFonts w:ascii="Cambria Math" w:hAnsi="Cambria Math"/>
                <w:i/>
                <w:iCs/>
                <w:sz w:val="22"/>
                <w:szCs w:val="22"/>
              </w:rPr>
            </m:ctrlPr>
          </m:sSupPr>
          <m:e>
            <m:r>
              <w:rPr>
                <w:rFonts w:ascii="Cambria Math" w:hAnsi="Cambria Math"/>
                <w:sz w:val="22"/>
                <w:szCs w:val="22"/>
              </w:rPr>
              <m:t>W</m:t>
            </m:r>
          </m:e>
          <m:sup>
            <m:r>
              <w:rPr>
                <w:rFonts w:ascii="Cambria Math" w:hAnsi="Cambria Math"/>
                <w:sz w:val="22"/>
                <w:szCs w:val="22"/>
              </w:rPr>
              <m:t>U</m:t>
            </m:r>
          </m:sup>
        </m:sSup>
      </m:oMath>
      <w:r>
        <w:rPr>
          <w:sz w:val="22"/>
          <w:szCs w:val="22"/>
        </w:rPr>
        <w:t>). In either case the platform cannot learn about the market’s distribution of buyer types. The two potential separating strategies are (iii) the hedonic type abstains while utilitarian type votes (</w:t>
      </w:r>
      <m:oMath>
        <m:sSup>
          <m:sSupPr>
            <m:ctrlPr>
              <w:rPr>
                <w:rFonts w:ascii="Cambria Math" w:hAnsi="Cambria Math"/>
                <w:i/>
                <w:iCs/>
                <w:sz w:val="22"/>
                <w:szCs w:val="22"/>
              </w:rPr>
            </m:ctrlPr>
          </m:sSupPr>
          <m:e>
            <m:r>
              <w:rPr>
                <w:rFonts w:ascii="Cambria Math" w:hAnsi="Cambria Math"/>
                <w:sz w:val="22"/>
                <w:szCs w:val="22"/>
              </w:rPr>
              <m:t>A</m:t>
            </m:r>
          </m:e>
          <m:sup>
            <m:r>
              <w:rPr>
                <w:rFonts w:ascii="Cambria Math" w:hAnsi="Cambria Math"/>
                <w:sz w:val="22"/>
                <w:szCs w:val="22"/>
              </w:rPr>
              <m:t>H</m:t>
            </m:r>
          </m:sup>
        </m:sSup>
        <m:sSup>
          <m:sSupPr>
            <m:ctrlPr>
              <w:rPr>
                <w:rFonts w:ascii="Cambria Math" w:hAnsi="Cambria Math"/>
                <w:i/>
                <w:iCs/>
                <w:sz w:val="22"/>
                <w:szCs w:val="22"/>
              </w:rPr>
            </m:ctrlPr>
          </m:sSupPr>
          <m:e>
            <m:r>
              <w:rPr>
                <w:rFonts w:ascii="Cambria Math" w:hAnsi="Cambria Math"/>
                <w:sz w:val="22"/>
                <w:szCs w:val="22"/>
              </w:rPr>
              <m:t>W</m:t>
            </m:r>
          </m:e>
          <m:sup>
            <m:r>
              <w:rPr>
                <w:rFonts w:ascii="Cambria Math" w:hAnsi="Cambria Math"/>
                <w:sz w:val="22"/>
                <w:szCs w:val="22"/>
              </w:rPr>
              <m:t>U</m:t>
            </m:r>
          </m:sup>
        </m:sSup>
      </m:oMath>
      <w:r>
        <w:rPr>
          <w:iCs/>
          <w:sz w:val="22"/>
          <w:szCs w:val="22"/>
        </w:rPr>
        <w:t>), and lastly (iv) the hedonic type votes with the wallet while the utilitarian abstains (</w:t>
      </w:r>
      <m:oMath>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H</m:t>
            </m:r>
          </m:sup>
        </m:sSup>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U</m:t>
            </m:r>
          </m:sup>
        </m:sSup>
      </m:oMath>
      <w:r>
        <w:rPr>
          <w:iCs/>
          <w:sz w:val="22"/>
          <w:szCs w:val="22"/>
        </w:rPr>
        <w:t>). Both of these would introduce the potential for the platform to learn about buyer types from market signals, though only one of these separating strategy profiles is rational, which is explained in more detail below.</w:t>
      </w:r>
    </w:p>
    <w:p w14:paraId="51E84265" w14:textId="77777777" w:rsidR="000900D8" w:rsidRDefault="000900D8" w:rsidP="000900D8">
      <w:pPr>
        <w:spacing w:after="0" w:line="480" w:lineRule="auto"/>
        <w:ind w:firstLine="720"/>
        <w:contextualSpacing/>
        <w:jc w:val="both"/>
        <w:rPr>
          <w:sz w:val="22"/>
          <w:szCs w:val="22"/>
        </w:rPr>
      </w:pPr>
      <w:r>
        <w:rPr>
          <w:b/>
          <w:i/>
          <w:sz w:val="22"/>
          <w:szCs w:val="22"/>
        </w:rPr>
        <w:t>Updated Platform Beliefs via Bayes Rule</w:t>
      </w:r>
      <w:r>
        <w:rPr>
          <w:i/>
          <w:sz w:val="22"/>
          <w:szCs w:val="22"/>
        </w:rPr>
        <w:t xml:space="preserve">. </w:t>
      </w:r>
      <w:r>
        <w:rPr>
          <w:sz w:val="22"/>
          <w:szCs w:val="22"/>
        </w:rPr>
        <w:t xml:space="preserve">We first specify the simple hierarchical model that allows us to compute the firm’s updated beliefs similarly for each buyer strategy profile. The number of observed votes with the wallet in period </w:t>
      </w:r>
      <w:r>
        <w:rPr>
          <w:i/>
          <w:sz w:val="22"/>
          <w:szCs w:val="22"/>
        </w:rPr>
        <w:t>t</w:t>
      </w:r>
      <w:r>
        <w:rPr>
          <w:sz w:val="22"/>
          <w:szCs w:val="22"/>
        </w:rPr>
        <w:t xml:space="preserve">, given the hedonic probability, is assumed to be binomially distributed,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w:commentRangeStart w:id="3"/>
        <m:r>
          <w:rPr>
            <w:rFonts w:ascii="Cambria Math" w:hAnsi="Cambria Math"/>
            <w:sz w:val="22"/>
            <w:szCs w:val="22"/>
          </w:rPr>
          <m:t>q</m:t>
        </m:r>
        <w:commentRangeEnd w:id="3"/>
        <m:r>
          <m:rPr>
            <m:sty m:val="p"/>
          </m:rPr>
          <w:rPr>
            <w:rStyle w:val="CommentReference"/>
            <w:rFonts w:ascii="Cambria Math" w:hAnsi="Cambria Math"/>
          </w:rPr>
          <w:commentReference w:id="3"/>
        </m:r>
        <m:r>
          <m:rPr>
            <m:aln/>
          </m:rPr>
          <w:rPr>
            <w:rFonts w:ascii="Cambria Math" w:hAnsi="Cambria Math"/>
            <w:sz w:val="22"/>
            <w:szCs w:val="22"/>
          </w:rPr>
          <m:t>∼Binomial</m:t>
        </m:r>
        <m:d>
          <m:dPr>
            <m:ctrlPr>
              <w:rPr>
                <w:rFonts w:ascii="Cambria Math" w:hAnsi="Cambria Math"/>
                <w:i/>
                <w:sz w:val="22"/>
                <w:szCs w:val="22"/>
              </w:rPr>
            </m:ctrlPr>
          </m:dPr>
          <m:e>
            <m:r>
              <w:rPr>
                <w:rFonts w:ascii="Cambria Math" w:hAnsi="Cambria Math"/>
                <w:sz w:val="22"/>
                <w:szCs w:val="22"/>
              </w:rPr>
              <m:t>N,q</m:t>
            </m:r>
          </m:e>
        </m:d>
      </m:oMath>
      <w:r>
        <w:rPr>
          <w:sz w:val="22"/>
          <w:szCs w:val="22"/>
        </w:rPr>
        <w:t xml:space="preserve">, and the uncertainty over the hedonic probability is captured with a beta distribution, </w:t>
      </w:r>
      <m:oMath>
        <m:r>
          <w:rPr>
            <w:rFonts w:ascii="Cambria Math" w:hAnsi="Cambria Math"/>
            <w:sz w:val="22"/>
            <w:szCs w:val="22"/>
          </w:rPr>
          <m:t>q</m:t>
        </m:r>
        <m:r>
          <m:rPr>
            <m:aln/>
          </m:rPr>
          <w:rPr>
            <w:rFonts w:ascii="Cambria Math" w:hAnsi="Cambria Math"/>
            <w:sz w:val="22"/>
            <w:szCs w:val="22"/>
          </w:rPr>
          <m:t>∼Beta(</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2</m:t>
            </m:r>
          </m:sub>
        </m:sSub>
        <m:r>
          <w:rPr>
            <w:rFonts w:ascii="Cambria Math" w:hAnsi="Cambria Math"/>
            <w:sz w:val="22"/>
            <w:szCs w:val="22"/>
          </w:rPr>
          <m:t>)</m:t>
        </m:r>
      </m:oMath>
      <w:r>
        <w:rPr>
          <w:sz w:val="22"/>
          <w:szCs w:val="22"/>
        </w:rPr>
        <w:t>,  for the analytical convenience of updating beliefs with conjugate priors. Importantly, though, the implications of the results derived from this model don’t depend upon these specifications.</w:t>
      </w:r>
      <w:r>
        <w:rPr>
          <w:rStyle w:val="FootnoteReference"/>
          <w:sz w:val="22"/>
          <w:szCs w:val="22"/>
        </w:rPr>
        <w:footnoteReference w:id="3"/>
      </w:r>
      <w:r>
        <w:rPr>
          <w:sz w:val="22"/>
          <w:szCs w:val="22"/>
        </w:rPr>
        <w:t xml:space="preserve">  The posterior probability of nature’s hedonic buyer distribution given the observed voting with the wallet (</w:t>
      </w:r>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t</m:t>
            </m:r>
          </m:sub>
          <m:sup>
            <m:r>
              <w:rPr>
                <w:rFonts w:ascii="Cambria Math" w:hAnsi="Cambria Math"/>
                <w:sz w:val="22"/>
                <w:szCs w:val="22"/>
              </w:rPr>
              <m:t>post</m:t>
            </m:r>
          </m:sup>
        </m:sSubSup>
        <m:r>
          <w:rPr>
            <w:rFonts w:ascii="Cambria Math" w:hAnsi="Cambria Math"/>
            <w:sz w:val="22"/>
            <w:szCs w:val="22"/>
          </w:rPr>
          <m:t>)</m:t>
        </m:r>
      </m:oMath>
      <w:r>
        <w:rPr>
          <w:sz w:val="22"/>
          <w:szCs w:val="22"/>
        </w:rPr>
        <w:t xml:space="preserve"> therefore follows a Beta-binomial distribution:</w:t>
      </w:r>
    </w:p>
    <w:tbl>
      <w:tblPr>
        <w:tblW w:w="9510" w:type="dxa"/>
        <w:tblLook w:val="04A0" w:firstRow="1" w:lastRow="0" w:firstColumn="1" w:lastColumn="0" w:noHBand="0" w:noVBand="1"/>
      </w:tblPr>
      <w:tblGrid>
        <w:gridCol w:w="8877"/>
        <w:gridCol w:w="633"/>
      </w:tblGrid>
      <w:tr w:rsidR="000900D8" w14:paraId="28C0C7E7" w14:textId="77777777" w:rsidTr="000900D8">
        <w:trPr>
          <w:trHeight w:val="862"/>
        </w:trPr>
        <w:tc>
          <w:tcPr>
            <w:tcW w:w="8877" w:type="dxa"/>
            <w:vAlign w:val="center"/>
          </w:tcPr>
          <w:p w14:paraId="56480F08" w14:textId="77777777" w:rsidR="000900D8" w:rsidRDefault="000900D8">
            <w:pPr>
              <w:spacing w:after="0" w:line="480" w:lineRule="auto"/>
              <w:contextualSpacing/>
              <w:rPr>
                <w:sz w:val="22"/>
                <w:szCs w:val="22"/>
              </w:rPr>
            </w:pPr>
          </w:p>
        </w:tc>
        <w:tc>
          <w:tcPr>
            <w:tcW w:w="633" w:type="dxa"/>
            <w:vAlign w:val="center"/>
            <w:hideMark/>
          </w:tcPr>
          <w:p w14:paraId="257586CA" w14:textId="77777777" w:rsidR="000900D8" w:rsidRDefault="000900D8">
            <w:pPr>
              <w:spacing w:after="0" w:line="480" w:lineRule="auto"/>
              <w:contextualSpacing/>
              <w:jc w:val="center"/>
              <w:rPr>
                <w:sz w:val="22"/>
                <w:szCs w:val="22"/>
              </w:rPr>
            </w:pPr>
            <w:r>
              <w:rPr>
                <w:sz w:val="22"/>
                <w:szCs w:val="22"/>
              </w:rPr>
              <w:t>(</w:t>
            </w:r>
            <w:r>
              <w:rPr>
                <w:sz w:val="22"/>
                <w:szCs w:val="22"/>
                <w:lang w:eastAsia="ko-KR"/>
              </w:rPr>
              <w:t>5</w:t>
            </w:r>
            <w:r>
              <w:rPr>
                <w:sz w:val="22"/>
                <w:szCs w:val="22"/>
              </w:rPr>
              <w:t>)</w:t>
            </w:r>
          </w:p>
        </w:tc>
      </w:tr>
    </w:tbl>
    <w:p w14:paraId="06C1BE91" w14:textId="77777777" w:rsidR="000900D8" w:rsidRDefault="000900D8" w:rsidP="000900D8">
      <w:pPr>
        <w:spacing w:after="0" w:line="480" w:lineRule="auto"/>
        <w:contextualSpacing/>
        <w:jc w:val="both"/>
        <w:rPr>
          <w:sz w:val="22"/>
          <w:szCs w:val="22"/>
        </w:rPr>
      </w:pPr>
      <w:commentRangeStart w:id="4"/>
      <w:commentRangeStart w:id="5"/>
      <w:r>
        <w:rPr>
          <w:iCs/>
          <w:sz w:val="22"/>
          <w:szCs w:val="22"/>
        </w:rPr>
        <w:t xml:space="preserve">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nary>
          <m:naryPr>
            <m:chr m:val="∑"/>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it</m:t>
                </m:r>
              </m:sub>
              <m:sup>
                <m:r>
                  <w:rPr>
                    <w:rFonts w:ascii="Cambria Math" w:hAnsi="Cambria Math"/>
                    <w:sz w:val="22"/>
                    <w:szCs w:val="22"/>
                  </w:rPr>
                  <m:t>b</m:t>
                </m:r>
              </m:sup>
            </m:sSubSup>
          </m:e>
        </m:nary>
      </m:oMath>
      <w:r>
        <w:rPr>
          <w:sz w:val="22"/>
          <w:szCs w:val="22"/>
        </w:rPr>
        <w:t xml:space="preserve"> </w:t>
      </w:r>
      <w:commentRangeEnd w:id="4"/>
      <w:r>
        <w:rPr>
          <w:rStyle w:val="CommentReference"/>
          <w:sz w:val="22"/>
          <w:szCs w:val="22"/>
        </w:rPr>
        <w:commentReference w:id="4"/>
      </w:r>
      <w:commentRangeEnd w:id="5"/>
      <w:r>
        <w:rPr>
          <w:rStyle w:val="CommentReference"/>
        </w:rPr>
        <w:commentReference w:id="5"/>
      </w:r>
      <w:r>
        <w:rPr>
          <w:sz w:val="22"/>
          <w:szCs w:val="22"/>
        </w:rPr>
        <w:t xml:space="preserve">is the number of observed votes with the wallet, </w:t>
      </w:r>
      <m:oMath>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oMath>
      <w:r>
        <w:rPr>
          <w:sz w:val="22"/>
          <w:szCs w:val="22"/>
        </w:rPr>
        <w:t xml:space="preserve">is the number of observed abstentions, and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2t</m:t>
            </m:r>
          </m:sub>
        </m:sSub>
      </m:oMath>
      <w:r>
        <w:rPr>
          <w:sz w:val="22"/>
          <w:szCs w:val="22"/>
        </w:rPr>
        <w:t xml:space="preserve"> are the platform’s prior beliefs of hedonic buyers and utilitarian buyers, respectively. This conjugate form allows for updating prior beliefs over time, thereby reducing uncertainty over time, for </w:t>
      </w:r>
      <m:oMath>
        <m:r>
          <w:rPr>
            <w:rFonts w:ascii="Cambria Math" w:hAnsi="Cambria Math"/>
            <w:sz w:val="22"/>
            <w:szCs w:val="22"/>
          </w:rPr>
          <m:t>t&gt;1</m:t>
        </m:r>
      </m:oMath>
      <w:r>
        <w:rPr>
          <w:sz w:val="22"/>
          <w:szCs w:val="22"/>
        </w:rPr>
        <w:t xml:space="preserve">. This is done simply by defining the prior belief of hedonic buyers as the sum of </w:t>
      </w:r>
      <w:r>
        <w:rPr>
          <w:i/>
          <w:sz w:val="22"/>
          <w:szCs w:val="22"/>
        </w:rPr>
        <w:t>past</w:t>
      </w:r>
      <w:r>
        <w:rPr>
          <w:sz w:val="22"/>
          <w:szCs w:val="22"/>
        </w:rPr>
        <w:t xml:space="preserve"> evidence of voting with the wallet,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r>
          <w:rPr>
            <w:rFonts w:ascii="Cambria Math" w:hAnsi="Cambria Math"/>
            <w:sz w:val="22"/>
            <w:szCs w:val="22"/>
          </w:rPr>
          <m:t>≡</m:t>
        </m:r>
        <m:nary>
          <m:naryPr>
            <m:chr m:val="∑"/>
            <m:ctrlPr>
              <w:rPr>
                <w:rFonts w:ascii="Cambria Math" w:hAnsi="Cambria Math"/>
                <w:i/>
                <w:sz w:val="22"/>
                <w:szCs w:val="22"/>
              </w:rPr>
            </m:ctrlPr>
          </m:naryPr>
          <m:sub>
            <m:r>
              <w:rPr>
                <w:rFonts w:ascii="Cambria Math" w:hAnsi="Cambria Math"/>
                <w:sz w:val="22"/>
                <w:szCs w:val="22"/>
              </w:rPr>
              <m:t>l=1</m:t>
            </m:r>
          </m:sub>
          <m:sup>
            <m:r>
              <w:rPr>
                <w:rFonts w:ascii="Cambria Math" w:hAnsi="Cambria Math"/>
                <w:sz w:val="22"/>
                <w:szCs w:val="22"/>
              </w:rPr>
              <m:t>t-1</m:t>
            </m:r>
          </m:sup>
          <m:e>
            <m:nary>
              <m:naryPr>
                <m:chr m:val="∑"/>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il</m:t>
                    </m:r>
                  </m:sub>
                  <m:sup>
                    <m:r>
                      <w:rPr>
                        <w:rFonts w:ascii="Cambria Math" w:hAnsi="Cambria Math"/>
                        <w:sz w:val="22"/>
                        <w:szCs w:val="22"/>
                      </w:rPr>
                      <m:t>b</m:t>
                    </m:r>
                  </m:sup>
                </m:sSubSup>
              </m:e>
            </m:nary>
          </m:e>
        </m:nary>
      </m:oMath>
      <w:r>
        <w:rPr>
          <w:sz w:val="22"/>
          <w:szCs w:val="22"/>
        </w:rPr>
        <w:t xml:space="preserve">, and likewise for past evidence of abstaining,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2t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t-1</m:t>
            </m:r>
          </m:e>
        </m:d>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oMath>
      <w:r>
        <w:rPr>
          <w:sz w:val="22"/>
          <w:szCs w:val="22"/>
        </w:rPr>
        <w:t>.</w:t>
      </w:r>
    </w:p>
    <w:p w14:paraId="51B86564" w14:textId="77777777" w:rsidR="000900D8" w:rsidRDefault="000900D8" w:rsidP="000900D8">
      <w:pPr>
        <w:spacing w:after="0" w:line="480" w:lineRule="auto"/>
        <w:contextualSpacing/>
        <w:jc w:val="both"/>
        <w:rPr>
          <w:sz w:val="22"/>
          <w:szCs w:val="22"/>
        </w:rPr>
      </w:pPr>
      <w:r>
        <w:rPr>
          <w:sz w:val="22"/>
          <w:szCs w:val="22"/>
        </w:rPr>
        <w:tab/>
      </w:r>
      <w:r>
        <w:rPr>
          <w:b/>
          <w:i/>
          <w:sz w:val="22"/>
          <w:szCs w:val="22"/>
          <w:lang w:eastAsia="ko-KR"/>
        </w:rPr>
        <w:t>Optimal platform strategy given updated beliefs.</w:t>
      </w:r>
      <w:r>
        <w:rPr>
          <w:sz w:val="22"/>
          <w:szCs w:val="22"/>
        </w:rPr>
        <w:t xml:space="preserve"> The optimal CSR strategy given the buyer strategy profiles and observed voting with the wallet can be derived from the platform’s profit function (</w:t>
      </w:r>
      <w:r>
        <w:rPr>
          <w:sz w:val="22"/>
          <w:szCs w:val="22"/>
          <w:lang w:eastAsia="ko-KR"/>
        </w:rPr>
        <w:t>see Appendix XX</w:t>
      </w:r>
      <w:r>
        <w:rPr>
          <w:sz w:val="22"/>
          <w:szCs w:val="22"/>
        </w:rPr>
        <w:t xml:space="preserve">), updated according to posterior belief of the buyer distribution in  Eq. </w:t>
      </w:r>
      <w:commentRangeStart w:id="6"/>
      <w:r>
        <w:rPr>
          <w:sz w:val="22"/>
          <w:szCs w:val="22"/>
        </w:rPr>
        <w:t>(</w:t>
      </w:r>
      <w:r>
        <w:rPr>
          <w:sz w:val="22"/>
          <w:szCs w:val="22"/>
          <w:lang w:eastAsia="ko-KR"/>
        </w:rPr>
        <w:t>5</w:t>
      </w:r>
      <w:r>
        <w:rPr>
          <w:sz w:val="22"/>
          <w:szCs w:val="22"/>
        </w:rPr>
        <w:t xml:space="preserve">): </w:t>
      </w:r>
      <w:commentRangeEnd w:id="6"/>
      <w:r>
        <w:rPr>
          <w:rStyle w:val="CommentReference"/>
        </w:rPr>
        <w:commentReference w:id="6"/>
      </w:r>
    </w:p>
    <w:tbl>
      <w:tblPr>
        <w:tblW w:w="9510" w:type="dxa"/>
        <w:tblLook w:val="04A0" w:firstRow="1" w:lastRow="0" w:firstColumn="1" w:lastColumn="0" w:noHBand="0" w:noVBand="1"/>
      </w:tblPr>
      <w:tblGrid>
        <w:gridCol w:w="8877"/>
        <w:gridCol w:w="633"/>
      </w:tblGrid>
      <w:tr w:rsidR="000900D8" w14:paraId="0FF1406C" w14:textId="77777777" w:rsidTr="000900D8">
        <w:trPr>
          <w:trHeight w:val="862"/>
        </w:trPr>
        <w:tc>
          <w:tcPr>
            <w:tcW w:w="8877" w:type="dxa"/>
            <w:vAlign w:val="center"/>
          </w:tcPr>
          <w:p w14:paraId="2A168752" w14:textId="77777777" w:rsidR="000900D8" w:rsidRDefault="000900D8">
            <w:pPr>
              <w:spacing w:after="0" w:line="480" w:lineRule="auto"/>
              <w:contextualSpacing/>
              <w:rPr>
                <w:sz w:val="22"/>
                <w:szCs w:val="22"/>
              </w:rPr>
            </w:pPr>
          </w:p>
        </w:tc>
        <w:tc>
          <w:tcPr>
            <w:tcW w:w="633" w:type="dxa"/>
            <w:vAlign w:val="center"/>
            <w:hideMark/>
          </w:tcPr>
          <w:p w14:paraId="3D520E09" w14:textId="77777777" w:rsidR="000900D8" w:rsidRDefault="000900D8">
            <w:pPr>
              <w:spacing w:after="0" w:line="480" w:lineRule="auto"/>
              <w:contextualSpacing/>
              <w:jc w:val="center"/>
              <w:rPr>
                <w:sz w:val="22"/>
                <w:szCs w:val="22"/>
              </w:rPr>
            </w:pPr>
            <w:r>
              <w:rPr>
                <w:sz w:val="22"/>
                <w:szCs w:val="22"/>
              </w:rPr>
              <w:t>(</w:t>
            </w:r>
            <w:r>
              <w:rPr>
                <w:sz w:val="22"/>
                <w:szCs w:val="22"/>
                <w:lang w:eastAsia="ko-KR"/>
              </w:rPr>
              <w:t>6</w:t>
            </w:r>
            <w:r>
              <w:rPr>
                <w:sz w:val="22"/>
                <w:szCs w:val="22"/>
              </w:rPr>
              <w:t>)</w:t>
            </w:r>
          </w:p>
        </w:tc>
      </w:tr>
    </w:tbl>
    <w:p w14:paraId="354117D9" w14:textId="77777777" w:rsidR="000900D8" w:rsidRDefault="000900D8" w:rsidP="000900D8">
      <w:pPr>
        <w:spacing w:after="0" w:line="480" w:lineRule="auto"/>
        <w:contextualSpacing/>
        <w:rPr>
          <w:color w:val="000000" w:themeColor="text1"/>
          <w:sz w:val="22"/>
          <w:szCs w:val="22"/>
        </w:rPr>
      </w:pPr>
      <w:r>
        <w:rPr>
          <w:sz w:val="22"/>
          <w:szCs w:val="22"/>
        </w:rPr>
        <w:t xml:space="preserve">where </w:t>
      </w:r>
      <m:oMath>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acc>
              <m:accPr>
                <m:ctrlPr>
                  <w:rPr>
                    <w:rFonts w:ascii="Cambria Math" w:hAnsi="Cambria Math"/>
                    <w:i/>
                    <w:color w:val="000000" w:themeColor="text1"/>
                    <w:sz w:val="22"/>
                    <w:szCs w:val="22"/>
                    <w:shd w:val="clear" w:color="auto" w:fill="FFFFFF"/>
                  </w:rPr>
                </m:ctrlPr>
              </m:accPr>
              <m:e>
                <m:r>
                  <w:rPr>
                    <w:rFonts w:ascii="Cambria Math" w:hAnsi="Cambria Math"/>
                    <w:color w:val="000000" w:themeColor="text1"/>
                    <w:sz w:val="22"/>
                    <w:szCs w:val="22"/>
                    <w:shd w:val="clear" w:color="auto" w:fill="FFFFFF"/>
                  </w:rPr>
                  <m:t>q</m:t>
                </m:r>
                <m:ctrlPr>
                  <w:rPr>
                    <w:rFonts w:ascii="Cambria Math" w:hAnsi="Cambria Math"/>
                    <w:i/>
                    <w:color w:val="000000" w:themeColor="text1"/>
                    <w:sz w:val="22"/>
                    <w:szCs w:val="22"/>
                  </w:rPr>
                </m:ctrlPr>
              </m:e>
            </m:acc>
          </m:e>
          <m:sub>
            <m:r>
              <w:rPr>
                <w:rFonts w:ascii="Cambria Math" w:hAnsi="Cambria Math"/>
                <w:color w:val="000000" w:themeColor="text1"/>
                <w:sz w:val="22"/>
                <w:szCs w:val="22"/>
              </w:rPr>
              <m:t>t</m:t>
            </m:r>
          </m:sub>
        </m:sSub>
      </m:oMath>
      <w:r>
        <w:rPr>
          <w:color w:val="000000" w:themeColor="text1"/>
          <w:sz w:val="22"/>
          <w:szCs w:val="22"/>
          <w:shd w:val="clear" w:color="auto" w:fill="FFFFFF"/>
        </w:rPr>
        <w:t xml:space="preserve"> is</w:t>
      </w:r>
      <w:r>
        <w:rPr>
          <w:sz w:val="22"/>
          <w:szCs w:val="22"/>
        </w:rPr>
        <w:t xml:space="preserve"> </w:t>
      </w:r>
      <w:r>
        <w:rPr>
          <w:color w:val="000000" w:themeColor="text1"/>
          <w:sz w:val="22"/>
          <w:szCs w:val="22"/>
        </w:rPr>
        <w:t>the point estimate of the posterior distribution</w:t>
      </w:r>
      <w:r>
        <w:rPr>
          <w:rStyle w:val="FootnoteReference"/>
          <w:color w:val="000000" w:themeColor="text1"/>
          <w:sz w:val="22"/>
          <w:szCs w:val="22"/>
        </w:rPr>
        <w:footnoteReference w:id="4"/>
      </w:r>
      <w:r>
        <w:rPr>
          <w:color w:val="000000" w:themeColor="text1"/>
          <w:sz w:val="22"/>
          <w:szCs w:val="22"/>
        </w:rPr>
        <w:t xml:space="preserve"> of buyer types. Note we include time indices (subscript </w:t>
      </w:r>
      <w:r>
        <w:rPr>
          <w:i/>
          <w:color w:val="000000" w:themeColor="text1"/>
          <w:sz w:val="22"/>
          <w:szCs w:val="22"/>
        </w:rPr>
        <w:t>t</w:t>
      </w:r>
      <w:r>
        <w:rPr>
          <w:color w:val="000000" w:themeColor="text1"/>
          <w:sz w:val="22"/>
          <w:szCs w:val="22"/>
        </w:rPr>
        <w:t xml:space="preserve">) on the platform strategies since platform 1 can choose both </w:t>
      </w:r>
      <w:r>
        <w:rPr>
          <w:i/>
          <w:color w:val="000000" w:themeColor="text1"/>
          <w:sz w:val="22"/>
          <w:szCs w:val="22"/>
        </w:rPr>
        <w:t>if</w:t>
      </w:r>
      <w:r>
        <w:rPr>
          <w:color w:val="000000" w:themeColor="text1"/>
          <w:sz w:val="22"/>
          <w:szCs w:val="22"/>
        </w:rPr>
        <w:t xml:space="preserve"> and </w:t>
      </w:r>
      <w:r>
        <w:rPr>
          <w:i/>
          <w:color w:val="000000" w:themeColor="text1"/>
          <w:sz w:val="22"/>
          <w:szCs w:val="22"/>
        </w:rPr>
        <w:t>when</w:t>
      </w:r>
      <w:r>
        <w:rPr>
          <w:color w:val="000000" w:themeColor="text1"/>
          <w:sz w:val="22"/>
          <w:szCs w:val="22"/>
        </w:rPr>
        <w:t xml:space="preserve"> it responds to platform 2’s CSR strategy. However, as this CMS game is not a repeated game for the platforms, each platform can only choose its CSR strategy once and then much stick with it once its implemented. The threshold value (</w:t>
      </w:r>
      <m:oMath>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q</m:t>
            </m:r>
          </m:e>
          <m:sub>
            <m:r>
              <w:rPr>
                <w:rFonts w:ascii="Cambria Math" w:hAnsi="Cambria Math"/>
                <w:color w:val="000000" w:themeColor="text1"/>
                <w:sz w:val="22"/>
                <w:szCs w:val="22"/>
                <w:shd w:val="clear" w:color="auto" w:fill="FFFFFF"/>
              </w:rPr>
              <m:t>kt</m:t>
            </m:r>
          </m:sub>
          <m:sup>
            <m:r>
              <w:rPr>
                <w:rFonts w:ascii="Cambria Math" w:hAnsi="Cambria Math"/>
                <w:color w:val="000000" w:themeColor="text1"/>
                <w:sz w:val="22"/>
                <w:szCs w:val="22"/>
                <w:shd w:val="clear" w:color="auto" w:fill="FFFFFF"/>
              </w:rPr>
              <m:t>*</m:t>
            </m:r>
          </m:sup>
        </m:sSubSup>
      </m:oMath>
      <w:r>
        <w:rPr>
          <w:color w:val="000000" w:themeColor="text1"/>
          <w:sz w:val="22"/>
          <w:szCs w:val="22"/>
        </w:rPr>
        <w:t xml:space="preserve">) of buyer hedonic proportion after observing buyers’ strategies to vote or abstain is the </w:t>
      </w:r>
      <w:r>
        <w:rPr>
          <w:i/>
          <w:color w:val="000000" w:themeColor="text1"/>
          <w:sz w:val="22"/>
          <w:szCs w:val="22"/>
        </w:rPr>
        <w:t>minimum level of evidence</w:t>
      </w:r>
      <w:r>
        <w:rPr>
          <w:color w:val="000000" w:themeColor="text1"/>
          <w:sz w:val="22"/>
          <w:szCs w:val="22"/>
        </w:rPr>
        <w:t xml:space="preserve"> of buyer preference for CSR required for the platform to expect that engaging in CSR would be more profitable than not doing so. This of course depends on the buyer strategy profile. Of the four listed above, we may preclude two by the assumptions of the CMS game. Since utilitarian buyers gain no value from CSR, no rational utilitarian buyer would play strategy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σ</m:t>
            </m:r>
          </m:e>
          <m:sub>
            <m:r>
              <w:rPr>
                <w:rFonts w:ascii="Cambria Math" w:hAnsi="Cambria Math"/>
                <w:color w:val="000000" w:themeColor="text1"/>
                <w:sz w:val="22"/>
                <w:szCs w:val="22"/>
              </w:rPr>
              <m:t>it</m:t>
            </m:r>
          </m:sub>
          <m:sup>
            <m:r>
              <w:rPr>
                <w:rFonts w:ascii="Cambria Math" w:hAnsi="Cambria Math"/>
                <w:color w:val="000000" w:themeColor="text1"/>
                <w:sz w:val="22"/>
                <w:szCs w:val="22"/>
              </w:rPr>
              <m:t>b</m:t>
            </m:r>
          </m:sup>
        </m:sSubSup>
        <m:r>
          <w:rPr>
            <w:rFonts w:ascii="Cambria Math" w:hAnsi="Cambria Math"/>
            <w:color w:val="000000" w:themeColor="text1"/>
            <w:sz w:val="22"/>
            <w:szCs w:val="22"/>
          </w:rPr>
          <m:t>=W</m:t>
        </m:r>
      </m:oMath>
      <w:r>
        <w:rPr>
          <w:color w:val="000000" w:themeColor="text1"/>
          <w:sz w:val="22"/>
          <w:szCs w:val="22"/>
        </w:rPr>
        <w:t xml:space="preserve"> to vote with the wallet, thus removing </w:t>
      </w:r>
      <w:r>
        <w:rPr>
          <w:color w:val="000000" w:themeColor="text1"/>
          <w:sz w:val="22"/>
          <w:szCs w:val="22"/>
        </w:rPr>
        <w:lastRenderedPageBreak/>
        <w:t xml:space="preserve">strategy profiles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H</m:t>
            </m:r>
          </m:sup>
        </m:sSup>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U</m:t>
            </m:r>
          </m:sup>
        </m:sSup>
      </m:oMath>
      <w:r>
        <w:rPr>
          <w:color w:val="000000" w:themeColor="text1"/>
          <w:sz w:val="22"/>
          <w:szCs w:val="22"/>
        </w:rPr>
        <w:t xml:space="preserve"> and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H</m:t>
            </m:r>
          </m:sup>
        </m:sSup>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U</m:t>
            </m:r>
          </m:sup>
        </m:sSup>
      </m:oMath>
      <w:r>
        <w:rPr>
          <w:color w:val="000000" w:themeColor="text1"/>
          <w:sz w:val="22"/>
          <w:szCs w:val="22"/>
        </w:rPr>
        <w:t xml:space="preserve"> from consideration. This leaves only the strategy profiles</w:t>
      </w:r>
      <w:r>
        <w:rPr>
          <w:iCs/>
          <w:color w:val="000000" w:themeColor="text1"/>
          <w:sz w:val="22"/>
          <w:szCs w:val="22"/>
        </w:rPr>
        <w:t xml:space="preserve"> where the utilitarian player abstains and the hedonic player either abstains or votes with the wallet, </w:t>
      </w:r>
      <m:oMath>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H</m:t>
            </m:r>
          </m:sup>
        </m:sSup>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U</m:t>
            </m:r>
          </m:sup>
        </m:sSup>
      </m:oMath>
      <w:r>
        <w:rPr>
          <w:iCs/>
          <w:color w:val="000000" w:themeColor="text1"/>
          <w:sz w:val="22"/>
          <w:szCs w:val="22"/>
        </w:rPr>
        <w:t xml:space="preserve"> and </w:t>
      </w:r>
      <m:oMath>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H</m:t>
            </m:r>
          </m:sup>
        </m:sSup>
        <m:sSup>
          <m:sSupPr>
            <m:ctrlPr>
              <w:rPr>
                <w:rFonts w:ascii="Cambria Math" w:hAnsi="Cambria Math"/>
                <w:i/>
                <w:iCs/>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U</m:t>
            </m:r>
          </m:sup>
        </m:sSup>
      </m:oMath>
      <w:r>
        <w:rPr>
          <w:iCs/>
          <w:color w:val="000000" w:themeColor="text1"/>
          <w:sz w:val="22"/>
          <w:szCs w:val="22"/>
        </w:rPr>
        <w:t xml:space="preserve">, respectively.  We can compute each of these </w:t>
      </w:r>
      <w:r>
        <w:rPr>
          <w:color w:val="000000" w:themeColor="text1"/>
          <w:sz w:val="22"/>
          <w:szCs w:val="22"/>
        </w:rPr>
        <w:t>thresholds (see Appendix XX):</w:t>
      </w:r>
    </w:p>
    <w:tbl>
      <w:tblPr>
        <w:tblW w:w="9510" w:type="dxa"/>
        <w:tblLook w:val="04A0" w:firstRow="1" w:lastRow="0" w:firstColumn="1" w:lastColumn="0" w:noHBand="0" w:noVBand="1"/>
      </w:tblPr>
      <w:tblGrid>
        <w:gridCol w:w="8572"/>
        <w:gridCol w:w="938"/>
      </w:tblGrid>
      <w:tr w:rsidR="000900D8" w14:paraId="0959ABC2" w14:textId="77777777" w:rsidTr="000900D8">
        <w:trPr>
          <w:trHeight w:val="862"/>
        </w:trPr>
        <w:tc>
          <w:tcPr>
            <w:tcW w:w="8877" w:type="dxa"/>
            <w:vAlign w:val="center"/>
          </w:tcPr>
          <w:p w14:paraId="1D3CA48B" w14:textId="77777777" w:rsidR="000900D8" w:rsidRDefault="000900D8">
            <w:pPr>
              <w:spacing w:after="0" w:line="480" w:lineRule="auto"/>
              <w:contextualSpacing/>
              <w:jc w:val="both"/>
              <w:rPr>
                <w:color w:val="FF0000"/>
                <w:sz w:val="22"/>
                <w:szCs w:val="22"/>
              </w:rPr>
            </w:pPr>
          </w:p>
        </w:tc>
        <w:tc>
          <w:tcPr>
            <w:tcW w:w="633" w:type="dxa"/>
            <w:vAlign w:val="center"/>
            <w:hideMark/>
          </w:tcPr>
          <w:p w14:paraId="3A8131A0" w14:textId="77777777" w:rsidR="000900D8" w:rsidRDefault="000900D8">
            <w:pPr>
              <w:spacing w:after="0" w:line="480" w:lineRule="auto"/>
              <w:contextualSpacing/>
              <w:jc w:val="center"/>
              <w:rPr>
                <w:sz w:val="22"/>
                <w:szCs w:val="22"/>
              </w:rPr>
            </w:pPr>
            <w:commentRangeStart w:id="7"/>
            <w:r>
              <w:rPr>
                <w:sz w:val="22"/>
                <w:szCs w:val="22"/>
              </w:rPr>
              <w:t>(</w:t>
            </w:r>
            <w:r>
              <w:rPr>
                <w:sz w:val="22"/>
                <w:szCs w:val="22"/>
                <w:lang w:eastAsia="ko-KR"/>
              </w:rPr>
              <w:t>7</w:t>
            </w:r>
            <w:r>
              <w:rPr>
                <w:sz w:val="22"/>
                <w:szCs w:val="22"/>
              </w:rPr>
              <w:t>)</w:t>
            </w:r>
            <w:commentRangeEnd w:id="7"/>
            <w:r>
              <w:rPr>
                <w:rStyle w:val="CommentReference"/>
                <w:sz w:val="22"/>
                <w:szCs w:val="22"/>
              </w:rPr>
              <w:commentReference w:id="7"/>
            </w:r>
          </w:p>
        </w:tc>
      </w:tr>
    </w:tbl>
    <w:p w14:paraId="501EE2C7" w14:textId="77777777" w:rsidR="000900D8" w:rsidRDefault="000900D8" w:rsidP="000900D8">
      <w:pPr>
        <w:spacing w:after="0" w:line="480" w:lineRule="auto"/>
        <w:contextualSpacing/>
        <w:jc w:val="both"/>
        <w:rPr>
          <w:color w:val="000000" w:themeColor="text1"/>
          <w:sz w:val="22"/>
          <w:szCs w:val="22"/>
        </w:rPr>
      </w:pPr>
    </w:p>
    <w:p w14:paraId="4BEEDA10" w14:textId="77777777" w:rsidR="000900D8" w:rsidRDefault="000900D8" w:rsidP="000900D8">
      <w:pPr>
        <w:spacing w:after="0" w:line="480" w:lineRule="auto"/>
        <w:contextualSpacing/>
        <w:jc w:val="both"/>
        <w:rPr>
          <w:color w:val="FF0000"/>
          <w:sz w:val="22"/>
          <w:szCs w:val="22"/>
        </w:rPr>
      </w:pPr>
      <w:r>
        <w:rPr>
          <w:color w:val="FF0000"/>
          <w:sz w:val="22"/>
          <w:szCs w:val="22"/>
        </w:rPr>
        <w:t xml:space="preserve">Where we denote </w:t>
      </w:r>
      <m:oMath>
        <m:r>
          <w:rPr>
            <w:rFonts w:ascii="Cambria Math" w:hAnsi="Cambria Math"/>
            <w:color w:val="FF0000"/>
            <w:sz w:val="22"/>
            <w:szCs w:val="22"/>
          </w:rPr>
          <m:t>a=</m:t>
        </m:r>
        <m:d>
          <m:dPr>
            <m:ctrlPr>
              <w:rPr>
                <w:rFonts w:ascii="Cambria Math" w:hAnsi="Cambria Math"/>
                <w:i/>
                <w:color w:val="FF0000"/>
                <w:sz w:val="22"/>
                <w:szCs w:val="22"/>
              </w:rPr>
            </m:ctrlPr>
          </m:dPr>
          <m:e>
            <m:f>
              <m:fPr>
                <m:ctrlPr>
                  <w:rPr>
                    <w:rFonts w:ascii="Cambria Math" w:hAnsi="Cambria Math"/>
                    <w:i/>
                    <w:color w:val="FF0000"/>
                    <w:sz w:val="22"/>
                    <w:szCs w:val="22"/>
                  </w:rPr>
                </m:ctrlPr>
              </m:fPr>
              <m:num>
                <m:r>
                  <w:rPr>
                    <w:rFonts w:ascii="Cambria Math" w:hAnsi="Cambria Math"/>
                    <w:color w:val="FF0000"/>
                    <w:sz w:val="22"/>
                    <w:szCs w:val="22"/>
                  </w:rPr>
                  <m:t>β-1</m:t>
                </m:r>
              </m:num>
              <m:den>
                <m:r>
                  <w:rPr>
                    <w:rFonts w:ascii="Cambria Math" w:hAnsi="Cambria Math"/>
                    <w:color w:val="FF0000"/>
                    <w:sz w:val="22"/>
                    <w:szCs w:val="22"/>
                  </w:rPr>
                  <m:t>β</m:t>
                </m:r>
              </m:den>
            </m:f>
          </m:e>
        </m:d>
        <m:r>
          <w:rPr>
            <w:rFonts w:ascii="Cambria Math" w:hAnsi="Cambria Math"/>
            <w:color w:val="FF0000"/>
            <w:sz w:val="22"/>
            <w:szCs w:val="22"/>
          </w:rPr>
          <m:t>NY</m:t>
        </m:r>
      </m:oMath>
      <w:r>
        <w:rPr>
          <w:color w:val="FF0000"/>
          <w:sz w:val="22"/>
          <w:szCs w:val="22"/>
        </w:rPr>
        <w:t>, which accounts for the marginal profit per price dollar in a market with network effects, together with the markets total purchasing power.</w:t>
      </w:r>
    </w:p>
    <w:p w14:paraId="253075A0" w14:textId="77777777" w:rsidR="000900D8" w:rsidRDefault="000900D8" w:rsidP="000900D8">
      <w:pPr>
        <w:spacing w:after="0" w:line="480" w:lineRule="auto"/>
        <w:contextualSpacing/>
        <w:jc w:val="both"/>
        <w:rPr>
          <w:color w:val="000000" w:themeColor="text1"/>
          <w:sz w:val="22"/>
          <w:szCs w:val="22"/>
        </w:rPr>
      </w:pPr>
    </w:p>
    <w:p w14:paraId="4F1D3E7C" w14:textId="77777777" w:rsidR="000900D8" w:rsidRDefault="000900D8" w:rsidP="000900D8">
      <w:pPr>
        <w:spacing w:after="0" w:line="480" w:lineRule="auto"/>
        <w:contextualSpacing/>
        <w:jc w:val="both"/>
        <w:rPr>
          <w:iCs/>
          <w:sz w:val="22"/>
          <w:szCs w:val="22"/>
        </w:rPr>
      </w:pPr>
      <w:r>
        <w:rPr>
          <w:color w:val="000000" w:themeColor="text1"/>
          <w:sz w:val="22"/>
          <w:szCs w:val="22"/>
        </w:rPr>
        <w:t xml:space="preserve">Where </w:t>
      </w:r>
      <m:oMath>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k</m:t>
            </m:r>
          </m:sub>
        </m:sSub>
      </m:oMath>
      <w:r>
        <w:rPr>
          <w:iCs/>
          <w:color w:val="000000" w:themeColor="text1"/>
          <w:sz w:val="22"/>
          <w:szCs w:val="22"/>
        </w:rPr>
        <w:t xml:space="preserve"> is platform </w:t>
      </w:r>
      <w:r>
        <w:rPr>
          <w:i/>
          <w:iCs/>
          <w:color w:val="000000" w:themeColor="text1"/>
          <w:sz w:val="22"/>
          <w:szCs w:val="22"/>
        </w:rPr>
        <w:t>k</w:t>
      </w:r>
      <w:r>
        <w:rPr>
          <w:iCs/>
          <w:color w:val="000000" w:themeColor="text1"/>
          <w:sz w:val="22"/>
          <w:szCs w:val="22"/>
        </w:rPr>
        <w:t>’s up-front cost of engaging in a new CSR policy,</w:t>
      </w:r>
      <w:r>
        <w:rPr>
          <w:color w:val="000000" w:themeColor="text1"/>
          <w:sz w:val="22"/>
          <w:szCs w:val="22"/>
        </w:rPr>
        <w:t xml:space="preserve">  </w:t>
      </w:r>
      <m:oMath>
        <m:sSubSup>
          <m:sSubSupPr>
            <m:ctrlPr>
              <w:rPr>
                <w:rFonts w:ascii="Cambria Math" w:hAnsi="Cambria Math"/>
                <w:i/>
                <w:color w:val="000000" w:themeColor="text1"/>
                <w:sz w:val="22"/>
                <w:szCs w:val="22"/>
              </w:rPr>
            </m:ctrlPr>
          </m:sSubSupPr>
          <m:e>
            <m:r>
              <m:rPr>
                <m:sty m:val="p"/>
              </m:rPr>
              <w:rPr>
                <w:rFonts w:ascii="Cambria Math" w:hAnsi="Cambria Math"/>
                <w:color w:val="000000" w:themeColor="text1"/>
                <w:sz w:val="22"/>
                <w:szCs w:val="22"/>
              </w:rPr>
              <m:t>Δ</m:t>
            </m:r>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m:t>
            </m:r>
          </m:sup>
        </m:sSubSup>
        <m:r>
          <w:rPr>
            <w:rFonts w:ascii="Cambria Math" w:hAnsi="Cambria Math"/>
            <w:color w:val="000000" w:themeColor="text1"/>
            <w:sz w:val="22"/>
            <w:szCs w:val="22"/>
          </w:rPr>
          <m:t>=</m:t>
        </m:r>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CSR|H</m:t>
            </m:r>
          </m:sup>
        </m:sSubSup>
        <m:r>
          <w:rPr>
            <w:rFonts w:ascii="Cambria Math" w:hAnsi="Cambria Math"/>
            <w:color w:val="000000" w:themeColor="text1"/>
            <w:sz w:val="22"/>
            <w:szCs w:val="22"/>
          </w:rPr>
          <m:t>-</m:t>
        </m:r>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s</m:t>
            </m:r>
          </m:e>
          <m:sub>
            <m:r>
              <w:rPr>
                <w:rFonts w:ascii="Cambria Math" w:hAnsi="Cambria Math"/>
                <w:color w:val="000000" w:themeColor="text1"/>
                <w:sz w:val="22"/>
                <w:szCs w:val="22"/>
              </w:rPr>
              <m:t>kt</m:t>
            </m:r>
          </m:sub>
          <m:sup>
            <m:r>
              <w:rPr>
                <w:rFonts w:ascii="Cambria Math" w:hAnsi="Cambria Math"/>
                <w:color w:val="000000" w:themeColor="text1"/>
                <w:sz w:val="22"/>
                <w:szCs w:val="22"/>
              </w:rPr>
              <m:t>CSR|U</m:t>
            </m:r>
          </m:sup>
        </m:sSubSup>
      </m:oMath>
      <w:r>
        <w:rPr>
          <w:color w:val="000000" w:themeColor="text1"/>
          <w:sz w:val="22"/>
          <w:szCs w:val="22"/>
        </w:rPr>
        <w:t xml:space="preserve"> is the difference in demand shares between buyer types.</w:t>
      </w:r>
      <w:r>
        <w:rPr>
          <w:iCs/>
          <w:color w:val="000000" w:themeColor="text1"/>
          <w:sz w:val="22"/>
          <w:szCs w:val="22"/>
        </w:rPr>
        <w:t xml:space="preserve"> </w:t>
      </w:r>
    </w:p>
    <w:p w14:paraId="2FF30034" w14:textId="77777777" w:rsidR="000900D8" w:rsidRDefault="000900D8" w:rsidP="000900D8">
      <w:pPr>
        <w:spacing w:after="0" w:line="480" w:lineRule="auto"/>
        <w:ind w:firstLine="720"/>
        <w:contextualSpacing/>
        <w:jc w:val="both"/>
        <w:rPr>
          <w:iCs/>
          <w:sz w:val="22"/>
          <w:szCs w:val="22"/>
        </w:rPr>
      </w:pPr>
      <w:r>
        <w:rPr>
          <w:b/>
          <w:i/>
          <w:iCs/>
          <w:sz w:val="22"/>
          <w:szCs w:val="22"/>
        </w:rPr>
        <w:t>Best response buyer strategies given optimal platform strategy</w:t>
      </w:r>
      <w:r>
        <w:rPr>
          <w:i/>
          <w:iCs/>
          <w:sz w:val="22"/>
          <w:szCs w:val="22"/>
        </w:rPr>
        <w:t xml:space="preserve">. </w:t>
      </w:r>
      <w:r>
        <w:rPr>
          <w:iCs/>
          <w:sz w:val="22"/>
          <w:szCs w:val="22"/>
        </w:rPr>
        <w:t xml:space="preserve">  Here we distinguish between the representative buyer (</w:t>
      </w:r>
      <m:oMath>
        <m:sSub>
          <m:sSubPr>
            <m:ctrlPr>
              <w:rPr>
                <w:rFonts w:ascii="Cambria Math" w:hAnsi="Cambria Math"/>
                <w:i/>
                <w:iCs/>
                <w:sz w:val="22"/>
                <w:szCs w:val="22"/>
              </w:rPr>
            </m:ctrlPr>
          </m:sSubPr>
          <m:e>
            <m:r>
              <w:rPr>
                <w:rFonts w:ascii="Cambria Math" w:hAnsi="Cambria Math"/>
                <w:sz w:val="22"/>
                <w:szCs w:val="22"/>
              </w:rPr>
              <m:t>b</m:t>
            </m:r>
          </m:e>
          <m:sub>
            <m:r>
              <w:rPr>
                <w:rFonts w:ascii="Cambria Math" w:hAnsi="Cambria Math"/>
                <w:sz w:val="22"/>
                <w:szCs w:val="22"/>
              </w:rPr>
              <m:t>i</m:t>
            </m:r>
          </m:sub>
        </m:sSub>
      </m:oMath>
      <w:r>
        <w:rPr>
          <w:iCs/>
          <w:sz w:val="22"/>
          <w:szCs w:val="22"/>
        </w:rPr>
        <w:t>) and all other buyers (</w:t>
      </w:r>
      <m:oMath>
        <m:sSub>
          <m:sSubPr>
            <m:ctrlPr>
              <w:rPr>
                <w:rFonts w:ascii="Cambria Math" w:hAnsi="Cambria Math"/>
                <w:i/>
                <w:iCs/>
                <w:sz w:val="22"/>
                <w:szCs w:val="22"/>
              </w:rPr>
            </m:ctrlPr>
          </m:sSubPr>
          <m:e>
            <m:r>
              <w:rPr>
                <w:rFonts w:ascii="Cambria Math" w:hAnsi="Cambria Math"/>
                <w:sz w:val="22"/>
                <w:szCs w:val="22"/>
              </w:rPr>
              <m:t>b</m:t>
            </m:r>
          </m:e>
          <m:sub>
            <m:r>
              <w:rPr>
                <w:rFonts w:ascii="Cambria Math" w:hAnsi="Cambria Math"/>
                <w:sz w:val="22"/>
                <w:szCs w:val="22"/>
              </w:rPr>
              <m:t>-i</m:t>
            </m:r>
          </m:sub>
        </m:sSub>
      </m:oMath>
      <w:r>
        <w:rPr>
          <w:iCs/>
          <w:sz w:val="22"/>
          <w:szCs w:val="22"/>
        </w:rPr>
        <w:t xml:space="preserve">). While </w:t>
      </w:r>
      <m:oMath>
        <m:sSub>
          <m:sSubPr>
            <m:ctrlPr>
              <w:rPr>
                <w:rFonts w:ascii="Cambria Math" w:hAnsi="Cambria Math"/>
                <w:i/>
                <w:iCs/>
                <w:sz w:val="22"/>
                <w:szCs w:val="22"/>
              </w:rPr>
            </m:ctrlPr>
          </m:sSubPr>
          <m:e>
            <m:r>
              <w:rPr>
                <w:rFonts w:ascii="Cambria Math" w:hAnsi="Cambria Math"/>
                <w:sz w:val="22"/>
                <w:szCs w:val="22"/>
              </w:rPr>
              <m:t>b</m:t>
            </m:r>
          </m:e>
          <m:sub>
            <m:r>
              <w:rPr>
                <w:rFonts w:ascii="Cambria Math" w:hAnsi="Cambria Math"/>
                <w:sz w:val="22"/>
                <w:szCs w:val="22"/>
              </w:rPr>
              <m:t>i</m:t>
            </m:r>
          </m:sub>
        </m:sSub>
      </m:oMath>
      <w:r>
        <w:rPr>
          <w:iCs/>
          <w:sz w:val="22"/>
          <w:szCs w:val="22"/>
        </w:rPr>
        <w:t xml:space="preserve"> knows her own type, she doesn’t know the types of any other buyer </w:t>
      </w:r>
      <m:oMath>
        <m:sSub>
          <m:sSubPr>
            <m:ctrlPr>
              <w:rPr>
                <w:rFonts w:ascii="Cambria Math" w:hAnsi="Cambria Math"/>
                <w:i/>
                <w:iCs/>
                <w:sz w:val="22"/>
                <w:szCs w:val="22"/>
              </w:rPr>
            </m:ctrlPr>
          </m:sSubPr>
          <m:e>
            <m:r>
              <w:rPr>
                <w:rFonts w:ascii="Cambria Math" w:hAnsi="Cambria Math"/>
                <w:sz w:val="22"/>
                <w:szCs w:val="22"/>
              </w:rPr>
              <m:t>b</m:t>
            </m:r>
          </m:e>
          <m:sub>
            <m:r>
              <w:rPr>
                <w:rFonts w:ascii="Cambria Math" w:hAnsi="Cambria Math"/>
                <w:sz w:val="22"/>
                <w:szCs w:val="22"/>
              </w:rPr>
              <m:t>-i</m:t>
            </m:r>
          </m:sub>
        </m:sSub>
      </m:oMath>
      <w:r>
        <w:rPr>
          <w:iCs/>
          <w:sz w:val="22"/>
          <w:szCs w:val="22"/>
        </w:rPr>
        <w:t xml:space="preserve">. Additionally, </w:t>
      </w:r>
      <m:oMath>
        <m:sSub>
          <m:sSubPr>
            <m:ctrlPr>
              <w:rPr>
                <w:rFonts w:ascii="Cambria Math" w:hAnsi="Cambria Math"/>
                <w:i/>
                <w:iCs/>
                <w:sz w:val="22"/>
                <w:szCs w:val="22"/>
              </w:rPr>
            </m:ctrlPr>
          </m:sSubPr>
          <m:e>
            <m:r>
              <w:rPr>
                <w:rFonts w:ascii="Cambria Math" w:hAnsi="Cambria Math"/>
                <w:sz w:val="22"/>
                <w:szCs w:val="22"/>
              </w:rPr>
              <m:t>b</m:t>
            </m:r>
          </m:e>
          <m:sub>
            <m:r>
              <w:rPr>
                <w:rFonts w:ascii="Cambria Math" w:hAnsi="Cambria Math"/>
                <w:sz w:val="22"/>
                <w:szCs w:val="22"/>
              </w:rPr>
              <m:t>i</m:t>
            </m:r>
          </m:sub>
        </m:sSub>
      </m:oMath>
      <w:r>
        <w:rPr>
          <w:iCs/>
          <w:sz w:val="22"/>
          <w:szCs w:val="22"/>
        </w:rPr>
        <w:t xml:space="preserve"> must decide her strategy before observing any other buyer’s strategies (i.e., considering only </w:t>
      </w:r>
      <m:oMath>
        <m:r>
          <w:rPr>
            <w:rFonts w:ascii="Cambria Math" w:hAnsi="Cambria Math"/>
            <w:sz w:val="22"/>
            <w:szCs w:val="22"/>
          </w:rPr>
          <m:t>q</m:t>
        </m:r>
      </m:oMath>
      <w:r>
        <w:rPr>
          <w:iCs/>
          <w:sz w:val="22"/>
          <w:szCs w:val="22"/>
        </w:rPr>
        <w:t xml:space="preserve">, not the updated belief </w:t>
      </w:r>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t</m:t>
            </m:r>
          </m:sub>
          <m:sup>
            <m:r>
              <w:rPr>
                <w:rFonts w:ascii="Cambria Math" w:hAnsi="Cambria Math"/>
                <w:sz w:val="22"/>
                <w:szCs w:val="22"/>
              </w:rPr>
              <m:t>post</m:t>
            </m:r>
          </m:sup>
        </m:sSubSup>
      </m:oMath>
      <w:r>
        <w:rPr>
          <w:iCs/>
          <w:sz w:val="22"/>
          <w:szCs w:val="22"/>
        </w:rPr>
        <w:t xml:space="preserve">) and before the platform decides its strategy. Obviously the best response strategy for a utilitarian buyer </w:t>
      </w:r>
      <w:r>
        <w:rPr>
          <w:iCs/>
          <w:sz w:val="22"/>
          <w:szCs w:val="22"/>
          <w:lang w:eastAsia="ko-KR"/>
        </w:rPr>
        <w:t xml:space="preserve">is </w:t>
      </w:r>
      <w:r>
        <w:rPr>
          <w:iCs/>
          <w:sz w:val="22"/>
          <w:szCs w:val="22"/>
        </w:rPr>
        <w:t>not to vote (</w:t>
      </w:r>
      <m:oMath>
        <m:sSubSup>
          <m:sSubSupPr>
            <m:ctrlPr>
              <w:rPr>
                <w:rFonts w:ascii="Cambria Math" w:hAnsi="Cambria Math"/>
                <w:i/>
                <w:iCs/>
                <w:sz w:val="22"/>
                <w:szCs w:val="22"/>
              </w:rPr>
            </m:ctrlPr>
          </m:sSubSupPr>
          <m:e>
            <m:r>
              <w:rPr>
                <w:rFonts w:ascii="Cambria Math" w:hAnsi="Cambria Math"/>
                <w:sz w:val="22"/>
                <w:szCs w:val="22"/>
              </w:rPr>
              <m:t>σ</m:t>
            </m:r>
          </m:e>
          <m:sub>
            <m:r>
              <w:rPr>
                <w:rFonts w:ascii="Cambria Math" w:hAnsi="Cambria Math"/>
                <w:sz w:val="22"/>
                <w:szCs w:val="22"/>
              </w:rPr>
              <m:t>it</m:t>
            </m:r>
          </m:sub>
          <m:sup>
            <m:r>
              <w:rPr>
                <w:rFonts w:ascii="Cambria Math" w:hAnsi="Cambria Math"/>
                <w:sz w:val="22"/>
                <w:szCs w:val="22"/>
              </w:rPr>
              <m:t>b</m:t>
            </m:r>
          </m:sup>
        </m:sSubSup>
        <m:r>
          <w:rPr>
            <w:rFonts w:ascii="Cambria Math" w:hAnsi="Cambria Math"/>
            <w:sz w:val="22"/>
            <w:szCs w:val="22"/>
          </w:rPr>
          <m:t>=A</m:t>
        </m:r>
      </m:oMath>
      <w:r>
        <w:rPr>
          <w:sz w:val="22"/>
          <w:szCs w:val="22"/>
        </w:rPr>
        <w:t>)</w:t>
      </w:r>
      <w:r>
        <w:rPr>
          <w:iCs/>
          <w:sz w:val="22"/>
          <w:szCs w:val="22"/>
        </w:rPr>
        <w:t xml:space="preserve"> in any circumstance, but for a hedonic buyer, determining </w:t>
      </w:r>
      <m:oMath>
        <m:sSub>
          <m:sSubPr>
            <m:ctrlPr>
              <w:rPr>
                <w:rFonts w:ascii="Cambria Math" w:hAnsi="Cambria Math"/>
                <w:i/>
                <w:iCs/>
                <w:sz w:val="22"/>
                <w:szCs w:val="22"/>
              </w:rPr>
            </m:ctrlPr>
          </m:sSubPr>
          <m:e>
            <m:r>
              <w:rPr>
                <w:rFonts w:ascii="Cambria Math" w:hAnsi="Cambria Math"/>
                <w:sz w:val="22"/>
                <w:szCs w:val="22"/>
              </w:rPr>
              <m:t>b</m:t>
            </m:r>
          </m:e>
          <m:sub>
            <m:r>
              <w:rPr>
                <w:rFonts w:ascii="Cambria Math" w:hAnsi="Cambria Math"/>
                <w:sz w:val="22"/>
                <w:szCs w:val="22"/>
              </w:rPr>
              <m:t>i</m:t>
            </m:r>
          </m:sub>
        </m:sSub>
      </m:oMath>
      <w:r>
        <w:rPr>
          <w:iCs/>
          <w:sz w:val="22"/>
          <w:szCs w:val="22"/>
        </w:rPr>
        <w:t xml:space="preserve">’s best response </w:t>
      </w:r>
      <m:oMath>
        <m:d>
          <m:dPr>
            <m:ctrlPr>
              <w:rPr>
                <w:rFonts w:ascii="Cambria Math" w:hAnsi="Cambria Math"/>
                <w:i/>
                <w:sz w:val="22"/>
                <w:szCs w:val="22"/>
              </w:rPr>
            </m:ctrlPr>
          </m:dPr>
          <m:e>
            <m:sSup>
              <m:sSupPr>
                <m:ctrlPr>
                  <w:rPr>
                    <w:rFonts w:ascii="Cambria Math" w:hAnsi="Cambria Math"/>
                    <w:i/>
                    <w:sz w:val="22"/>
                    <w:szCs w:val="22"/>
                  </w:rPr>
                </m:ctrlPr>
              </m:sSup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it</m:t>
                    </m:r>
                  </m:sub>
                  <m:sup>
                    <m:r>
                      <w:rPr>
                        <w:rFonts w:ascii="Cambria Math" w:hAnsi="Cambria Math"/>
                        <w:sz w:val="22"/>
                        <w:szCs w:val="22"/>
                      </w:rPr>
                      <m:t>b</m:t>
                    </m:r>
                  </m:sup>
                </m:sSubSup>
              </m:e>
              <m:sup>
                <m:r>
                  <w:rPr>
                    <w:rFonts w:ascii="Cambria Math" w:hAnsi="Cambria Math"/>
                    <w:sz w:val="22"/>
                    <w:szCs w:val="22"/>
                  </w:rPr>
                  <m:t>*</m:t>
                </m:r>
              </m:sup>
            </m:sSup>
          </m:e>
        </m:d>
      </m:oMath>
      <w:r>
        <w:rPr>
          <w:sz w:val="22"/>
          <w:szCs w:val="22"/>
        </w:rPr>
        <w:t xml:space="preserve"> </w:t>
      </w:r>
      <w:r>
        <w:rPr>
          <w:iCs/>
          <w:sz w:val="22"/>
          <w:szCs w:val="22"/>
        </w:rPr>
        <w:t>is equivalent to finding the strategy that maximizes the expected</w:t>
      </w:r>
      <w:commentRangeStart w:id="8"/>
      <w:r>
        <w:rPr>
          <w:iCs/>
          <w:sz w:val="22"/>
          <w:szCs w:val="22"/>
        </w:rPr>
        <w:t xml:space="preserve"> payo</w:t>
      </w:r>
      <w:commentRangeEnd w:id="8"/>
      <w:r>
        <w:rPr>
          <w:rStyle w:val="CommentReference"/>
        </w:rPr>
        <w:commentReference w:id="8"/>
      </w:r>
      <w:r>
        <w:rPr>
          <w:iCs/>
          <w:sz w:val="22"/>
          <w:szCs w:val="22"/>
        </w:rPr>
        <w:t xml:space="preserve">ff: </w:t>
      </w:r>
    </w:p>
    <w:tbl>
      <w:tblPr>
        <w:tblW w:w="10802" w:type="dxa"/>
        <w:tblLook w:val="04A0" w:firstRow="1" w:lastRow="0" w:firstColumn="1" w:lastColumn="0" w:noHBand="0" w:noVBand="1"/>
      </w:tblPr>
      <w:tblGrid>
        <w:gridCol w:w="10083"/>
        <w:gridCol w:w="719"/>
      </w:tblGrid>
      <w:tr w:rsidR="000900D8" w14:paraId="0259AAA8" w14:textId="77777777" w:rsidTr="000900D8">
        <w:trPr>
          <w:trHeight w:val="885"/>
        </w:trPr>
        <w:tc>
          <w:tcPr>
            <w:tcW w:w="10083" w:type="dxa"/>
            <w:vAlign w:val="center"/>
          </w:tcPr>
          <w:p w14:paraId="185B869C" w14:textId="77777777" w:rsidR="000900D8" w:rsidRDefault="000900D8">
            <w:pPr>
              <w:spacing w:after="0" w:line="480" w:lineRule="auto"/>
              <w:contextualSpacing/>
              <w:rPr>
                <w:sz w:val="22"/>
                <w:szCs w:val="22"/>
              </w:rPr>
            </w:pPr>
          </w:p>
        </w:tc>
        <w:tc>
          <w:tcPr>
            <w:tcW w:w="719" w:type="dxa"/>
            <w:vAlign w:val="center"/>
            <w:hideMark/>
          </w:tcPr>
          <w:p w14:paraId="0A47DF99" w14:textId="77777777" w:rsidR="000900D8" w:rsidRDefault="000900D8">
            <w:pPr>
              <w:spacing w:after="0" w:line="480" w:lineRule="auto"/>
              <w:contextualSpacing/>
              <w:jc w:val="center"/>
              <w:rPr>
                <w:sz w:val="22"/>
                <w:szCs w:val="22"/>
              </w:rPr>
            </w:pPr>
            <w:r>
              <w:rPr>
                <w:sz w:val="22"/>
                <w:szCs w:val="22"/>
              </w:rPr>
              <w:t>(</w:t>
            </w:r>
            <w:r>
              <w:rPr>
                <w:sz w:val="22"/>
                <w:szCs w:val="22"/>
                <w:lang w:eastAsia="ko-KR"/>
              </w:rPr>
              <w:t>8</w:t>
            </w:r>
            <w:r>
              <w:rPr>
                <w:sz w:val="22"/>
                <w:szCs w:val="22"/>
              </w:rPr>
              <w:t>)</w:t>
            </w:r>
          </w:p>
        </w:tc>
      </w:tr>
    </w:tbl>
    <w:p w14:paraId="44F499BE" w14:textId="77777777" w:rsidR="000900D8" w:rsidRDefault="000900D8" w:rsidP="000900D8">
      <w:pPr>
        <w:spacing w:after="0" w:line="480" w:lineRule="auto"/>
        <w:contextualSpacing/>
        <w:jc w:val="both"/>
        <w:rPr>
          <w:iCs/>
          <w:sz w:val="22"/>
          <w:szCs w:val="22"/>
        </w:rPr>
      </w:pPr>
      <w:r>
        <w:rPr>
          <w:iCs/>
          <w:sz w:val="22"/>
          <w:szCs w:val="22"/>
        </w:rPr>
        <w:t xml:space="preserve">Where </w:t>
      </w:r>
      <w:proofErr w:type="spellStart"/>
      <w:r>
        <w:rPr>
          <w:iCs/>
          <w:sz w:val="22"/>
          <w:szCs w:val="22"/>
        </w:rPr>
        <w:t>where</w:t>
      </w:r>
      <w:proofErr w:type="spellEnd"/>
      <w:r>
        <w:rPr>
          <w:iCs/>
          <w:sz w:val="22"/>
          <w:szCs w:val="22"/>
        </w:rPr>
        <w:t xml:space="preserve"> </w:t>
      </w:r>
      <m:oMath>
        <m:acc>
          <m:accPr>
            <m:chr m:val="̅"/>
            <m:ctrlPr>
              <w:rPr>
                <w:rFonts w:ascii="Cambria Math" w:hAnsi="Cambria Math"/>
                <w:i/>
                <w:color w:val="000000" w:themeColor="text1"/>
                <w:sz w:val="22"/>
                <w:szCs w:val="22"/>
              </w:rPr>
            </m:ctrlPr>
          </m:accPr>
          <m:e>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κ</m:t>
                </m:r>
              </m:e>
              <m:sub>
                <m:r>
                  <w:rPr>
                    <w:rFonts w:ascii="Cambria Math" w:hAnsi="Cambria Math"/>
                    <w:color w:val="000000" w:themeColor="text1"/>
                    <w:sz w:val="22"/>
                    <w:szCs w:val="22"/>
                    <w:shd w:val="clear" w:color="auto" w:fill="FFFFFF"/>
                  </w:rPr>
                  <m:t>q</m:t>
                </m:r>
              </m:sub>
              <m:sup>
                <m:r>
                  <w:rPr>
                    <w:rFonts w:ascii="Cambria Math" w:hAnsi="Cambria Math"/>
                    <w:color w:val="000000" w:themeColor="text1"/>
                    <w:sz w:val="22"/>
                    <w:szCs w:val="22"/>
                    <w:shd w:val="clear" w:color="auto" w:fill="FFFFFF"/>
                  </w:rPr>
                  <m:t>*</m:t>
                </m:r>
              </m:sup>
            </m:sSubSup>
          </m:e>
        </m:acc>
      </m:oMath>
      <w:r>
        <w:rPr>
          <w:color w:val="000000" w:themeColor="text1"/>
          <w:sz w:val="22"/>
          <w:szCs w:val="22"/>
        </w:rPr>
        <w:t xml:space="preserve"> is the expected signaling cost threshold for a given hedonic proportion (</w:t>
      </w:r>
      <m:oMath>
        <m:r>
          <w:rPr>
            <w:rFonts w:ascii="Cambria Math" w:hAnsi="Cambria Math"/>
            <w:color w:val="000000" w:themeColor="text1"/>
            <w:sz w:val="22"/>
            <w:szCs w:val="22"/>
          </w:rPr>
          <m:t>q</m:t>
        </m:r>
      </m:oMath>
      <w:r>
        <w:rPr>
          <w:color w:val="000000" w:themeColor="text1"/>
          <w:sz w:val="22"/>
          <w:szCs w:val="22"/>
        </w:rPr>
        <w:t>) (see Appendix XX):</w:t>
      </w:r>
    </w:p>
    <w:tbl>
      <w:tblPr>
        <w:tblpPr w:leftFromText="180" w:rightFromText="180" w:bottomFromText="160" w:vertAnchor="text" w:tblpY="1"/>
        <w:tblOverlap w:val="never"/>
        <w:tblW w:w="9570" w:type="dxa"/>
        <w:tblLook w:val="04A0" w:firstRow="1" w:lastRow="0" w:firstColumn="1" w:lastColumn="0" w:noHBand="0" w:noVBand="1"/>
      </w:tblPr>
      <w:tblGrid>
        <w:gridCol w:w="8877"/>
        <w:gridCol w:w="693"/>
      </w:tblGrid>
      <w:tr w:rsidR="000900D8" w14:paraId="58A1C8C9" w14:textId="77777777" w:rsidTr="000900D8">
        <w:trPr>
          <w:trHeight w:val="862"/>
        </w:trPr>
        <w:tc>
          <w:tcPr>
            <w:tcW w:w="8877" w:type="dxa"/>
            <w:vAlign w:val="center"/>
          </w:tcPr>
          <w:p w14:paraId="76BAD607" w14:textId="77777777" w:rsidR="000900D8" w:rsidRDefault="000900D8">
            <w:pPr>
              <w:spacing w:after="0" w:line="480" w:lineRule="auto"/>
              <w:contextualSpacing/>
              <w:rPr>
                <w:sz w:val="22"/>
                <w:szCs w:val="22"/>
              </w:rPr>
            </w:pPr>
          </w:p>
        </w:tc>
        <w:tc>
          <w:tcPr>
            <w:tcW w:w="693" w:type="dxa"/>
            <w:vAlign w:val="center"/>
            <w:hideMark/>
          </w:tcPr>
          <w:p w14:paraId="78B1D0BD" w14:textId="77777777" w:rsidR="000900D8" w:rsidRDefault="000900D8">
            <w:pPr>
              <w:spacing w:after="0" w:line="480" w:lineRule="auto"/>
              <w:contextualSpacing/>
              <w:jc w:val="center"/>
              <w:rPr>
                <w:sz w:val="22"/>
                <w:szCs w:val="22"/>
              </w:rPr>
            </w:pPr>
            <w:r>
              <w:rPr>
                <w:sz w:val="22"/>
                <w:szCs w:val="22"/>
              </w:rPr>
              <w:t>(</w:t>
            </w:r>
            <w:r>
              <w:rPr>
                <w:sz w:val="22"/>
                <w:szCs w:val="22"/>
                <w:lang w:eastAsia="ko-KR"/>
              </w:rPr>
              <w:t>9</w:t>
            </w:r>
            <w:r>
              <w:rPr>
                <w:sz w:val="22"/>
                <w:szCs w:val="22"/>
              </w:rPr>
              <w:t>)</w:t>
            </w:r>
          </w:p>
        </w:tc>
      </w:tr>
    </w:tbl>
    <w:p w14:paraId="51A0B709" w14:textId="77777777" w:rsidR="000900D8" w:rsidRDefault="000900D8" w:rsidP="000900D8">
      <w:pPr>
        <w:spacing w:after="0" w:line="480" w:lineRule="auto"/>
        <w:contextualSpacing/>
        <w:jc w:val="both"/>
        <w:rPr>
          <w:sz w:val="22"/>
          <w:szCs w:val="22"/>
        </w:rPr>
      </w:pPr>
      <w:r>
        <w:rPr>
          <w:iCs/>
          <w:sz w:val="22"/>
          <w:szCs w:val="22"/>
        </w:rPr>
        <w:br w:type="textWrapping" w:clear="all"/>
        <w:t xml:space="preserve">where </w:t>
      </w:r>
      <m:oMath>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t</m:t>
            </m:r>
          </m:sub>
          <m:sup>
            <m:r>
              <w:rPr>
                <w:rFonts w:ascii="Cambria Math" w:hAnsi="Cambria Math"/>
                <w:sz w:val="22"/>
                <w:szCs w:val="22"/>
              </w:rPr>
              <m:t>*</m:t>
            </m:r>
          </m:sup>
        </m:sSubSup>
        <m:r>
          <w:rPr>
            <w:rFonts w:ascii="Cambria Math" w:hAnsi="Cambria Math"/>
            <w:sz w:val="22"/>
            <w:szCs w:val="22"/>
          </w:rPr>
          <m:t>=</m:t>
        </m:r>
        <m:d>
          <m:dPr>
            <m:begChr m:val="["/>
            <m:endChr m:val="]"/>
            <m:ctrlPr>
              <w:rPr>
                <w:rFonts w:ascii="Cambria Math" w:hAnsi="Cambria Math"/>
                <w:i/>
                <w:sz w:val="22"/>
                <w:szCs w:val="22"/>
              </w:rPr>
            </m:ctrlPr>
          </m:dPr>
          <m:e>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q</m:t>
                </m:r>
              </m:e>
              <m:sub>
                <m:r>
                  <w:rPr>
                    <w:rFonts w:ascii="Cambria Math" w:hAnsi="Cambria Math"/>
                    <w:color w:val="000000" w:themeColor="text1"/>
                    <w:sz w:val="22"/>
                    <w:szCs w:val="22"/>
                    <w:shd w:val="clear" w:color="auto" w:fill="FFFFFF"/>
                  </w:rPr>
                  <m:t>kt</m:t>
                </m:r>
              </m:sub>
              <m:sup>
                <m:r>
                  <w:rPr>
                    <w:rFonts w:ascii="Cambria Math" w:hAnsi="Cambria Math"/>
                    <w:color w:val="000000" w:themeColor="text1"/>
                    <w:sz w:val="22"/>
                    <w:szCs w:val="22"/>
                    <w:shd w:val="clear" w:color="auto" w:fill="FFFFFF"/>
                  </w:rPr>
                  <m:t>*</m:t>
                </m:r>
              </m:sup>
            </m:sSub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2t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r>
              <w:rPr>
                <w:rFonts w:ascii="Cambria Math" w:hAnsi="Cambria Math"/>
                <w:sz w:val="22"/>
                <w:szCs w:val="22"/>
              </w:rPr>
              <m:t>+1</m:t>
            </m:r>
          </m:e>
        </m:d>
      </m:oMath>
      <w:r>
        <w:rPr>
          <w:sz w:val="22"/>
          <w:szCs w:val="22"/>
        </w:rPr>
        <w:t xml:space="preserve">. </w:t>
      </w:r>
      <w:r>
        <w:rPr>
          <w:iCs/>
          <w:sz w:val="22"/>
          <w:szCs w:val="22"/>
        </w:rPr>
        <w:t>Den</w:t>
      </w:r>
      <w:r>
        <w:rPr>
          <w:sz w:val="22"/>
          <w:szCs w:val="22"/>
        </w:rPr>
        <w:t xml:space="preserve">ote </w:t>
      </w:r>
      <m:oMath>
        <m:r>
          <m:rPr>
            <m:sty m:val="p"/>
          </m:rPr>
          <w:rPr>
            <w:rFonts w:ascii="Cambria Math" w:hAnsi="Cambria Math"/>
            <w:sz w:val="22"/>
            <w:szCs w:val="22"/>
          </w:rPr>
          <m:t>Δ</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ikt</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ikt</m:t>
            </m:r>
          </m:sub>
        </m:sSub>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kt</m:t>
                </m:r>
              </m:sub>
              <m:sup>
                <m:r>
                  <w:rPr>
                    <w:rFonts w:ascii="Cambria Math" w:hAnsi="Cambria Math"/>
                    <w:sz w:val="22"/>
                    <w:szCs w:val="22"/>
                  </w:rPr>
                  <m:t>p</m:t>
                </m:r>
              </m:sup>
            </m:sSubSup>
            <m:r>
              <w:rPr>
                <w:rFonts w:ascii="Cambria Math" w:hAnsi="Cambria Math"/>
                <w:sz w:val="22"/>
                <w:szCs w:val="22"/>
              </w:rPr>
              <m:t>=CSR</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ikt</m:t>
            </m:r>
          </m:sub>
        </m:sSub>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kt</m:t>
                </m:r>
              </m:sub>
              <m:sup>
                <m:r>
                  <w:rPr>
                    <w:rFonts w:ascii="Cambria Math" w:hAnsi="Cambria Math"/>
                    <w:sz w:val="22"/>
                    <w:szCs w:val="22"/>
                  </w:rPr>
                  <m:t>p</m:t>
                </m:r>
              </m:sup>
            </m:sSubSup>
            <m:r>
              <w:rPr>
                <w:rFonts w:ascii="Cambria Math" w:hAnsi="Cambria Math"/>
                <w:sz w:val="22"/>
                <w:szCs w:val="22"/>
              </w:rPr>
              <m:t>=No</m:t>
            </m:r>
          </m:e>
        </m:d>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z</m:t>
            </m:r>
          </m:e>
          <m:sub>
            <m:r>
              <w:rPr>
                <w:rFonts w:ascii="Cambria Math" w:hAnsi="Cambria Math"/>
                <w:sz w:val="22"/>
                <w:szCs w:val="22"/>
              </w:rPr>
              <m:t>i</m:t>
            </m:r>
          </m:sub>
        </m:sSub>
        <m:r>
          <w:rPr>
            <w:rFonts w:ascii="Cambria Math" w:hAnsi="Cambria Math"/>
            <w:sz w:val="22"/>
            <w:szCs w:val="22"/>
          </w:rPr>
          <m:t>=H</m:t>
        </m:r>
      </m:oMath>
      <w:r>
        <w:rPr>
          <w:sz w:val="22"/>
          <w:szCs w:val="22"/>
        </w:rPr>
        <w:t xml:space="preserve"> is the additional incremental value enjoyed by a hedonic buyer when a platform decides to engage in CSR, </w:t>
      </w:r>
      <m:oMath>
        <m:sSub>
          <m:sSubPr>
            <m:ctrlPr>
              <w:rPr>
                <w:rFonts w:ascii="Cambria Math" w:hAnsi="Cambria Math"/>
                <w:sz w:val="22"/>
                <w:szCs w:val="22"/>
              </w:rPr>
            </m:ctrlPr>
          </m:sSubPr>
          <m:e>
            <m:r>
              <m:rPr>
                <m:sty m:val="p"/>
              </m:rPr>
              <w:rPr>
                <w:rFonts w:ascii="Cambria Math" w:hAnsi="Cambria Math"/>
                <w:sz w:val="22"/>
                <w:szCs w:val="22"/>
              </w:rPr>
              <m:t>μ</m:t>
            </m:r>
          </m:e>
          <m:sub>
            <m:r>
              <m:rPr>
                <m:sty m:val="p"/>
              </m:rPr>
              <w:rPr>
                <w:rFonts w:ascii="Cambria Math" w:hAnsi="Cambria Math"/>
                <w:sz w:val="22"/>
                <w:szCs w:val="22"/>
              </w:rPr>
              <m:t>t</m:t>
            </m:r>
          </m:sub>
        </m:sSub>
      </m:oMath>
      <w:r>
        <w:rPr>
          <w:sz w:val="22"/>
          <w:szCs w:val="22"/>
        </w:rPr>
        <w:t xml:space="preserve"> is the baseline probability of a buyer voting with the wallet for platform </w:t>
      </w:r>
      <m:oMath>
        <m:r>
          <w:rPr>
            <w:rFonts w:ascii="Cambria Math" w:hAnsi="Cambria Math"/>
            <w:sz w:val="22"/>
            <w:szCs w:val="22"/>
          </w:rPr>
          <m:t>k</m:t>
        </m:r>
      </m:oMath>
      <w:r>
        <w:rPr>
          <w:sz w:val="22"/>
          <w:szCs w:val="22"/>
        </w:rPr>
        <w:t xml:space="preserve">, and </w:t>
      </w:r>
      <m:oMath>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q</m:t>
            </m:r>
          </m:e>
          <m:sub>
            <m:r>
              <w:rPr>
                <w:rFonts w:ascii="Cambria Math" w:hAnsi="Cambria Math"/>
                <w:color w:val="000000" w:themeColor="text1"/>
                <w:sz w:val="22"/>
                <w:szCs w:val="22"/>
                <w:shd w:val="clear" w:color="auto" w:fill="FFFFFF"/>
              </w:rPr>
              <m:t>kt</m:t>
            </m:r>
          </m:sub>
          <m:sup>
            <m:r>
              <w:rPr>
                <w:rFonts w:ascii="Cambria Math" w:hAnsi="Cambria Math"/>
                <w:color w:val="000000" w:themeColor="text1"/>
                <w:sz w:val="22"/>
                <w:szCs w:val="22"/>
                <w:shd w:val="clear" w:color="auto" w:fill="FFFFFF"/>
              </w:rPr>
              <m:t>*</m:t>
            </m:r>
          </m:sup>
        </m:sSubSup>
      </m:oMath>
      <w:r>
        <w:rPr>
          <w:sz w:val="22"/>
          <w:szCs w:val="22"/>
        </w:rPr>
        <w:t xml:space="preserve"> is the threshold level of voting with the w</w:t>
      </w:r>
      <w:proofErr w:type="spellStart"/>
      <w:r>
        <w:rPr>
          <w:sz w:val="22"/>
          <w:szCs w:val="22"/>
        </w:rPr>
        <w:t>allet</w:t>
      </w:r>
      <w:proofErr w:type="spellEnd"/>
      <w:r>
        <w:rPr>
          <w:sz w:val="22"/>
          <w:szCs w:val="22"/>
        </w:rPr>
        <w:t xml:space="preserve"> that the platform requires to expect CSR to be the optimal strategy, defined in Eq. (7) according to the buyer’s strategy profile. </w:t>
      </w:r>
    </w:p>
    <w:p w14:paraId="1D9AC351" w14:textId="77777777" w:rsidR="000900D8" w:rsidRDefault="000900D8" w:rsidP="000900D8">
      <w:pPr>
        <w:spacing w:after="0" w:line="480" w:lineRule="auto"/>
        <w:contextualSpacing/>
        <w:jc w:val="both"/>
        <w:rPr>
          <w:color w:val="FF0000"/>
          <w:sz w:val="22"/>
          <w:szCs w:val="22"/>
        </w:rPr>
      </w:pPr>
      <w:r>
        <w:rPr>
          <w:color w:val="FF0000"/>
          <w:sz w:val="22"/>
          <w:szCs w:val="22"/>
        </w:rPr>
        <w:t xml:space="preserve">Average/expected/baseline probability of a random buyer </w:t>
      </w:r>
      <w:proofErr w:type="spellStart"/>
      <w:r>
        <w:rPr>
          <w:color w:val="FF0000"/>
          <w:sz w:val="22"/>
          <w:szCs w:val="22"/>
        </w:rPr>
        <w:t>voiting</w:t>
      </w:r>
      <w:proofErr w:type="spellEnd"/>
      <w:r>
        <w:rPr>
          <w:color w:val="FF0000"/>
          <w:sz w:val="22"/>
          <w:szCs w:val="22"/>
        </w:rPr>
        <w:t xml:space="preserve"> with the wallet</w:t>
      </w:r>
    </w:p>
    <w:tbl>
      <w:tblPr>
        <w:tblpPr w:leftFromText="180" w:rightFromText="180" w:bottomFromText="160" w:vertAnchor="text" w:tblpY="1"/>
        <w:tblOverlap w:val="never"/>
        <w:tblW w:w="9570" w:type="dxa"/>
        <w:tblLook w:val="04A0" w:firstRow="1" w:lastRow="0" w:firstColumn="1" w:lastColumn="0" w:noHBand="0" w:noVBand="1"/>
      </w:tblPr>
      <w:tblGrid>
        <w:gridCol w:w="8877"/>
        <w:gridCol w:w="693"/>
      </w:tblGrid>
      <w:tr w:rsidR="000900D8" w14:paraId="38A92B88" w14:textId="77777777" w:rsidTr="000900D8">
        <w:trPr>
          <w:trHeight w:val="862"/>
        </w:trPr>
        <w:tc>
          <w:tcPr>
            <w:tcW w:w="8877" w:type="dxa"/>
            <w:vAlign w:val="center"/>
          </w:tcPr>
          <w:p w14:paraId="5543B53E" w14:textId="77777777" w:rsidR="000900D8" w:rsidRDefault="000900D8">
            <w:pPr>
              <w:spacing w:after="0" w:line="480" w:lineRule="auto"/>
              <w:contextualSpacing/>
              <w:rPr>
                <w:sz w:val="22"/>
                <w:szCs w:val="22"/>
              </w:rPr>
            </w:pPr>
          </w:p>
        </w:tc>
        <w:tc>
          <w:tcPr>
            <w:tcW w:w="693" w:type="dxa"/>
            <w:vAlign w:val="center"/>
            <w:hideMark/>
          </w:tcPr>
          <w:p w14:paraId="218CFBEB" w14:textId="77777777" w:rsidR="000900D8" w:rsidRDefault="000900D8">
            <w:pPr>
              <w:spacing w:after="0" w:line="480" w:lineRule="auto"/>
              <w:contextualSpacing/>
              <w:jc w:val="center"/>
              <w:rPr>
                <w:sz w:val="22"/>
                <w:szCs w:val="22"/>
              </w:rPr>
            </w:pPr>
            <w:r>
              <w:rPr>
                <w:color w:val="FF0000"/>
                <w:sz w:val="22"/>
                <w:szCs w:val="22"/>
              </w:rPr>
              <w:t>(</w:t>
            </w:r>
            <w:r>
              <w:rPr>
                <w:color w:val="FF0000"/>
                <w:sz w:val="22"/>
                <w:szCs w:val="22"/>
                <w:lang w:eastAsia="ko-KR"/>
              </w:rPr>
              <w:t>10</w:t>
            </w:r>
            <w:r>
              <w:rPr>
                <w:sz w:val="22"/>
                <w:szCs w:val="22"/>
              </w:rPr>
              <w:t>)</w:t>
            </w:r>
          </w:p>
        </w:tc>
      </w:tr>
    </w:tbl>
    <w:p w14:paraId="4CF7CCFC" w14:textId="77777777" w:rsidR="000900D8" w:rsidRDefault="000900D8" w:rsidP="000900D8">
      <w:pPr>
        <w:spacing w:after="0" w:line="480" w:lineRule="auto"/>
        <w:contextualSpacing/>
        <w:jc w:val="both"/>
        <w:rPr>
          <w:sz w:val="22"/>
          <w:szCs w:val="22"/>
        </w:rPr>
      </w:pPr>
    </w:p>
    <w:p w14:paraId="597FAB73" w14:textId="77777777" w:rsidR="000900D8" w:rsidRDefault="000900D8" w:rsidP="000900D8">
      <w:pPr>
        <w:spacing w:after="0" w:line="480" w:lineRule="auto"/>
        <w:contextualSpacing/>
        <w:jc w:val="both"/>
        <w:rPr>
          <w:sz w:val="22"/>
          <w:szCs w:val="22"/>
        </w:rPr>
      </w:pPr>
    </w:p>
    <w:p w14:paraId="11E134B2" w14:textId="77777777" w:rsidR="000900D8" w:rsidRDefault="000900D8" w:rsidP="000900D8">
      <w:pPr>
        <w:spacing w:after="0" w:line="480" w:lineRule="auto"/>
        <w:contextualSpacing/>
        <w:jc w:val="both"/>
        <w:rPr>
          <w:sz w:val="22"/>
          <w:szCs w:val="22"/>
        </w:rPr>
      </w:pPr>
      <w:r>
        <w:rPr>
          <w:sz w:val="22"/>
          <w:szCs w:val="22"/>
        </w:rPr>
        <w:t>Finally, plugging equation (</w:t>
      </w:r>
      <w:r>
        <w:rPr>
          <w:sz w:val="22"/>
          <w:szCs w:val="22"/>
          <w:lang w:eastAsia="ko-KR"/>
        </w:rPr>
        <w:t>14</w:t>
      </w:r>
      <w:r>
        <w:rPr>
          <w:sz w:val="22"/>
          <w:szCs w:val="22"/>
        </w:rPr>
        <w:t>) into (1</w:t>
      </w:r>
      <w:r>
        <w:rPr>
          <w:sz w:val="22"/>
          <w:szCs w:val="22"/>
          <w:lang w:eastAsia="ko-KR"/>
        </w:rPr>
        <w:t>6</w:t>
      </w:r>
      <w:r>
        <w:rPr>
          <w:sz w:val="22"/>
          <w:szCs w:val="22"/>
        </w:rPr>
        <w:t>) yields the expression as a function of the representative buyer’s strategy profile, which is useful for determining potential separating and pooling equilibria. Thus expressions (</w:t>
      </w:r>
      <w:r>
        <w:rPr>
          <w:sz w:val="22"/>
          <w:szCs w:val="22"/>
          <w:lang w:eastAsia="ko-KR"/>
        </w:rPr>
        <w:t>13</w:t>
      </w:r>
      <w:r>
        <w:rPr>
          <w:sz w:val="22"/>
          <w:szCs w:val="22"/>
        </w:rPr>
        <w:t>-1</w:t>
      </w:r>
      <w:r>
        <w:rPr>
          <w:sz w:val="22"/>
          <w:szCs w:val="22"/>
          <w:lang w:eastAsia="ko-KR"/>
        </w:rPr>
        <w:t>6</w:t>
      </w:r>
      <w:r>
        <w:rPr>
          <w:sz w:val="22"/>
          <w:szCs w:val="22"/>
        </w:rPr>
        <w:t>) provide the blueprint for solving the game, but such a CMS game must first be fully specified, with market size (</w:t>
      </w:r>
      <m:oMath>
        <m:r>
          <w:rPr>
            <w:rFonts w:ascii="Cambria Math" w:hAnsi="Cambria Math"/>
            <w:sz w:val="22"/>
            <w:szCs w:val="22"/>
          </w:rPr>
          <m:t>N</m:t>
        </m:r>
      </m:oMath>
      <w:r>
        <w:rPr>
          <w:sz w:val="22"/>
          <w:szCs w:val="22"/>
        </w:rPr>
        <w:t>), signaling cost (</w:t>
      </w:r>
      <m:oMath>
        <m:r>
          <w:rPr>
            <w:rFonts w:ascii="Cambria Math" w:hAnsi="Cambria Math"/>
            <w:sz w:val="22"/>
            <w:szCs w:val="22"/>
          </w:rPr>
          <m:t>κ</m:t>
        </m:r>
      </m:oMath>
      <w:r>
        <w:rPr>
          <w:sz w:val="22"/>
          <w:szCs w:val="22"/>
        </w:rPr>
        <w:t>), nature’s distribution of hedonic buyers (</w:t>
      </w:r>
      <m:oMath>
        <m:r>
          <w:rPr>
            <w:rFonts w:ascii="Cambria Math" w:hAnsi="Cambria Math"/>
            <w:sz w:val="22"/>
            <w:szCs w:val="22"/>
          </w:rPr>
          <m:t>q</m:t>
        </m:r>
      </m:oMath>
      <w:r>
        <w:rPr>
          <w:sz w:val="22"/>
          <w:szCs w:val="22"/>
        </w:rPr>
        <w:t>), the platform’s prior beliefs about the buyer distribution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2t</m:t>
            </m:r>
          </m:sub>
        </m:sSub>
      </m:oMath>
      <w:r>
        <w:rPr>
          <w:sz w:val="22"/>
          <w:szCs w:val="22"/>
        </w:rPr>
        <w:t xml:space="preserve">), and the revenue and expense parameters that define the platform threshold of required voting with the wallet in order to compute the BPE. </w:t>
      </w:r>
    </w:p>
    <w:p w14:paraId="6C9F6AA3" w14:textId="77777777" w:rsidR="00202E84" w:rsidRDefault="00202E84"/>
    <w:sectPr w:rsidR="00202E84">
      <w:type w:val="continuous"/>
      <w:pgSz w:w="18060" w:h="25920"/>
      <w:pgMar w:top="0" w:right="5193" w:bottom="0" w:left="45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in-Su" w:date="2017-06-04T19:28:00Z" w:initials="JS">
    <w:p w14:paraId="740EBBEC" w14:textId="77777777" w:rsidR="000900D8" w:rsidRDefault="000900D8" w:rsidP="0001391F">
      <w:pPr>
        <w:pStyle w:val="CommentText"/>
        <w:rPr>
          <w:lang w:eastAsia="ko-KR"/>
        </w:rPr>
      </w:pPr>
      <w:r>
        <w:rPr>
          <w:rStyle w:val="CommentReference"/>
        </w:rPr>
        <w:annotationRef/>
      </w:r>
      <w:r>
        <w:rPr>
          <w:lang w:eastAsia="ko-KR"/>
        </w:rPr>
        <w:t>with t?</w:t>
      </w:r>
    </w:p>
  </w:comment>
  <w:comment w:id="2" w:author="Stephen Downing" w:date="2017-06-17T04:11:00Z" w:initials="SD">
    <w:p w14:paraId="07AF42F2" w14:textId="77777777" w:rsidR="000900D8" w:rsidRDefault="000900D8" w:rsidP="000900D8">
      <w:pPr>
        <w:pStyle w:val="CommentText"/>
      </w:pPr>
      <w:r>
        <w:rPr>
          <w:rStyle w:val="CommentReference"/>
        </w:rPr>
        <w:annotationRef/>
      </w:r>
      <w:r>
        <w:t>Looks like you deleted the platform payoff function, assuming it can just be shown in appendix</w:t>
      </w:r>
    </w:p>
  </w:comment>
  <w:comment w:id="3" w:author="Stephen Downing" w:date="2017-06-17T03:19:00Z" w:initials="SD">
    <w:p w14:paraId="69A7ECD1" w14:textId="77777777" w:rsidR="000900D8" w:rsidRDefault="000900D8" w:rsidP="000900D8">
      <w:pPr>
        <w:pStyle w:val="CommentText"/>
      </w:pPr>
      <w:r>
        <w:rPr>
          <w:rStyle w:val="CommentReference"/>
        </w:rPr>
        <w:annotationRef/>
      </w:r>
      <w:r>
        <w:t xml:space="preserve">NO subscript </w:t>
      </w:r>
      <w:proofErr w:type="spellStart"/>
      <w:r>
        <w:t>t on</w:t>
      </w:r>
      <w:proofErr w:type="spellEnd"/>
      <w:r>
        <w:t xml:space="preserve"> q here. </w:t>
      </w:r>
    </w:p>
    <w:p w14:paraId="6A3502E3" w14:textId="77777777" w:rsidR="000900D8" w:rsidRDefault="000900D8" w:rsidP="000900D8">
      <w:pPr>
        <w:pStyle w:val="CommentText"/>
      </w:pPr>
      <w:r>
        <w:t>q does not get resampled or updated since it is nature’s “ground truth” probability</w:t>
      </w:r>
    </w:p>
  </w:comment>
  <w:comment w:id="4" w:author="Jin-Su" w:date="2017-06-04T19:28:00Z" w:initials="JS">
    <w:p w14:paraId="0EBCAD10" w14:textId="77777777" w:rsidR="000900D8" w:rsidRDefault="000900D8" w:rsidP="000900D8">
      <w:pPr>
        <w:pStyle w:val="CommentText"/>
        <w:rPr>
          <w:lang w:eastAsia="ko-KR"/>
        </w:rPr>
      </w:pPr>
      <w:r>
        <w:rPr>
          <w:rStyle w:val="CommentReference"/>
        </w:rPr>
        <w:annotationRef/>
      </w:r>
      <w:r>
        <w:rPr>
          <w:lang w:eastAsia="ko-KR"/>
        </w:rPr>
        <w:t>Is it a correct expression?</w:t>
      </w:r>
    </w:p>
    <w:p w14:paraId="7747F62E" w14:textId="77777777" w:rsidR="000900D8" w:rsidRDefault="000900D8" w:rsidP="000900D8">
      <w:pPr>
        <w:pStyle w:val="CommentText"/>
        <w:rPr>
          <w:lang w:eastAsia="ko-KR"/>
        </w:rPr>
      </w:pPr>
      <w:r>
        <w:rPr>
          <w:lang w:eastAsia="ko-KR"/>
        </w:rPr>
        <w:t xml:space="preserve">Probably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b</m:t>
            </m:r>
          </m:sup>
        </m:sSubSup>
        <m:r>
          <w:rPr>
            <w:rFonts w:ascii="Cambria Math" w:hAnsi="Cambria Math"/>
          </w:rPr>
          <m:t xml:space="preserve"> instead of I</m:t>
        </m:r>
      </m:oMath>
    </w:p>
  </w:comment>
  <w:comment w:id="5" w:author="Stephen Downing" w:date="2017-06-15T10:17:00Z" w:initials="JS">
    <w:p w14:paraId="1EBC4BD5" w14:textId="77777777" w:rsidR="000900D8" w:rsidRDefault="000900D8" w:rsidP="000900D8">
      <w:pPr>
        <w:pStyle w:val="CommentText"/>
      </w:pPr>
      <w:r>
        <w:rPr>
          <w:rStyle w:val="CommentReference"/>
        </w:rPr>
        <w:annotationRef/>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d>
          </m:sub>
        </m:sSub>
        <m:r>
          <w:rPr>
            <w:rFonts w:ascii="Cambria Math" w:hAnsi="Cambria Math"/>
          </w:rPr>
          <m:t xml:space="preserve">  </m:t>
        </m:r>
      </m:oMath>
      <w:r>
        <w:t xml:space="preserve"> is indicator </w:t>
      </w:r>
      <w:proofErr w:type="gramStart"/>
      <w:r>
        <w:t>function  =</w:t>
      </w:r>
      <w:proofErr w:type="gramEnd"/>
      <w:r>
        <w:t xml:space="preserve"> 1 if event  occurs or 0 if not</w:t>
      </w:r>
    </w:p>
  </w:comment>
  <w:comment w:id="6" w:author="Stephen Downing" w:date="2017-06-16T20:50:00Z" w:initials="SD">
    <w:p w14:paraId="38B5ED71" w14:textId="77777777" w:rsidR="000900D8" w:rsidRDefault="000900D8" w:rsidP="000900D8">
      <w:pPr>
        <w:pStyle w:val="CommentText"/>
      </w:pPr>
      <w:r>
        <w:rPr>
          <w:rStyle w:val="CommentReference"/>
        </w:rPr>
        <w:annotationRef/>
      </w:r>
      <w:r>
        <w:t xml:space="preserve">Change subscript </w:t>
      </w:r>
      <w:r>
        <w:rPr>
          <w:i/>
        </w:rPr>
        <w:t xml:space="preserve">k </w:t>
      </w:r>
      <w:r>
        <w:t>to subscript only for platform 1 (since 2 is not a game player)</w:t>
      </w:r>
    </w:p>
    <w:p w14:paraId="3662D155" w14:textId="77777777" w:rsidR="000900D8" w:rsidRDefault="000900D8" w:rsidP="000900D8">
      <w:pPr>
        <w:pStyle w:val="CommentText"/>
      </w:pPr>
    </w:p>
    <w:p w14:paraId="08057616" w14:textId="77777777" w:rsidR="000900D8" w:rsidRDefault="000900D8" w:rsidP="000900D8">
      <w:pPr>
        <w:pStyle w:val="CommentText"/>
      </w:pPr>
    </w:p>
  </w:comment>
  <w:comment w:id="7" w:author="Jin-Su" w:date="2017-06-04T19:28:00Z" w:initials="JS">
    <w:p w14:paraId="548FD30D" w14:textId="77777777" w:rsidR="000900D8" w:rsidRDefault="000900D8" w:rsidP="000900D8">
      <w:pPr>
        <w:pStyle w:val="CommentText"/>
        <w:rPr>
          <w:lang w:eastAsia="ko-KR"/>
        </w:rPr>
      </w:pPr>
      <w:r>
        <w:rPr>
          <w:rStyle w:val="CommentReference"/>
        </w:rPr>
        <w:annotationRef/>
      </w:r>
      <w:r>
        <w:rPr>
          <w:lang w:eastAsia="ko-KR"/>
        </w:rPr>
        <w:t>with t?</w:t>
      </w:r>
    </w:p>
  </w:comment>
  <w:comment w:id="8" w:author="Stephen Downing" w:date="2017-06-12T02:03:00Z" w:initials="SD">
    <w:p w14:paraId="2CA0883E" w14:textId="77777777" w:rsidR="000900D8" w:rsidRDefault="000900D8" w:rsidP="000900D8">
      <w:pPr>
        <w:pStyle w:val="CommentText"/>
      </w:pPr>
      <w:r>
        <w:rPr>
          <w:rStyle w:val="CommentReference"/>
        </w:rPr>
        <w:annotationRef/>
      </w:r>
      <w:r>
        <w:t xml:space="preserve">Briefly explain the two </w:t>
      </w:r>
      <w:r>
        <w:rPr>
          <w:i/>
        </w:rPr>
        <w:t>expectations</w:t>
      </w:r>
      <w:r>
        <w:t xml:space="preserve"> here are “integrating out” the two separate sources of uncertainty:  </w:t>
      </w:r>
    </w:p>
    <w:p w14:paraId="2597894B" w14:textId="77777777" w:rsidR="000900D8" w:rsidRDefault="000900D8" w:rsidP="000900D8">
      <w:pPr>
        <w:pStyle w:val="CommentText"/>
      </w:pPr>
      <w:r>
        <w:t>-</w:t>
      </w:r>
      <w:r>
        <w:tab/>
        <w:t>unknown types of “other buyers” b{-</w:t>
      </w:r>
      <w:proofErr w:type="spellStart"/>
      <w:r>
        <w:t>i</w:t>
      </w:r>
      <w:proofErr w:type="spellEnd"/>
      <w:r>
        <w:t xml:space="preserve">} </w:t>
      </w:r>
    </w:p>
    <w:p w14:paraId="417AC2C2" w14:textId="77777777" w:rsidR="000900D8" w:rsidRDefault="000900D8" w:rsidP="000900D8">
      <w:pPr>
        <w:pStyle w:val="CommentText"/>
      </w:pPr>
      <w:r>
        <w:t>-</w:t>
      </w:r>
      <w:r>
        <w:tab/>
        <w:t>and the platform’s strategy (stage 3) which hasn’t been chosen yet at the point when the buyer decides her strategy (stage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EBBEC" w15:done="0"/>
  <w15:commentEx w15:paraId="07AF42F2" w15:done="0"/>
  <w15:commentEx w15:paraId="6A3502E3" w15:done="0"/>
  <w15:commentEx w15:paraId="7747F62E" w15:done="0"/>
  <w15:commentEx w15:paraId="1EBC4BD5" w15:paraIdParent="7747F62E" w15:done="0"/>
  <w15:commentEx w15:paraId="08057616" w15:done="0"/>
  <w15:commentEx w15:paraId="548FD30D" w15:done="0"/>
  <w15:commentEx w15:paraId="417AC2C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4860D" w14:textId="77777777" w:rsidR="00844285" w:rsidRDefault="00844285" w:rsidP="000900D8">
      <w:pPr>
        <w:spacing w:after="0" w:line="240" w:lineRule="auto"/>
      </w:pPr>
      <w:r>
        <w:separator/>
      </w:r>
    </w:p>
  </w:endnote>
  <w:endnote w:type="continuationSeparator" w:id="0">
    <w:p w14:paraId="69432AE2" w14:textId="77777777" w:rsidR="00844285" w:rsidRDefault="00844285" w:rsidP="0009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51DEB" w14:textId="77777777" w:rsidR="00844285" w:rsidRDefault="00844285" w:rsidP="000900D8">
      <w:pPr>
        <w:spacing w:after="0" w:line="240" w:lineRule="auto"/>
      </w:pPr>
      <w:r>
        <w:separator/>
      </w:r>
    </w:p>
  </w:footnote>
  <w:footnote w:type="continuationSeparator" w:id="0">
    <w:p w14:paraId="3A25B3CE" w14:textId="77777777" w:rsidR="00844285" w:rsidRDefault="00844285" w:rsidP="000900D8">
      <w:pPr>
        <w:spacing w:after="0" w:line="240" w:lineRule="auto"/>
      </w:pPr>
      <w:r>
        <w:continuationSeparator/>
      </w:r>
    </w:p>
  </w:footnote>
  <w:footnote w:id="1">
    <w:p w14:paraId="1D8E7561" w14:textId="77777777" w:rsidR="000900D8" w:rsidRDefault="000900D8" w:rsidP="000900D8">
      <w:pPr>
        <w:pStyle w:val="FootnoteText"/>
      </w:pPr>
      <w:r>
        <w:rPr>
          <w:rStyle w:val="FootnoteReference"/>
        </w:rPr>
        <w:footnoteRef/>
      </w:r>
      <w:r>
        <w:t xml:space="preserve"> This size advantage impacts the value enjoyed by buyers through the extent of the platform’s variety of complementary goods and the strength of the market’s cross-group network effects </w:t>
      </w:r>
      <w:r>
        <w:fldChar w:fldCharType="begin" w:fldLock="1"/>
      </w:r>
      <w:r>
        <w:instrText>ADDIN CSL_CITATION { "citationItems" : [ { "id" : "ITEM-1", "itemData" : { "DOI" : "10.2307/2138538", "ISSN" : "08953309", "PMID" : "17746758", "abstract" : "Examines market competition between forming systems or collections of two or more components together with an interface that allows the components to work together. Direct network effects of communications systems; Indirect network effects of hardware/software paradigm; Market responses to the problems of network effects; Competition between incompatible systems; Compatibility choice.", "author" : [ { "dropping-particle" : "", "family" : "Katz", "given" : "Michael L", "non-dropping-particle" : "", "parse-names" : false, "suffix" : "" }, { "dropping-particle" : "", "family" : "Shapiro", "given" : "Carl", "non-dropping-particle" : "", "parse-names" : false, "suffix" : "" } ], "container-title" : "Journal of Economic Perspectives", "id" : "ITEM-1", "issue" : "2", "issued" : { "date-parts" : [ [ "1994" ] ] }, "page" : "93-115", "publisher" : "JSTOR", "title" : "Systems Competition and Network Effects", "type" : "article-journal", "volume" : "8" }, "uris" : [ "http://www.mendeley.com/documents/?uuid=e5868dbb-224f-43cc-a663-5f70486e8546" ] }, { "id" : "ITEM-2", "itemData" : { "DOI" : "10.1287/mksc.18.3.396", "ISSN" : "07322399", "abstract" : "The usefulness of a technology product for an end-user often depends on the availability of complementary software products and services. Computers require software, cameras require film, and DVD players require movie programming in order for customers to value the whole product. This phenomenon, where the demand for hardware products is mediated by the supply of complementary software products, is called an indirect network externality. Indirect network externalities create a two-way contingency between the demand for the hardware product and the supply of software products, and result in a strategic interdependence between the actions of hardware manufacturers and the actions of software providers. Indirect network externalities are gaining economic significance in technology markets, because hardware and software are typically provided by independent firms, and both sets of firms have an incentive to free- ride on each others' demand creation efforts. Despite the ubiquity of this phenomenon, it has largely been ignored in the marketing science literature. We present a conceptual and operational model for the evolution of markets with indirect network externalities. The key feature of our framework is to model the market-mediated dependence between the actions of hardware manufacturers and software complementors, created by the direct dependence of consumer demand for the whole product on the actions of manufacturers as well as complementors. In addition, we incorporate marketing-mix effects on consumer response, as well as heterogeneity in consumer preferences for hardware and software attributes. We model consumer response using a latent-class choice model. To estimate the complement or response functions, we use a modified Delphi technique that allows us to convert qualitative response data into quantitative response functions. We integrate the consumer and complement or response models to create a simulation model that generates forecasts of market shares and sales volumes for competing technologies, as a function of marketing-mix effects and exogenously specified regulatory scenarios. The modeling framework is of interest to new product modelers interested in creating empirical models and decision-support systems for forecasting demand in technology markets characterized by indirect network externalities. The decision-support aspects of the modeling framework should appeal to managers interested in understanding and quantifying the complex interp\u2026", "author" : [ { "dropping-particle" : "", "family" : "Gupta", "given" : "Sachin", "non-dropping-particle" : "", "parse-names" : false, "suffix" : "" }, { "dropping-particle" : "", "family" : "Jain", "given" : "Dipak C", "non-dropping-particle" : "", "parse-names" : false, "suffix" : "" }, { "dropping-particle" : "", "family" : "Sawhney", "given" : "Mohanbir S", "non-dropping-particle" : "", "parse-names" : false, "suffix" : "" } ], "container-title" : "Marketing Science", "id" : "ITEM-2", "issue" : "3", "issued" : { "date-parts" : [ [ "1999" ] ] }, "page" : "396-416", "publisher" : "INFORMS", "title" : "Modeling the Evolution of Markets with Indirect Network Externalities: An Application to Digital Television", "type" : "article-journal", "volume" : "18" }, "uris" : [ "http://www.mendeley.com/documents/?uuid=a3f0a68f-f191-4cef-a943-645973526b4f", "http://www.mendeley.com/documents/?uuid=4ed7dcb1-7e63-4a0e-8d6a-4e233d583e22", "http://www.mendeley.com/documents/?uuid=5f1a2934-78c4-442a-9cdc-5193fbd7bed0" ] }, { "id" : "ITEM-3", "itemData" : { "DOI" : "10.2139/ssrn.408280", "ISSN" : "15565068", "abstract" : "We present a framework to measure empirically the size of indirect network effects in high-technology markets with competing incompatible technology standards. These indirect network effects arise due to inter-dependence in demand for hardware and compatible software. By modeling the joint determination of hardware sales and software availability in the market, we are able to describe the nature of demand inter-dependence and to measure the size of the indirect network effects. We apply the model to price and sales data from the industry for personal digital assistants (PDAs) along with the availability of software titles compatible with each PDA hardware standard. Our empirical results indicate significant indirect network effects. By July 2002, the network effect explains roughly 22% of the log-odds ratio of the sales of all Palm O/S compatible PDA-s to Microsoft O/S compatible PDA-s, where the remaining 78% reflects price and model features. We also use our model estimates to study the growth of the installed bases of Palm and Microsoft PDA hardware, with and without the availability of compatible third party software. We find that lack of third party software negatively impacts the evolution of the installed hardware bases of both formats. These results suggest PDA hardware firms would benefit from investing resources in increasing the provision of software for their products. We then compare the benefits of investments in software with investments in the quality of hardware technology. This exercise helps disentangle the potential for incremental hardware sales due to hardware quality improvement from that of positive feedback due to market software provision. ABSTRACT FROM AUTHOR", "author" : [ { "dropping-particle" : "", "family" : "Nair", "given" : "Harikesh", "non-dropping-particle" : "", "parse-names" : false, "suffix" : "" }, { "dropping-particle" : "", "family" : "Chintagunta", "given" : "Pradeep K", "non-dropping-particle" : "", "parse-names" : false, "suffix" : "" }, { "dropping-particle" : "", "family" : "Dube", "given" : "Jean-Pierre H", "non-dropping-particle" : "", "parse-names" : false, "suffix" : "" } ], "container-title" : "Quantitative Marketing and Economics", "id" : "ITEM-3", "issue" : "1", "issued" : { "date-parts" : [ [ "2004" ] ] }, "page" : "23-58", "publisher" : "Springer", "title" : "Empirical Analysis of Indirect Network Effects in the Market for Personal Digital Assistants", "type" : "article-journal", "volume" : "2" }, "uris" : [ "http://www.mendeley.com/documents/?uuid=d9ec76a9-4808-4471-9583-081d3d97759f" ] } ], "mendeley" : { "formattedCitation" : "(Sachin Gupta, Jain, &amp; Sawhney, 1999; Katz &amp; Shapiro, 1994; Nair et al., 2004)", "manualFormatting" : "(e.g., Gupta, Jain, &amp; Sawhney, 1999; Katz &amp; Shapiro, 1994; Nair et al., 2004)", "plainTextFormattedCitation" : "(Sachin Gupta, Jain, &amp; Sawhney, 1999; Katz &amp; Shapiro, 1994; Nair et al., 2004)", "previouslyFormattedCitation" : "(Sachin Gupta, Jain, &amp; Sawhney, 1999; Katz &amp; Shapiro, 1994; Nair et al., 2004)" }, "properties" : { "noteIndex" : 0 }, "schema" : "https://github.com/citation-style-language/schema/raw/master/csl-citation.json" }</w:instrText>
      </w:r>
      <w:r>
        <w:fldChar w:fldCharType="separate"/>
      </w:r>
      <w:r>
        <w:rPr>
          <w:noProof/>
        </w:rPr>
        <w:t>(e.g., Gupta, Jain, &amp; Sawhney, 1999; Katz &amp; Shapiro, 1994; Nair et al., 2004)</w:t>
      </w:r>
      <w:r>
        <w:fldChar w:fldCharType="end"/>
      </w:r>
      <w:r>
        <w:t>. This is explored in more detail in Section 4.</w:t>
      </w:r>
    </w:p>
  </w:footnote>
  <w:footnote w:id="2">
    <w:p w14:paraId="7D39C91A" w14:textId="77777777" w:rsidR="000900D8" w:rsidRDefault="000900D8" w:rsidP="000900D8">
      <w:pPr>
        <w:spacing w:line="240" w:lineRule="auto"/>
      </w:pPr>
      <w:r>
        <w:rPr>
          <w:rStyle w:val="FootnoteReference"/>
        </w:rPr>
        <w:footnoteRef/>
      </w:r>
      <w:r>
        <w:t xml:space="preserve"> </w:t>
      </w:r>
      <w:r>
        <w:rPr>
          <w:sz w:val="20"/>
          <w:szCs w:val="20"/>
        </w:rPr>
        <w:t xml:space="preserve">This is preferable to other representations of product differentiation, e.g., Hotelling’s linear city </w:t>
      </w:r>
      <w:r>
        <w:rPr>
          <w:sz w:val="20"/>
          <w:szCs w:val="20"/>
        </w:rPr>
        <w:fldChar w:fldCharType="begin" w:fldLock="1"/>
      </w:r>
      <w:r>
        <w:rPr>
          <w:sz w:val="20"/>
          <w:szCs w:val="20"/>
        </w:rPr>
        <w:instrText>ADDIN CSL_CITATION { "citationItems" : [ { "id" : "ITEM-1", "itemData" : { "DOI" : "10.1007/978-1-4613-8905-7_4", "ISBN" : "00130133", "ISSN" : "00130133", "PMID" : "2224214", "abstract" : "Hotelling, H. (1929) Stability in competition, Economic Journal, 39, pp. 41-57.", "author" : [ { "dropping-particle" : "", "family" : "Hotelling", "given" : "Harold", "non-dropping-particle" : "", "parse-names" : false, "suffix" : "" } ], "container-title" : "Economic Journal", "id" : "ITEM-1", "issue" : "153", "issued" : { "date-parts" : [ [ "1929" ] ] }, "page" : "41-57", "title" : "Stability in competition", "type" : "article", "volume" : "39" }, "uris" : [ "http://www.mendeley.com/documents/?uuid=e26df656-73c9-441a-b80c-5bc9bfd9bb9c" ] } ], "mendeley" : { "formattedCitation" : "(Hotelling, 1929)", "manualFormatting" : "(1929)", "plainTextFormattedCitation" : "(Hotelling, 1929)", "previouslyFormattedCitation" : "(Hotelling, 1929)" }, "properties" : { "noteIndex" : 0 }, "schema" : "https://github.com/citation-style-language/schema/raw/master/csl-citation.json" }</w:instrText>
      </w:r>
      <w:r>
        <w:rPr>
          <w:sz w:val="20"/>
          <w:szCs w:val="20"/>
        </w:rPr>
        <w:fldChar w:fldCharType="separate"/>
      </w:r>
      <w:r>
        <w:rPr>
          <w:noProof/>
          <w:sz w:val="20"/>
          <w:szCs w:val="20"/>
        </w:rPr>
        <w:t>(1929)</w:t>
      </w:r>
      <w:r>
        <w:rPr>
          <w:sz w:val="20"/>
          <w:szCs w:val="20"/>
        </w:rPr>
        <w:fldChar w:fldCharType="end"/>
      </w:r>
      <w:r>
        <w:rPr>
          <w:sz w:val="20"/>
          <w:szCs w:val="20"/>
        </w:rPr>
        <w:t xml:space="preserve">, for our demand-side examination of CSR for several reasons.  Based on McFadden’s random utility model (RUM), the conditional logit is widely applied in marketing for discrete choice of qualitative attributes and hedonic consumption </w:t>
      </w:r>
      <w:r>
        <w:rPr>
          <w:sz w:val="20"/>
          <w:szCs w:val="20"/>
        </w:rPr>
        <w:fldChar w:fldCharType="begin" w:fldLock="1"/>
      </w:r>
      <w:r>
        <w:rPr>
          <w:sz w:val="20"/>
          <w:szCs w:val="20"/>
        </w:rPr>
        <w:instrText>ADDIN CSL_CITATION { "citationItems" : [ { "id" : "ITEM-1", "itemData" : { "DOI" : "10.1016/j.jebo.2010.07.007", "ISSN" : "01672681", "author" : [ { "dropping-particle" : "", "family" : "Gretz", "given" : "Richard T", "non-dropping-particle" : "", "parse-names" : false, "suffix" : "" } ], "container-title" : "Journal of Economic Behavior &amp; Organization", "id" : "ITEM-1", "issue" : "2", "issued" : { "date-parts" : [ [ "2010" ] ] }, "page" : "168-183", "publisher" : "Elsevier B.V.", "title" : "Hardware quality vs. network size in the home video game industry", "type" : "article-journal", "volume" : "76" }, "uris" : [ "http://www.mendeley.com/documents/?uuid=2819d3f1-7d1f-4a95-9493-f777bd7599ea" ] }, { "id" : "ITEM-2", "itemData" : { "DOI" : "10.2307/3172945", "ISBN" : "00222437", "ISSN" : "00222437", "PMID" : "5004154", "abstract" : "he effectiveness of a sales promotion can be examined by decomposing the sales \"bump\" during the promotion period into sales increase due to brand switching, purchase time acceleration, and stockpiling. The author proposes a method for such a decomposition whereby brand sales are considered the result of consumer decisions about when, what, and How much to buy. The impact of marketing variables on these three consumer decisions is captured by an Erlang-2 interpurchase time model, a multinomial logit model of brand choice, and a cumulative logit model of purchase quantity. The models are estimated with IRI scanner panel data for regular ground coffee. The results indicate that more than 84% of the sales increase due to promotion comes from brand switching (a very small part of which may be switching between different sizes of the same brand). Purchase acceleration in time accounts for less than 14% of the sales increase, whereas stockpiling due to promotion is a negligible phenomenon accounting for less than 2% of the sales increase", "author" : [ { "dropping-particle" : "", "family" : "Gupta", "given" : "Sunil", "non-dropping-particle" : "", "parse-names" : false, "suffix" : "" } ], "container-title" : "Journal of Marketing Research", "id" : "ITEM-2", "issue" : "4", "issued" : { "date-parts" : [ [ "1988" ] ] }, "page" : "342-355", "title" : "Impact of sales promotions on when, what, and how much to buy", "type" : "article-journal", "volume" : "25" }, "uris" : [ "http://www.mendeley.com/documents/?uuid=58be44a3-7609-44b1-9439-1aa1307bb181" ] }, { "id" : "ITEM-3", "itemData" : { "DOI" : "10.1287/mksc.2.3.203", "ISBN" : "0732-2399", "ISSN" : "0732-2399", "PMID" : "184043", "abstract" : "A multinomial logit model of brand choice, calibrated on 32 weeks of purchases of regular ground coffee by 100 households, shows high statistical significance for the explanatory variables of brand loyalty, size loyalty, presence/absence of store promotion, regular shelf price and promotional price cut. The model is parsimonious in that the coefficients of these variables are modeled to be the same for all coffee brand-sizes. The calibrated model predicts remarkably well the share of purchases by brand-size in a hold-out sample of 100 households over the 32-week calibration period and a subsequent 20-week forecast period. The success of the model is attributed in part to the level of detail and completeness of the household panel data employed, which has been collected through optical scanning of the Universal Product Code in supermarkets. Three short-term market response measures are calculated from the model: regular (depromoted) price elasticity of share, percent increase in share for a promotion with a median price cut, and promotional price cut elasticity of share. Response varies across brand-sizes in a systematic way with large share brand-sizes showing less response in percentage terms but greater in absolute terms. On the basis of the model a quantitative picture emerges of groups of loyal customers who are relatively insensitive to marketing actions and a pool of switchers who are quite sensitive. ABSTRACT FROM AUTHOR Copyright of Marketing Science is the property of INFORMS: Institute for Operations Research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 multinomial logit model of brand choice, calibrated on 32 weeks of purchases of regular ground coffee by 100 households, shows high statistical significance for the explanatory variables of brand loyalty, size loyalty, presence/absence of store promotion, regular shelf price and promotional price cut. The model is parsimonious in that the coefficients of these variables are modeled to be the same for all coffee brand-sizes. The calibrated model predicts remarkably well the share of purchases by brand-size in a h\u2026", "author" : [ { "dropping-particle" : "", "family" : "Guadagni", "given" : "P. M.", "non-dropping-particle" : "", "parse-names" : false, "suffix" : "" }, { "dropping-particle" : "", "family" : "Little", "given" : "J. D. C.", "non-dropping-particle" : "", "parse-names" : false, "suffix" : "" } ], "container-title" : "Marketing Science", "id" : "ITEM-3", "issue" : "3", "issued" : { "date-parts" : [ [ "1983" ] ] }, "page" : "203-238", "title" : "A Logit Model of Brand Choice Calibrated on Scanner Data", "type" : "article-journal", "volume" : "2" }, "uris" : [ "http://www.mendeley.com/documents/?uuid=87a0d89b-96ec-435d-9c43-b6b3e0af758a", "http://www.mendeley.com/documents/?uuid=86e35890-aa89-4008-86e8-957642eeb36c", "http://www.mendeley.com/documents/?uuid=7b38da25-84ef-4ee1-b79b-4e5ca64c700d" ] } ], "mendeley" : { "formattedCitation" : "(Gretz, 2010; Guadagni &amp; Little, 1983; Sunil Gupta, 1988)", "manualFormatting" : "(e.g., Gretz, 2010; Guadagni &amp; Little, 1983; Gupta, 1988)", "plainTextFormattedCitation" : "(Gretz, 2010; Guadagni &amp; Little, 1983; Sunil Gupta, 1988)", "previouslyFormattedCitation" : "(Gretz, 2010; Guadagni &amp; Little, 1983; Sunil Gupta, 1988)" }, "properties" : { "noteIndex" : 0 }, "schema" : "https://github.com/citation-style-language/schema/raw/master/csl-citation.json" }</w:instrText>
      </w:r>
      <w:r>
        <w:rPr>
          <w:sz w:val="20"/>
          <w:szCs w:val="20"/>
        </w:rPr>
        <w:fldChar w:fldCharType="separate"/>
      </w:r>
      <w:r>
        <w:rPr>
          <w:noProof/>
          <w:sz w:val="20"/>
          <w:szCs w:val="20"/>
        </w:rPr>
        <w:t>(e.g., Gretz, 2010; Guadagni &amp; Little, 1983; Gupta, 1988)</w:t>
      </w:r>
      <w:r>
        <w:rPr>
          <w:sz w:val="20"/>
          <w:szCs w:val="20"/>
        </w:rPr>
        <w:fldChar w:fldCharType="end"/>
      </w:r>
      <w:r>
        <w:rPr>
          <w:sz w:val="20"/>
          <w:szCs w:val="20"/>
        </w:rPr>
        <w:t xml:space="preserve"> , and is therefore aptly suited for our consumer signaling.  Additionally, it has the advantage of allowing for extensions to </w:t>
      </w:r>
      <m:oMath>
        <m:r>
          <w:rPr>
            <w:rFonts w:ascii="Cambria Math" w:hAnsi="Cambria Math"/>
            <w:sz w:val="20"/>
            <w:szCs w:val="20"/>
          </w:rPr>
          <m:t>n</m:t>
        </m:r>
      </m:oMath>
      <w:r>
        <w:rPr>
          <w:sz w:val="20"/>
          <w:szCs w:val="20"/>
        </w:rPr>
        <w:t>-product (</w:t>
      </w:r>
      <m:oMath>
        <m:r>
          <w:rPr>
            <w:rFonts w:ascii="Cambria Math" w:hAnsi="Cambria Math"/>
            <w:sz w:val="20"/>
            <w:szCs w:val="20"/>
          </w:rPr>
          <m:t>n</m:t>
        </m:r>
      </m:oMath>
      <w:r>
        <w:rPr>
          <w:sz w:val="20"/>
          <w:szCs w:val="20"/>
        </w:rPr>
        <w:t xml:space="preserve">-firm, </w:t>
      </w:r>
      <m:oMath>
        <m:r>
          <w:rPr>
            <w:rFonts w:ascii="Cambria Math" w:hAnsi="Cambria Math"/>
            <w:sz w:val="20"/>
            <w:szCs w:val="20"/>
          </w:rPr>
          <m:t>n</m:t>
        </m:r>
      </m:oMath>
      <w:r>
        <w:rPr>
          <w:sz w:val="20"/>
          <w:szCs w:val="20"/>
        </w:rPr>
        <w:t xml:space="preserve">-platform, etc.) choice scenarios through multinomial or nested logit </w:t>
      </w:r>
      <w:r>
        <w:rPr>
          <w:sz w:val="20"/>
          <w:szCs w:val="20"/>
        </w:rPr>
        <w:fldChar w:fldCharType="begin" w:fldLock="1"/>
      </w:r>
      <w:r>
        <w:rPr>
          <w:sz w:val="20"/>
          <w:szCs w:val="20"/>
        </w:rPr>
        <w:instrText>ADDIN CSL_CITATION { "citationItems" : [ { "id" : "ITEM-1", "itemData" : { "author" : [ { "dropping-particle" : "", "family" : "Hausman", "given" : "Jerry", "non-dropping-particle" : "", "parse-names" : false, "suffix" : "" }, { "dropping-particle" : "", "family" : "Mcfadden", "given" : "Daniel", "non-dropping-particle" : "", "parse-names" : false, "suffix" : "" } ], "container-title" : "Econometrica", "id" : "ITEM-1", "issue" : "5", "issued" : { "date-parts" : [ [ "1984" ] ] }, "page" : "1219-1240", "title" : "Specification Tests for the Multinomial Logit Model", "type" : "article-journal", "volume" : "52" }, "uris" : [ "http://www.mendeley.com/documents/?uuid=0f8fec12-6631-4c4e-920b-ec62228756bc" ] } ], "mendeley" : { "formattedCitation" : "(Hausman &amp; Mcfadden, 1984)", "plainTextFormattedCitation" : "(Hausman &amp; Mcfadden, 1984)", "previouslyFormattedCitation" : "(Hausman &amp; Mcfadden, 1984)" }, "properties" : { "noteIndex" : 0 }, "schema" : "https://github.com/citation-style-language/schema/raw/master/csl-citation.json" }</w:instrText>
      </w:r>
      <w:r>
        <w:rPr>
          <w:sz w:val="20"/>
          <w:szCs w:val="20"/>
        </w:rPr>
        <w:fldChar w:fldCharType="separate"/>
      </w:r>
      <w:r>
        <w:rPr>
          <w:noProof/>
          <w:sz w:val="20"/>
          <w:szCs w:val="20"/>
        </w:rPr>
        <w:t>(Hausman &amp; Mcfadden, 1984)</w:t>
      </w:r>
      <w:r>
        <w:rPr>
          <w:sz w:val="20"/>
          <w:szCs w:val="20"/>
        </w:rPr>
        <w:fldChar w:fldCharType="end"/>
      </w:r>
      <w:r>
        <w:rPr>
          <w:sz w:val="20"/>
          <w:szCs w:val="20"/>
        </w:rPr>
        <w:t xml:space="preserve">, and following Berry’s </w:t>
      </w:r>
      <w:r>
        <w:rPr>
          <w:sz w:val="20"/>
          <w:szCs w:val="20"/>
        </w:rPr>
        <w:fldChar w:fldCharType="begin" w:fldLock="1"/>
      </w:r>
      <w:r>
        <w:rPr>
          <w:sz w:val="20"/>
          <w:szCs w:val="20"/>
        </w:rPr>
        <w:instrText>ADDIN CSL_CITATION { "citationItems" : [ { "id" : "ITEM-1", "itemData" : { "ISBN" : "1367556031", "ISSN" : "07416261", "abstract" : "This article considers the problem of \"supply-and-demand\" analysis on a cross section of oligopoly markets with differentiated products. The primary methodology is to assume that demand can be described by a discrete-choice model and that prices are endogenously determined by price-setting firms. In contrast to some previous empirical work, the techniques explicitly allow for the possibility that prices are correlated with unobserved demand factors in the cross section of markets. The article proposes estimation by \"inverting\" the market- share equation to find the implied mean levels of utility for each good. This method allows for estimation by traditional instrumental variables techniques.", "author" : [ { "dropping-particle" : "", "family" : "Berry", "given" : "Steven T", "non-dropping-particle" : "", "parse-names" : false, "suffix" : "" } ], "container-title" : "The RAND Journal of Economics", "id" : "ITEM-1", "issue" : "2", "issued" : { "date-parts" : [ [ "1994" ] ] }, "page" : "242-262", "publisher" : "JSTOR", "title" : "Estimating discrete-choice models of product differentiation", "type" : "article-journal", "volume" : "25" }, "uris" : [ "http://www.mendeley.com/documents/?uuid=413790ad-ab6f-477e-87cf-800742cfe7c6" ] } ], "mendeley" : { "formattedCitation" : "(Berry, 1994)", "manualFormatting" : "(1994)", "plainTextFormattedCitation" : "(Berry, 1994)", "previouslyFormattedCitation" : "(Berry, 1994)" }, "properties" : { "noteIndex" : 0 }, "schema" : "https://github.com/citation-style-language/schema/raw/master/csl-citation.json" }</w:instrText>
      </w:r>
      <w:r>
        <w:rPr>
          <w:sz w:val="20"/>
          <w:szCs w:val="20"/>
        </w:rPr>
        <w:fldChar w:fldCharType="separate"/>
      </w:r>
      <w:r>
        <w:rPr>
          <w:noProof/>
          <w:sz w:val="20"/>
          <w:szCs w:val="20"/>
        </w:rPr>
        <w:t>(1994)</w:t>
      </w:r>
      <w:r>
        <w:rPr>
          <w:sz w:val="20"/>
          <w:szCs w:val="20"/>
        </w:rPr>
        <w:fldChar w:fldCharType="end"/>
      </w:r>
      <w:r>
        <w:rPr>
          <w:sz w:val="20"/>
          <w:szCs w:val="20"/>
        </w:rPr>
        <w:t xml:space="preserve"> empirical specifications, it has been widely applied in estimation of network effects in platform competition </w:t>
      </w:r>
      <w:r>
        <w:rPr>
          <w:sz w:val="20"/>
          <w:szCs w:val="20"/>
        </w:rPr>
        <w:fldChar w:fldCharType="begin" w:fldLock="1"/>
      </w:r>
      <w:r>
        <w:rPr>
          <w:sz w:val="20"/>
          <w:szCs w:val="20"/>
        </w:rPr>
        <w:instrText>ADDIN CSL_CITATION { "citationItems" : [ { "id" : "ITEM-1", "itemData" : { "DOI" : "10.2139/ssrn.408280", "ISSN" : "15565068", "abstract" : "We present a framework to measure empirically the size of indirect network effects in high-technology markets with competing incompatible technology standards. These indirect network effects arise due to inter-dependence in demand for hardware and compatible software. By modeling the joint determination of hardware sales and software availability in the market, we are able to describe the nature of demand inter-dependence and to measure the size of the indirect network effects. We apply the model to price and sales data from the industry for personal digital assistants (PDAs) along with the availability of software titles compatible with each PDA hardware standard. Our empirical results indicate significant indirect network effects. By July 2002, the network effect explains roughly 22% of the log-odds ratio of the sales of all Palm O/S compatible PDA-s to Microsoft O/S compatible PDA-s, where the remaining 78% reflects price and model features. We also use our model estimates to study the growth of the installed bases of Palm and Microsoft PDA hardware, with and without the availability of compatible third party software. We find that lack of third party software negatively impacts the evolution of the installed hardware bases of both formats. These results suggest PDA hardware firms would benefit from investing resources in increasing the provision of software for their products. We then compare the benefits of investments in software with investments in the quality of hardware technology. This exercise helps disentangle the potential for incremental hardware sales due to hardware quality improvement from that of positive feedback due to market software provision. ABSTRACT FROM AUTHOR", "author" : [ { "dropping-particle" : "", "family" : "Nair", "given" : "Harikesh", "non-dropping-particle" : "", "parse-names" : false, "suffix" : "" }, { "dropping-particle" : "", "family" : "Chintagunta", "given" : "Pradeep K", "non-dropping-particle" : "", "parse-names" : false, "suffix" : "" }, { "dropping-particle" : "", "family" : "Dube", "given" : "Jean-Pierre H", "non-dropping-particle" : "", "parse-names" : false, "suffix" : "" } ], "container-title" : "Quantitative Marketing and Economics", "id" : "ITEM-1", "issue" : "1", "issued" : { "date-parts" : [ [ "2004" ] ] }, "page" : "23-58", "publisher" : "Springer", "title" : "Empirical Analysis of Indirect Network Effects in the Market for Personal Digital Assistants", "type" : "article-journal", "volume" : "2" }, "uris" : [ "http://www.mendeley.com/documents/?uuid=d9ec76a9-4808-4471-9583-081d3d97759f" ] }, { "id" : "ITEM-2", "itemData" : { "DOI" : "10.1002/smj.941", "ISSN" : "1097-0266", "abstract" : "This paper examines the relative importance of platform quality, indirect network effects, and consumer expectations on the success of entrants in platform-based markets. We develop a theoretical model and find that an entrant's success depends on the strength of indirect network effects and on the consumers' discount factor for future applications. We then illustrate the model's applicability by examining Xbox's entry into the video game industry. We find that Xbox had a small quality advantage over the incumbent, PlayStation 2, and the strength of indirect network effects and the consumers' discount factor, while statistically significant, fall in the region where PlayStation 2's position is unsustainable. Copyright \u00a9 2012 John Wiley &amp; Sons, Ltd.", "author" : [ { "dropping-particle" : "", "family" : "Zhu", "given" : "Feng", "non-dropping-particle" : "", "parse-names" : false, "suffix" : "" }, { "dropping-particle" : "", "family" : "Iansiti", "given" : "Marco", "non-dropping-particle" : "", "parse-names" : false, "suffix" : "" } ], "container-title" : "Strategic Management Journal", "id" : "ITEM-2", "issue" : "1", "issued" : { "date-parts" : [ [ "2012", "1" ] ] }, "language" : "en", "page" : "88-106", "title" : "Entry into platform-based markets", "type" : "article-journal", "volume" : "33" }, "uris" : [ "http://www.mendeley.com/documents/?uuid=2931ad5e-b0aa-4bdc-bd41-77a3f2f03c4c" ] }, { "id" : "ITEM-3", "itemData" : { "DOI" : "10.1016/j.techfore.2014.09.008", "ISSN" : "0040-1625", "abstract" : "We investigate a market entry scenario where a technologically-superior new platform may overcomeits installed base disadvantagewith the backing of a strong keystone species advantage within the business ecosystem, called keystone effect in this study, over an incumbent in amarket that exhibits indirect network effects. The strength of the keystone species impacts the availability of complementary goods, which is a key factor for a platform to increase its installed base. This study proposes a dynamic economic model to map a market landscape that shows the internal condition (entrant's keystone effect) and external conditions (incumbent's keystone effect and indirect network effects) under which a new platform can successfully enter (i.e., maintain oligopoly ormonopoly share) or fail to enter atwo-sidedmarket in a winner-take-all scenario.We then illustrate the model's applicability by examining the entry ofWorldwide Interoperability for Microwave Access (WiMAX) into the global mobile telecommunications market, employing recentmarket data from2009 to 2012 aswell as forecast scenario data from2010 to 2014. In both the historical data and hypothetical forecast scenario we find that WiMAX's keystone effect disadvantage and the market's indirect network effects were cumulatively strong enough to prevent the new technology standard from successfully competing with the incumbent (cellular 3G and Long Term Evolution) for oligopoly or monopoly share in the long run.", "author" : [ { "dropping-particle" : "", "family" : "Kang", "given" : "Jin-Su", "non-dropping-particle" : "", "parse-names" : false, "suffix" : "" }, { "dropping-particle" : "", "family" : "Downing", "given" : "Stephen", "non-dropping-particle" : "", "parse-names" : false, "suffix" : "" } ], "container-title" : "Technological Forecasting &amp; Social Change", "id" : "ITEM-3", "issued" : { "date-parts" : [ [ "2015" ] ] }, "page" : "170-186", "publisher" : "Elsevier Inc.", "title" : "Keystone effect on entry into two-sided markets: An analysis of the market entry of WiMAX", "type" : "article-journal", "volume" : "94" }, "uris" : [ "http://www.mendeley.com/documents/?uuid=7166a111-4847-49c6-8432-a08b87351e7d" ] } ], "mendeley" : { "formattedCitation" : "(Kang &amp; Downing, 2015; Nair et al., 2004; Zhu &amp; Iansiti, 2012)", "manualFormatting" : "(e.g., Kang &amp; Downing, 2015a; Nair, Chintagunta, &amp; Dube, 2004; Zhu &amp; Iansiti, 2012)", "plainTextFormattedCitation" : "(Kang &amp; Downing, 2015; Nair et al., 2004; Zhu &amp; Iansiti, 2012)", "previouslyFormattedCitation" : "(Kang &amp; Downing, 2015; Nair et al., 2004; Zhu &amp; Iansiti, 2012)" }, "properties" : { "noteIndex" : 0 }, "schema" : "https://github.com/citation-style-language/schema/raw/master/csl-citation.json" }</w:instrText>
      </w:r>
      <w:r>
        <w:rPr>
          <w:sz w:val="20"/>
          <w:szCs w:val="20"/>
        </w:rPr>
        <w:fldChar w:fldCharType="separate"/>
      </w:r>
      <w:r>
        <w:rPr>
          <w:noProof/>
          <w:sz w:val="20"/>
          <w:szCs w:val="20"/>
        </w:rPr>
        <w:t>(e.g., Kang &amp; Downing, 2015a; Nair, Chintagunta, &amp; Dube, 2004; Zhu &amp; Iansiti, 2012)</w:t>
      </w:r>
      <w:r>
        <w:rPr>
          <w:sz w:val="20"/>
          <w:szCs w:val="20"/>
        </w:rPr>
        <w:fldChar w:fldCharType="end"/>
      </w:r>
      <w:r>
        <w:rPr>
          <w:sz w:val="20"/>
          <w:szCs w:val="20"/>
        </w:rPr>
        <w:t>.</w:t>
      </w:r>
    </w:p>
  </w:footnote>
  <w:footnote w:id="3">
    <w:p w14:paraId="2CE4D37F" w14:textId="77777777" w:rsidR="000900D8" w:rsidRDefault="000900D8" w:rsidP="000900D8">
      <w:pPr>
        <w:pStyle w:val="FootnoteText"/>
      </w:pPr>
      <w:r>
        <w:rPr>
          <w:rStyle w:val="FootnoteReference"/>
        </w:rPr>
        <w:footnoteRef/>
      </w:r>
      <w:r>
        <w:t xml:space="preserve"> Besides the number of buyers voting with the wallet, different signals could be modelled differently. For example, buyers choosing between </w:t>
      </w:r>
      <m:oMath>
        <m:r>
          <w:rPr>
            <w:rFonts w:ascii="Cambria Math" w:hAnsi="Cambria Math"/>
          </w:rPr>
          <m:t>K&gt;2</m:t>
        </m:r>
      </m:oMath>
      <w:r>
        <w:t xml:space="preserve"> platforms could use a Dirichlet-multinomial distribution, or purchase quantities (i.e., count values) could be modelled with a Poisson-Gamma distribution, etc.</w:t>
      </w:r>
    </w:p>
  </w:footnote>
  <w:footnote w:id="4">
    <w:p w14:paraId="61927C16" w14:textId="77777777" w:rsidR="000900D8" w:rsidRDefault="000900D8" w:rsidP="000900D8">
      <w:pPr>
        <w:pStyle w:val="FootnoteText"/>
      </w:pPr>
      <w:r>
        <w:rPr>
          <w:rStyle w:val="FootnoteReference"/>
        </w:rPr>
        <w:footnoteRef/>
      </w:r>
      <w:r>
        <w:t xml:space="preserve"> The posterior probability </w:t>
      </w:r>
      <m:oMath>
        <m:sSubSup>
          <m:sSubSupPr>
            <m:ctrlPr>
              <w:rPr>
                <w:rFonts w:ascii="Cambria Math" w:hAnsi="Cambria Math"/>
                <w:i/>
              </w:rPr>
            </m:ctrlPr>
          </m:sSubSupPr>
          <m:e>
            <m:r>
              <w:rPr>
                <w:rFonts w:ascii="Cambria Math" w:hAnsi="Cambria Math"/>
              </w:rPr>
              <m:t>q</m:t>
            </m:r>
          </m:e>
          <m:sub>
            <m:r>
              <w:rPr>
                <w:rFonts w:ascii="Cambria Math" w:hAnsi="Cambria Math"/>
              </w:rPr>
              <m:t>t</m:t>
            </m:r>
          </m:sub>
          <m:sup>
            <m:r>
              <w:rPr>
                <w:rFonts w:ascii="Cambria Math" w:hAnsi="Cambria Math"/>
              </w:rPr>
              <m:t>post</m:t>
            </m:r>
          </m:sup>
        </m:sSubSup>
      </m:oMath>
      <w:r>
        <w:t xml:space="preserve"> is a distribution capturing the platform’s remaining uncertainty of the market’s proportion of hedonic buyers after observing them vote with the wallet or abstain. To make a strategy decision, the platform needs a point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t</m:t>
            </m:r>
          </m:sub>
        </m:sSub>
      </m:oMath>
      <w:r>
        <w:t>), in this case a policy that maps from the space of probability di</w:t>
      </w:r>
      <w:proofErr w:type="spellStart"/>
      <w:r>
        <w:t>stributions</w:t>
      </w:r>
      <w:proofErr w:type="spellEnd"/>
      <w:r>
        <w:t xml:space="preserve"> in the support of </w:t>
      </w:r>
      <m:oMath>
        <m:sSubSup>
          <m:sSubSupPr>
            <m:ctrlPr>
              <w:rPr>
                <w:rFonts w:ascii="Cambria Math" w:hAnsi="Cambria Math"/>
                <w:i/>
              </w:rPr>
            </m:ctrlPr>
          </m:sSubSupPr>
          <m:e>
            <m:r>
              <w:rPr>
                <w:rFonts w:ascii="Cambria Math" w:hAnsi="Cambria Math"/>
              </w:rPr>
              <m:t>q</m:t>
            </m:r>
          </m:e>
          <m:sub>
            <m:r>
              <w:rPr>
                <w:rFonts w:ascii="Cambria Math" w:hAnsi="Cambria Math"/>
              </w:rPr>
              <m:t>t</m:t>
            </m:r>
          </m:sub>
          <m:sup>
            <m:r>
              <w:rPr>
                <w:rFonts w:ascii="Cambria Math" w:hAnsi="Cambria Math"/>
              </w:rPr>
              <m:t>post</m:t>
            </m:r>
          </m:sup>
        </m:sSubSup>
      </m:oMath>
      <w:r>
        <w:t xml:space="preserve"> to the real numbers. In decision-theoretic policy selection, the agent would first determine its loss function -- that is, the cost of choosing its CSR strategy incorrectly -- and then choose the point estimate that minimizes the expected loss. Some point estimates to minimize common loss functions are the mean for squared loss, median for linear loss, and mode for binary loss. If we utilize the mean point estimate, then given that the posterior distribution of buyer types follows a beta-binomial distribution, this yields by definition </w:t>
      </w:r>
      <m:oMath>
        <m:r>
          <w:rPr>
            <w:rFonts w:ascii="Cambria Math" w:hAnsi="Cambria Math"/>
            <w:color w:val="000000" w:themeColor="text1"/>
          </w:rPr>
          <m:t xml:space="preserve"> </m:t>
        </m:r>
        <m:acc>
          <m:accPr>
            <m:ctrlPr>
              <w:rPr>
                <w:rFonts w:ascii="Cambria Math" w:hAnsi="Cambria Math"/>
                <w:i/>
                <w:color w:val="000000" w:themeColor="text1"/>
                <w:szCs w:val="19"/>
                <w:shd w:val="clear" w:color="auto" w:fill="FFFFFF"/>
              </w:rPr>
            </m:ctrlPr>
          </m:accPr>
          <m:e>
            <m:sSub>
              <m:sSubPr>
                <m:ctrlPr>
                  <w:rPr>
                    <w:rFonts w:ascii="Cambria Math" w:hAnsi="Cambria Math"/>
                    <w:i/>
                    <w:color w:val="000000" w:themeColor="text1"/>
                    <w:szCs w:val="19"/>
                    <w:shd w:val="clear" w:color="auto" w:fill="FFFFFF"/>
                  </w:rPr>
                </m:ctrlPr>
              </m:sSubPr>
              <m:e>
                <m:r>
                  <w:rPr>
                    <w:rFonts w:ascii="Cambria Math" w:hAnsi="Cambria Math"/>
                    <w:color w:val="000000" w:themeColor="text1"/>
                    <w:szCs w:val="19"/>
                    <w:shd w:val="clear" w:color="auto" w:fill="FFFFFF"/>
                  </w:rPr>
                  <m:t>q</m:t>
                </m:r>
              </m:e>
              <m:sub>
                <m:r>
                  <w:rPr>
                    <w:rFonts w:ascii="Cambria Math" w:hAnsi="Cambria Math"/>
                    <w:color w:val="000000" w:themeColor="text1"/>
                    <w:szCs w:val="19"/>
                    <w:shd w:val="clear" w:color="auto" w:fill="FFFFFF"/>
                  </w:rPr>
                  <m:t>t</m:t>
                </m:r>
              </m:sub>
            </m:sSub>
            <m:ctrlPr>
              <w:rPr>
                <w:rFonts w:ascii="Cambria Math" w:hAnsi="Cambria Math"/>
                <w:i/>
                <w:color w:val="000000" w:themeColor="text1"/>
              </w:rPr>
            </m:ctrlPr>
          </m:e>
        </m:acc>
        <m:r>
          <w:rPr>
            <w:rFonts w:ascii="Cambria Math" w:hAnsi="Cambria Math"/>
            <w:color w:val="000000" w:themeColor="text1"/>
            <w:szCs w:val="19"/>
            <w:shd w:val="clear" w:color="auto" w:fill="FFFFFF"/>
          </w:rPr>
          <m:t>=</m:t>
        </m:r>
        <m:sSub>
          <m:sSubPr>
            <m:ctrlPr>
              <w:rPr>
                <w:rFonts w:ascii="Cambria Math" w:hAnsi="Cambria Math"/>
                <w:i/>
                <w:color w:val="000000" w:themeColor="text1"/>
                <w:szCs w:val="19"/>
                <w:shd w:val="clear" w:color="auto" w:fill="FFFFFF"/>
              </w:rPr>
            </m:ctrlPr>
          </m:sSubPr>
          <m:e>
            <m:r>
              <m:rPr>
                <m:scr m:val="double-struck"/>
              </m:rPr>
              <w:rPr>
                <w:rFonts w:ascii="Cambria Math" w:hAnsi="Cambria Math"/>
                <w:color w:val="000000" w:themeColor="text1"/>
                <w:szCs w:val="19"/>
                <w:shd w:val="clear" w:color="auto" w:fill="FFFFFF"/>
              </w:rPr>
              <m:t>E</m:t>
            </m:r>
          </m:e>
          <m:sub>
            <m:r>
              <w:rPr>
                <w:rFonts w:ascii="Cambria Math" w:hAnsi="Cambria Math"/>
                <w:color w:val="000000" w:themeColor="text1"/>
                <w:szCs w:val="19"/>
                <w:shd w:val="clear" w:color="auto" w:fill="FFFFFF"/>
              </w:rPr>
              <m:t>X</m:t>
            </m:r>
          </m:sub>
        </m:sSub>
        <m:d>
          <m:dPr>
            <m:begChr m:val="["/>
            <m:endChr m:val="]"/>
            <m:ctrlPr>
              <w:rPr>
                <w:rFonts w:ascii="Cambria Math" w:hAnsi="Cambria Math"/>
                <w:i/>
                <w:color w:val="000000" w:themeColor="text1"/>
                <w:szCs w:val="19"/>
                <w:shd w:val="clear" w:color="auto" w:fill="FFFFFF"/>
              </w:rPr>
            </m:ctrlPr>
          </m:dPr>
          <m:e>
            <m:sSubSup>
              <m:sSubSupPr>
                <m:ctrlPr>
                  <w:rPr>
                    <w:rFonts w:ascii="Cambria Math" w:hAnsi="Cambria Math"/>
                    <w:i/>
                    <w:szCs w:val="24"/>
                  </w:rPr>
                </m:ctrlPr>
              </m:sSubSupPr>
              <m:e>
                <m:r>
                  <w:rPr>
                    <w:rFonts w:ascii="Cambria Math" w:hAnsi="Cambria Math" w:cs="Times New Roman"/>
                    <w:szCs w:val="24"/>
                  </w:rPr>
                  <m:t>q</m:t>
                </m:r>
              </m:e>
              <m:sub>
                <m:r>
                  <w:rPr>
                    <w:rFonts w:ascii="Cambria Math" w:hAnsi="Cambria Math" w:cs="Times New Roman"/>
                    <w:szCs w:val="24"/>
                  </w:rPr>
                  <m:t>t</m:t>
                </m:r>
              </m:sub>
              <m:sup>
                <m:r>
                  <w:rPr>
                    <w:rFonts w:ascii="Cambria Math" w:hAnsi="Cambria Math" w:cs="Times New Roman"/>
                    <w:szCs w:val="24"/>
                  </w:rPr>
                  <m:t>post</m:t>
                </m:r>
              </m:sup>
            </m:sSubSup>
          </m:e>
        </m:d>
        <m:r>
          <w:rPr>
            <w:rFonts w:ascii="Cambria Math" w:hAnsi="Cambria Math"/>
            <w:color w:val="000000" w:themeColor="text1"/>
            <w:szCs w:val="19"/>
            <w:shd w:val="clear" w:color="auto" w:fill="FFFFFF"/>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cs="Times New Roman"/>
                    <w:szCs w:val="24"/>
                  </w:rPr>
                  <m:t>α</m:t>
                </m:r>
              </m:e>
              <m:sub>
                <m:r>
                  <w:rPr>
                    <w:rFonts w:ascii="Cambria Math" w:hAnsi="Cambria Math" w:cs="Times New Roman"/>
                    <w:szCs w:val="24"/>
                  </w:rPr>
                  <m:t>1t</m:t>
                </m:r>
              </m:sub>
            </m:sSub>
          </m:num>
          <m:den>
            <m:r>
              <w:rPr>
                <w:rFonts w:ascii="Cambria Math" w:hAnsi="Cambria Math" w:cs="Times New Roman"/>
                <w:szCs w:val="24"/>
              </w:rPr>
              <m:t>N+</m:t>
            </m:r>
            <m:sSub>
              <m:sSubPr>
                <m:ctrlPr>
                  <w:rPr>
                    <w:rFonts w:ascii="Cambria Math" w:hAnsi="Cambria Math"/>
                    <w:i/>
                    <w:szCs w:val="24"/>
                  </w:rPr>
                </m:ctrlPr>
              </m:sSubPr>
              <m:e>
                <m:r>
                  <w:rPr>
                    <w:rFonts w:ascii="Cambria Math" w:hAnsi="Cambria Math" w:cs="Times New Roman"/>
                    <w:szCs w:val="24"/>
                  </w:rPr>
                  <m:t>α</m:t>
                </m:r>
              </m:e>
              <m:sub>
                <m:r>
                  <w:rPr>
                    <w:rFonts w:ascii="Cambria Math" w:hAnsi="Cambria Math" w:cs="Times New Roman"/>
                    <w:szCs w:val="24"/>
                  </w:rPr>
                  <m:t>1t</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cs="Times New Roman"/>
                    <w:szCs w:val="24"/>
                  </w:rPr>
                  <m:t>α</m:t>
                </m:r>
              </m:e>
              <m:sub>
                <m:r>
                  <w:rPr>
                    <w:rFonts w:ascii="Cambria Math" w:hAnsi="Cambria Math" w:cs="Times New Roman"/>
                    <w:szCs w:val="24"/>
                  </w:rPr>
                  <m:t>2t</m:t>
                </m:r>
              </m:sub>
            </m:sSub>
          </m:den>
        </m:f>
      </m:oMath>
      <w:r>
        <w:rPr>
          <w:szCs w:val="24"/>
        </w:rPr>
        <w:t xml:space="preserve">, where again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1t</m:t>
            </m:r>
          </m:sub>
        </m:sSub>
      </m:oMath>
      <w:r>
        <w:rPr>
          <w:szCs w:val="24"/>
        </w:rPr>
        <w:t xml:space="preserve"> and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2t</m:t>
            </m:r>
          </m:sub>
        </m:sSub>
      </m:oMath>
      <w:r>
        <w:rPr>
          <w:szCs w:val="24"/>
        </w:rPr>
        <w:t xml:space="preserve"> are the prior beliefs about hedonic and utilitarian buyers, respect</w:t>
      </w:r>
      <w:proofErr w:type="spellStart"/>
      <w:r>
        <w:rPr>
          <w:szCs w:val="24"/>
        </w:rPr>
        <w:t>ively</w:t>
      </w:r>
      <w:proofErr w:type="spellEnd"/>
      <w:r>
        <w:rPr>
          <w:szCs w:val="24"/>
        </w:rPr>
        <w:t>.</w:t>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en Downing">
    <w15:presenceInfo w15:providerId="Windows Live" w15:userId="6890386d9c4a0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0F"/>
    <w:rsid w:val="0001391F"/>
    <w:rsid w:val="00046A39"/>
    <w:rsid w:val="000900D8"/>
    <w:rsid w:val="00202E84"/>
    <w:rsid w:val="002E1574"/>
    <w:rsid w:val="00420E1C"/>
    <w:rsid w:val="004872B3"/>
    <w:rsid w:val="00713A0F"/>
    <w:rsid w:val="00844285"/>
    <w:rsid w:val="00867470"/>
    <w:rsid w:val="00D14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DB6F"/>
  <w15:chartTrackingRefBased/>
  <w15:docId w15:val="{5756875D-FEAC-4EFE-87E7-3BF4065E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A0F"/>
    <w:pPr>
      <w:widowControl w:val="0"/>
      <w:spacing w:line="360" w:lineRule="auto"/>
    </w:pPr>
    <w:rPr>
      <w:rFonts w:ascii="Times New Roman" w:eastAsia="Batang" w:hAnsi="Times New Roman" w:cs="Times New Roman"/>
      <w:color w:val="000000"/>
      <w:sz w:val="24"/>
      <w:szCs w:val="24"/>
    </w:rPr>
  </w:style>
  <w:style w:type="paragraph" w:styleId="Heading1">
    <w:name w:val="heading 1"/>
    <w:basedOn w:val="Normal"/>
    <w:next w:val="Normal"/>
    <w:link w:val="Heading1Char"/>
    <w:uiPriority w:val="9"/>
    <w:qFormat/>
    <w:rsid w:val="000900D8"/>
    <w:pPr>
      <w:keepNext/>
      <w:keepLines/>
      <w:spacing w:before="240" w:after="0"/>
      <w:outlineLvl w:val="0"/>
    </w:pPr>
    <w:rPr>
      <w:rFonts w:eastAsia="Times New Roman"/>
      <w:b/>
      <w:sz w:val="28"/>
      <w:szCs w:val="28"/>
    </w:rPr>
  </w:style>
  <w:style w:type="paragraph" w:styleId="Heading2">
    <w:name w:val="heading 2"/>
    <w:basedOn w:val="Normal"/>
    <w:next w:val="Normal"/>
    <w:link w:val="Heading2Char"/>
    <w:uiPriority w:val="9"/>
    <w:semiHidden/>
    <w:unhideWhenUsed/>
    <w:qFormat/>
    <w:rsid w:val="000900D8"/>
    <w:pPr>
      <w:keepNext/>
      <w:keepLines/>
      <w:spacing w:before="40" w:after="0"/>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1391F"/>
    <w:pPr>
      <w:spacing w:line="240" w:lineRule="auto"/>
    </w:pPr>
    <w:rPr>
      <w:sz w:val="20"/>
      <w:szCs w:val="20"/>
    </w:rPr>
  </w:style>
  <w:style w:type="character" w:customStyle="1" w:styleId="CommentTextChar">
    <w:name w:val="Comment Text Char"/>
    <w:basedOn w:val="DefaultParagraphFont"/>
    <w:link w:val="CommentText"/>
    <w:uiPriority w:val="99"/>
    <w:semiHidden/>
    <w:rsid w:val="0001391F"/>
    <w:rPr>
      <w:rFonts w:ascii="Times New Roman" w:eastAsia="Batang" w:hAnsi="Times New Roman" w:cs="Times New Roman"/>
      <w:color w:val="000000"/>
      <w:sz w:val="20"/>
      <w:szCs w:val="20"/>
    </w:rPr>
  </w:style>
  <w:style w:type="character" w:styleId="CommentReference">
    <w:name w:val="annotation reference"/>
    <w:basedOn w:val="DefaultParagraphFont"/>
    <w:uiPriority w:val="99"/>
    <w:semiHidden/>
    <w:unhideWhenUsed/>
    <w:rsid w:val="0001391F"/>
    <w:rPr>
      <w:sz w:val="16"/>
      <w:szCs w:val="16"/>
    </w:rPr>
  </w:style>
  <w:style w:type="paragraph" w:styleId="BalloonText">
    <w:name w:val="Balloon Text"/>
    <w:basedOn w:val="Normal"/>
    <w:link w:val="BalloonTextChar"/>
    <w:uiPriority w:val="99"/>
    <w:semiHidden/>
    <w:unhideWhenUsed/>
    <w:rsid w:val="00013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91F"/>
    <w:rPr>
      <w:rFonts w:ascii="Segoe UI" w:eastAsia="Batang" w:hAnsi="Segoe UI" w:cs="Segoe UI"/>
      <w:color w:val="000000"/>
      <w:sz w:val="18"/>
      <w:szCs w:val="18"/>
    </w:rPr>
  </w:style>
  <w:style w:type="character" w:customStyle="1" w:styleId="Heading1Char">
    <w:name w:val="Heading 1 Char"/>
    <w:basedOn w:val="DefaultParagraphFont"/>
    <w:link w:val="Heading1"/>
    <w:uiPriority w:val="9"/>
    <w:rsid w:val="000900D8"/>
    <w:rPr>
      <w:rFonts w:ascii="Times New Roman" w:eastAsia="Times New Roman" w:hAnsi="Times New Roman" w:cs="Times New Roman"/>
      <w:b/>
      <w:color w:val="000000"/>
      <w:sz w:val="28"/>
      <w:szCs w:val="28"/>
    </w:rPr>
  </w:style>
  <w:style w:type="character" w:customStyle="1" w:styleId="Heading2Char">
    <w:name w:val="Heading 2 Char"/>
    <w:basedOn w:val="DefaultParagraphFont"/>
    <w:link w:val="Heading2"/>
    <w:uiPriority w:val="9"/>
    <w:semiHidden/>
    <w:rsid w:val="000900D8"/>
    <w:rPr>
      <w:rFonts w:ascii="Times New Roman" w:eastAsia="Times New Roman" w:hAnsi="Times New Roman" w:cs="Times New Roman"/>
      <w:b/>
      <w:color w:val="000000"/>
      <w:sz w:val="24"/>
      <w:szCs w:val="24"/>
    </w:rPr>
  </w:style>
  <w:style w:type="paragraph" w:styleId="FootnoteText">
    <w:name w:val="footnote text"/>
    <w:basedOn w:val="Normal"/>
    <w:link w:val="FootnoteTextChar"/>
    <w:uiPriority w:val="99"/>
    <w:semiHidden/>
    <w:unhideWhenUsed/>
    <w:rsid w:val="000900D8"/>
    <w:pPr>
      <w:widowControl/>
      <w:spacing w:after="0" w:line="240" w:lineRule="auto"/>
    </w:pPr>
    <w:rPr>
      <w:rFonts w:eastAsiaTheme="minorEastAsia" w:cstheme="minorBidi"/>
      <w:color w:val="auto"/>
      <w:sz w:val="20"/>
      <w:szCs w:val="20"/>
    </w:rPr>
  </w:style>
  <w:style w:type="character" w:customStyle="1" w:styleId="FootnoteTextChar">
    <w:name w:val="Footnote Text Char"/>
    <w:basedOn w:val="DefaultParagraphFont"/>
    <w:link w:val="FootnoteText"/>
    <w:uiPriority w:val="99"/>
    <w:semiHidden/>
    <w:rsid w:val="000900D8"/>
    <w:rPr>
      <w:rFonts w:ascii="Times New Roman" w:hAnsi="Times New Roman"/>
      <w:sz w:val="20"/>
      <w:szCs w:val="20"/>
    </w:rPr>
  </w:style>
  <w:style w:type="character" w:styleId="FootnoteReference">
    <w:name w:val="footnote reference"/>
    <w:basedOn w:val="DefaultParagraphFont"/>
    <w:uiPriority w:val="99"/>
    <w:semiHidden/>
    <w:unhideWhenUsed/>
    <w:rsid w:val="00090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67392">
      <w:bodyDiv w:val="1"/>
      <w:marLeft w:val="0"/>
      <w:marRight w:val="0"/>
      <w:marTop w:val="0"/>
      <w:marBottom w:val="0"/>
      <w:divBdr>
        <w:top w:val="none" w:sz="0" w:space="0" w:color="auto"/>
        <w:left w:val="none" w:sz="0" w:space="0" w:color="auto"/>
        <w:bottom w:val="none" w:sz="0" w:space="0" w:color="auto"/>
        <w:right w:val="none" w:sz="0" w:space="0" w:color="auto"/>
      </w:divBdr>
    </w:div>
    <w:div w:id="703675349">
      <w:bodyDiv w:val="1"/>
      <w:marLeft w:val="0"/>
      <w:marRight w:val="0"/>
      <w:marTop w:val="0"/>
      <w:marBottom w:val="0"/>
      <w:divBdr>
        <w:top w:val="none" w:sz="0" w:space="0" w:color="auto"/>
        <w:left w:val="none" w:sz="0" w:space="0" w:color="auto"/>
        <w:bottom w:val="none" w:sz="0" w:space="0" w:color="auto"/>
        <w:right w:val="none" w:sz="0" w:space="0" w:color="auto"/>
      </w:divBdr>
    </w:div>
    <w:div w:id="872227550">
      <w:bodyDiv w:val="1"/>
      <w:marLeft w:val="0"/>
      <w:marRight w:val="0"/>
      <w:marTop w:val="0"/>
      <w:marBottom w:val="0"/>
      <w:divBdr>
        <w:top w:val="none" w:sz="0" w:space="0" w:color="auto"/>
        <w:left w:val="none" w:sz="0" w:space="0" w:color="auto"/>
        <w:bottom w:val="none" w:sz="0" w:space="0" w:color="auto"/>
        <w:right w:val="none" w:sz="0" w:space="0" w:color="auto"/>
      </w:divBdr>
    </w:div>
    <w:div w:id="1244681602">
      <w:bodyDiv w:val="1"/>
      <w:marLeft w:val="0"/>
      <w:marRight w:val="0"/>
      <w:marTop w:val="0"/>
      <w:marBottom w:val="0"/>
      <w:divBdr>
        <w:top w:val="none" w:sz="0" w:space="0" w:color="auto"/>
        <w:left w:val="none" w:sz="0" w:space="0" w:color="auto"/>
        <w:bottom w:val="none" w:sz="0" w:space="0" w:color="auto"/>
        <w:right w:val="none" w:sz="0" w:space="0" w:color="auto"/>
      </w:divBdr>
    </w:div>
    <w:div w:id="1363238840">
      <w:bodyDiv w:val="1"/>
      <w:marLeft w:val="0"/>
      <w:marRight w:val="0"/>
      <w:marTop w:val="0"/>
      <w:marBottom w:val="0"/>
      <w:divBdr>
        <w:top w:val="none" w:sz="0" w:space="0" w:color="auto"/>
        <w:left w:val="none" w:sz="0" w:space="0" w:color="auto"/>
        <w:bottom w:val="none" w:sz="0" w:space="0" w:color="auto"/>
        <w:right w:val="none" w:sz="0" w:space="0" w:color="auto"/>
      </w:divBdr>
    </w:div>
    <w:div w:id="1403409817">
      <w:bodyDiv w:val="1"/>
      <w:marLeft w:val="0"/>
      <w:marRight w:val="0"/>
      <w:marTop w:val="0"/>
      <w:marBottom w:val="0"/>
      <w:divBdr>
        <w:top w:val="none" w:sz="0" w:space="0" w:color="auto"/>
        <w:left w:val="none" w:sz="0" w:space="0" w:color="auto"/>
        <w:bottom w:val="none" w:sz="0" w:space="0" w:color="auto"/>
        <w:right w:val="none" w:sz="0" w:space="0" w:color="auto"/>
      </w:divBdr>
    </w:div>
    <w:div w:id="1447428695">
      <w:bodyDiv w:val="1"/>
      <w:marLeft w:val="0"/>
      <w:marRight w:val="0"/>
      <w:marTop w:val="0"/>
      <w:marBottom w:val="0"/>
      <w:divBdr>
        <w:top w:val="none" w:sz="0" w:space="0" w:color="auto"/>
        <w:left w:val="none" w:sz="0" w:space="0" w:color="auto"/>
        <w:bottom w:val="none" w:sz="0" w:space="0" w:color="auto"/>
        <w:right w:val="none" w:sz="0" w:space="0" w:color="auto"/>
      </w:divBdr>
    </w:div>
    <w:div w:id="1461655054">
      <w:bodyDiv w:val="1"/>
      <w:marLeft w:val="0"/>
      <w:marRight w:val="0"/>
      <w:marTop w:val="0"/>
      <w:marBottom w:val="0"/>
      <w:divBdr>
        <w:top w:val="none" w:sz="0" w:space="0" w:color="auto"/>
        <w:left w:val="none" w:sz="0" w:space="0" w:color="auto"/>
        <w:bottom w:val="none" w:sz="0" w:space="0" w:color="auto"/>
        <w:right w:val="none" w:sz="0" w:space="0" w:color="auto"/>
      </w:divBdr>
    </w:div>
    <w:div w:id="1731227616">
      <w:bodyDiv w:val="1"/>
      <w:marLeft w:val="0"/>
      <w:marRight w:val="0"/>
      <w:marTop w:val="0"/>
      <w:marBottom w:val="0"/>
      <w:divBdr>
        <w:top w:val="none" w:sz="0" w:space="0" w:color="auto"/>
        <w:left w:val="none" w:sz="0" w:space="0" w:color="auto"/>
        <w:bottom w:val="none" w:sz="0" w:space="0" w:color="auto"/>
        <w:right w:val="none" w:sz="0" w:space="0" w:color="auto"/>
      </w:divBdr>
    </w:div>
    <w:div w:id="1842617936">
      <w:bodyDiv w:val="1"/>
      <w:marLeft w:val="0"/>
      <w:marRight w:val="0"/>
      <w:marTop w:val="0"/>
      <w:marBottom w:val="0"/>
      <w:divBdr>
        <w:top w:val="none" w:sz="0" w:space="0" w:color="auto"/>
        <w:left w:val="none" w:sz="0" w:space="0" w:color="auto"/>
        <w:bottom w:val="none" w:sz="0" w:space="0" w:color="auto"/>
        <w:right w:val="none" w:sz="0" w:space="0" w:color="auto"/>
      </w:divBdr>
    </w:div>
    <w:div w:id="1997756946">
      <w:bodyDiv w:val="1"/>
      <w:marLeft w:val="0"/>
      <w:marRight w:val="0"/>
      <w:marTop w:val="0"/>
      <w:marBottom w:val="0"/>
      <w:divBdr>
        <w:top w:val="none" w:sz="0" w:space="0" w:color="auto"/>
        <w:left w:val="none" w:sz="0" w:space="0" w:color="auto"/>
        <w:bottom w:val="none" w:sz="0" w:space="0" w:color="auto"/>
        <w:right w:val="none" w:sz="0" w:space="0" w:color="auto"/>
      </w:divBdr>
    </w:div>
    <w:div w:id="20239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7435</Words>
  <Characters>42385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Downing</dc:creator>
  <cp:keywords/>
  <dc:description/>
  <cp:lastModifiedBy>Stephen Downing</cp:lastModifiedBy>
  <cp:revision>4</cp:revision>
  <dcterms:created xsi:type="dcterms:W3CDTF">2017-06-16T19:41:00Z</dcterms:created>
  <dcterms:modified xsi:type="dcterms:W3CDTF">2017-06-16T20:50:00Z</dcterms:modified>
</cp:coreProperties>
</file>