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C12" w:rsidRPr="007B5C12" w:rsidRDefault="007B5C12" w:rsidP="007B5C12">
      <w:pPr>
        <w:rPr>
          <w:b/>
        </w:rPr>
      </w:pPr>
      <w:r w:rsidRPr="007B5C12">
        <w:rPr>
          <w:b/>
        </w:rPr>
        <w:t>When is the chance of buyer voting with the wallet highest?</w:t>
      </w:r>
    </w:p>
    <w:p w:rsidR="007B5C12" w:rsidRDefault="007B5C12" w:rsidP="007B5C12">
      <w:pPr>
        <w:rPr>
          <w:sz w:val="22"/>
          <w:szCs w:val="22"/>
        </w:rPr>
      </w:pPr>
      <w:r>
        <w:t xml:space="preserve">Consider a welfare perspective on CSR market </w:t>
      </w:r>
      <w:proofErr w:type="gramStart"/>
      <w:r>
        <w:t>signaling  --</w:t>
      </w:r>
      <w:proofErr w:type="gramEnd"/>
      <w:r>
        <w:t xml:space="preserve"> ignoring for the moment the platform’s strategic CSR perspective.    What matters is </w:t>
      </w:r>
      <w:bookmarkStart w:id="0" w:name="_GoBack"/>
      <w:bookmarkEnd w:id="0"/>
      <w:r>
        <w:t xml:space="preserve">then, where is the </w:t>
      </w:r>
      <w:proofErr w:type="gramStart"/>
      <w:r>
        <w:t>expected  signaling</w:t>
      </w:r>
      <w:proofErr w:type="gramEnd"/>
      <w:r>
        <w:t xml:space="preserve"> cost highest?</w:t>
      </w:r>
    </w:p>
    <w:p w:rsidR="007B5C12" w:rsidRDefault="007B5C12" w:rsidP="007B5C12">
      <w:pPr>
        <w:rPr>
          <w:sz w:val="22"/>
          <w:szCs w:val="22"/>
        </w:rPr>
      </w:pPr>
      <w:r w:rsidRPr="00AA1A99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event that makes platform </w:t>
      </w:r>
      <m:oMath>
        <m:r>
          <w:rPr>
            <w:rFonts w:ascii="Cambria Math" w:hAnsi="Cambria Math"/>
            <w:sz w:val="22"/>
            <w:szCs w:val="22"/>
          </w:rPr>
          <m:t>k</m:t>
        </m:r>
      </m:oMath>
      <w:r>
        <w:rPr>
          <w:sz w:val="22"/>
          <w:szCs w:val="22"/>
        </w:rPr>
        <w:t xml:space="preserve"> choose a CSR strategy 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&gt;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kt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*</m:t>
            </m:r>
          </m:sup>
        </m:sSubSup>
      </m:oMath>
      <w:r>
        <w:rPr>
          <w:sz w:val="22"/>
          <w:szCs w:val="22"/>
        </w:rPr>
        <w:t xml:space="preserve">) </w:t>
      </w:r>
      <w:r w:rsidRPr="00572E3C">
        <w:rPr>
          <w:sz w:val="22"/>
          <w:szCs w:val="22"/>
        </w:rPr>
        <w:t>is</w:t>
      </w:r>
      <w:r>
        <w:rPr>
          <w:sz w:val="22"/>
          <w:szCs w:val="22"/>
        </w:rPr>
        <w:t xml:space="preserve"> equivalent to the number of observed votes with the wallet 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>
        <w:rPr>
          <w:sz w:val="22"/>
          <w:szCs w:val="22"/>
        </w:rPr>
        <w:t xml:space="preserve">) being greater than one of the following values, depending upon buyer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>
        <w:rPr>
          <w:sz w:val="22"/>
          <w:szCs w:val="22"/>
        </w:rPr>
        <w:t>’s strategy:</w:t>
      </w:r>
    </w:p>
    <w:p w:rsidR="007B5C12" w:rsidRPr="00C57BA4" w:rsidRDefault="007B5C12" w:rsidP="007B5C12">
      <w:pPr>
        <w:spacing w:line="240" w:lineRule="auto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 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if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it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=A  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    </m:t>
                  </m:r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if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it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=W</m:t>
                  </m:r>
                </m:e>
              </m:eqArr>
            </m:e>
          </m:d>
        </m:oMath>
      </m:oMathPara>
    </w:p>
    <w:p w:rsidR="007B5C12" w:rsidRDefault="007B5C12" w:rsidP="007B5C12">
      <w:r>
        <w:rPr>
          <w:sz w:val="22"/>
          <w:szCs w:val="22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kt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kt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1t</m:t>
                </m:r>
              </m:sub>
            </m:sSub>
            <m:r>
              <w:rPr>
                <w:rFonts w:ascii="Cambria Math" w:hAnsi="Cambria Math"/>
              </w:rPr>
              <m:t>+1</m:t>
            </m:r>
          </m:e>
        </m:d>
      </m:oMath>
      <w:r>
        <w:t xml:space="preserve"> is </w:t>
      </w:r>
      <w:r w:rsidRPr="007B5C12">
        <w:rPr>
          <w:i/>
        </w:rPr>
        <w:t>the minimum number of votes with the wallet the platform needs to observe to choose a CSR strategy</w:t>
      </w:r>
      <w:r>
        <w:t xml:space="preserve"> (rounded up to integer values in the support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7B5C12" w:rsidRDefault="007B5C12" w:rsidP="007B5C12">
      <w:r>
        <w:t>expected signaling cost threshold in Eq. (9):</w:t>
      </w:r>
    </w:p>
    <w:p w:rsidR="007B5C12" w:rsidRPr="00BF5988" w:rsidRDefault="007B5C12" w:rsidP="007B5C12">
      <w:pPr>
        <w:rPr>
          <w:sz w:val="22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kt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*</m:t>
                  </m:r>
                </m:sup>
              </m:sSubSup>
            </m:e>
          </m:acc>
          <m:r>
            <m:rPr>
              <m:aln/>
            </m:rPr>
            <w:rPr>
              <w:rFonts w:ascii="Cambria Math" w:hAnsi="Cambria Math"/>
              <w:sz w:val="22"/>
              <w:szCs w:val="2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 w:val="22"/>
            </w:rPr>
            <m:t>⋅</m:t>
          </m:r>
          <m:r>
            <w:rPr>
              <w:rFonts w:ascii="Cambria Math" w:hAnsi="Cambria Math"/>
              <w:sz w:val="22"/>
              <w:szCs w:val="22"/>
            </w:rPr>
            <m:t>q</m:t>
          </m:r>
          <m:r>
            <w:rPr>
              <w:rFonts w:ascii="Cambria Math" w:hAnsi="Cambria Math"/>
              <w:sz w:val="22"/>
            </w:rPr>
            <m:t>⋅Binomial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kt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; N,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μ</m:t>
                  </m:r>
                </m:e>
                <m:sub>
                  <m:r>
                    <w:rPr>
                      <w:rFonts w:ascii="Cambria Math" w:hAnsi="Cambria Math"/>
                    </w:rPr>
                    <m:t>kt</m:t>
                  </m:r>
                </m:sub>
              </m:sSub>
            </m:e>
          </m:d>
        </m:oMath>
      </m:oMathPara>
    </w:p>
    <w:p w:rsidR="007B5C12" w:rsidRDefault="007B5C12" w:rsidP="007B5C12">
      <w:r>
        <w:rPr>
          <w:color w:val="000000" w:themeColor="text1"/>
          <w:sz w:val="22"/>
          <w:szCs w:val="22"/>
        </w:rPr>
        <w:t>i</w:t>
      </w:r>
      <w:r>
        <w:rPr>
          <w:color w:val="000000" w:themeColor="text1"/>
          <w:sz w:val="22"/>
          <w:szCs w:val="22"/>
        </w:rPr>
        <w:t xml:space="preserve">nterpret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kt</m:t>
            </m:r>
          </m:sub>
        </m:sSub>
        <m:r>
          <w:rPr>
            <w:rFonts w:ascii="Cambria Math" w:hAnsi="Cambria Math"/>
            <w:sz w:val="22"/>
            <w:szCs w:val="22"/>
          </w:rPr>
          <m:t>≡</m:t>
        </m:r>
        <m:r>
          <w:rPr>
            <w:rFonts w:ascii="Cambria Math" w:hAnsi="Cambria Math"/>
            <w:sz w:val="22"/>
          </w:rPr>
          <m:t>Binomial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kt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; N,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μ</m:t>
                </m:r>
              </m:e>
              <m:sub>
                <m:r>
                  <w:rPr>
                    <w:rFonts w:ascii="Cambria Math" w:hAnsi="Cambria Math"/>
                  </w:rPr>
                  <m:t>kt</m:t>
                </m:r>
              </m:sub>
            </m:sSub>
          </m:e>
        </m:d>
      </m:oMath>
      <w:r>
        <w:rPr>
          <w:sz w:val="22"/>
        </w:rPr>
        <w:t xml:space="preserve"> as the probability of persuading the platform to choose CSR. This is then</w:t>
      </w:r>
      <w:r>
        <w:rPr>
          <w:sz w:val="22"/>
          <w:szCs w:val="22"/>
        </w:rPr>
        <w:t xml:space="preserve"> equivalent to </w:t>
      </w:r>
      <w:r>
        <w:rPr>
          <w:i/>
          <w:sz w:val="22"/>
          <w:szCs w:val="22"/>
        </w:rPr>
        <w:t>the probability that</w:t>
      </w:r>
      <w:r w:rsidRPr="00B72686">
        <w:rPr>
          <w:i/>
          <w:sz w:val="22"/>
          <w:szCs w:val="22"/>
        </w:rPr>
        <w:t xml:space="preserve"> the platform observes</w:t>
      </w:r>
      <w:r>
        <w:rPr>
          <w:sz w:val="22"/>
          <w:szCs w:val="22"/>
        </w:rPr>
        <w:t xml:space="preserve"> </w:t>
      </w:r>
      <w:r w:rsidRPr="00B72686">
        <w:rPr>
          <w:i/>
          <w:sz w:val="22"/>
          <w:szCs w:val="22"/>
        </w:rPr>
        <w:t>exactly its minimum number of required votes</w:t>
      </w:r>
      <w:r>
        <w:rPr>
          <w:i/>
          <w:sz w:val="22"/>
          <w:szCs w:val="22"/>
        </w:rPr>
        <w:t xml:space="preserve"> with the wallet.</w:t>
      </w:r>
    </w:p>
    <w:p w:rsidR="007B5C12" w:rsidRDefault="007B5C12" w:rsidP="007B5C12">
      <w:pPr>
        <w:rPr>
          <w:color w:val="000000" w:themeColor="text1"/>
          <w:sz w:val="22"/>
          <w:szCs w:val="22"/>
        </w:rPr>
      </w:pPr>
      <w:r>
        <w:t>Using</w:t>
      </w:r>
      <w:r>
        <w:t xml:space="preserve"> Eq. (10) ,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kt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 w:themeColor="text1"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 xml:space="preserve"> q, 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if</m:t>
                </m:r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 xml:space="preserve"> </m:t>
                </m:r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 xml:space="preserve">κ&lt;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  <w:shd w:val="clear" w:color="auto" w:fill="FFFFFF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  <w:shd w:val="clear" w:color="auto" w:fill="FFFFFF"/>
                          </w:rPr>
                          <m:t>kt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  <w:shd w:val="clear" w:color="auto" w:fill="FFFFFF"/>
                          </w:rPr>
                          <m:t>*</m:t>
                        </m:r>
                      </m:sup>
                    </m:sSubSup>
                  </m:e>
                </m:acc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 xml:space="preserve">  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 xml:space="preserve">0 , 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if</m:t>
                </m:r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 xml:space="preserve">   κ≥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  <w:shd w:val="clear" w:color="auto" w:fill="FFFFFF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  <w:shd w:val="clear" w:color="auto" w:fill="FFFFFF"/>
                          </w:rPr>
                          <m:t>kt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  <w:shd w:val="clear" w:color="auto" w:fill="FFFFFF"/>
                          </w:rPr>
                          <m:t>*</m:t>
                        </m:r>
                      </m:sup>
                    </m:sSubSup>
                  </m:e>
                </m:acc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 xml:space="preserve"> </m:t>
                </m:r>
              </m:e>
            </m:eqArr>
          </m:e>
        </m:d>
      </m:oMath>
      <w:r>
        <w:rPr>
          <w:color w:val="000000" w:themeColor="text1"/>
          <w:sz w:val="22"/>
          <w:szCs w:val="22"/>
        </w:rPr>
        <w:t>:</w:t>
      </w:r>
    </w:p>
    <w:p w:rsidR="007B5C12" w:rsidRDefault="007B5C12" w:rsidP="007B5C12">
      <w:pPr>
        <w:rPr>
          <w:color w:val="000000" w:themeColor="text1"/>
          <w:sz w:val="22"/>
          <w:szCs w:val="22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kt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*</m:t>
                  </m:r>
                </m:sup>
              </m:sSubSup>
            </m:e>
          </m:acc>
          <m:r>
            <w:rPr>
              <w:rFonts w:ascii="Cambria Math" w:hAnsi="Cambria Math"/>
              <w:sz w:val="22"/>
              <w:szCs w:val="22"/>
            </w:rPr>
            <m:t>(κ)=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 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2"/>
                          <w:szCs w:val="22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+ω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</w:rPr>
                            <m:t>N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 xml:space="preserve">⋅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q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1-q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N-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if κ&lt;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*</m:t>
                          </m:r>
                        </m:sup>
                      </m:sSubSup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                                        </m:t>
                  </m:r>
                  <m:r>
                    <w:rPr>
                      <w:rFonts w:ascii="Cambria Math" w:eastAsiaTheme="minorEastAsia" w:hAnsi="Cambria Math" w:hint="eastAsia"/>
                      <w:sz w:val="22"/>
                      <w:szCs w:val="22"/>
                    </w:rPr>
                    <m:t xml:space="preserve">                                       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   </m:t>
                  </m:r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if κ≥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*</m:t>
                          </m:r>
                        </m:sup>
                      </m:sSubSup>
                    </m:e>
                  </m:acc>
                </m:e>
              </m:eqArr>
            </m:e>
          </m:d>
        </m:oMath>
      </m:oMathPara>
    </w:p>
    <w:p w:rsidR="007B5C12" w:rsidRDefault="007B5C12" w:rsidP="007B5C12">
      <w:r>
        <w:t>Higher expected signaling cost and higher</w:t>
      </w:r>
      <w:r>
        <w:t xml:space="preserve"> chance of</w:t>
      </w:r>
      <w:r>
        <w:t xml:space="preserve"> voting with the wallet therefore depends upon </w:t>
      </w:r>
      <w:r>
        <w:t xml:space="preserve">the </w:t>
      </w:r>
      <w:r>
        <w:t>“</w:t>
      </w:r>
      <w:r>
        <w:t>alignment</w:t>
      </w:r>
      <w:r>
        <w:t>”</w:t>
      </w:r>
      <w:r>
        <w:t xml:space="preserve"> between </w:t>
      </w:r>
      <m:oMath>
        <m:r>
          <w:rPr>
            <w:rFonts w:ascii="Cambria Math" w:hAnsi="Cambria Math"/>
          </w:rPr>
          <m:t xml:space="preserve">q </m:t>
        </m:r>
        <m:r>
          <m:rPr>
            <m:sty m:val="p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kt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, as shown in the figures below. This is </w:t>
      </w:r>
      <w:r>
        <w:t xml:space="preserve">contingent </w:t>
      </w:r>
      <w:proofErr w:type="gramStart"/>
      <w:r>
        <w:t>o</w:t>
      </w:r>
      <w:r>
        <w:t>n</w:t>
      </w:r>
      <w:r>
        <w:t xml:space="preserve">  prior</w:t>
      </w:r>
      <w:proofErr w:type="gramEnd"/>
      <w:r>
        <w:t xml:space="preserve"> beliefs </w:t>
      </w:r>
      <w:r>
        <w:t xml:space="preserve">and market size </w:t>
      </w:r>
      <w:r>
        <w:t>(past evidence of voting or abstaining):</w:t>
      </w:r>
    </w:p>
    <w:p w:rsidR="007B5C12" w:rsidRDefault="007B5C12" w:rsidP="007B5C12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68C06485" wp14:editId="37DD21B3">
            <wp:extent cx="3017520" cy="3017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uyer_expected_sig_cost_thresh_N=20_a1=0.5_a2=0.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drawing>
          <wp:inline distT="0" distB="0" distL="0" distR="0" wp14:anchorId="3962B2A2" wp14:editId="1A6BCC31">
            <wp:extent cx="3017520" cy="3017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uyer_expected_sig_cost_thresh_N=20_a1=0.5_a2=1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lastRenderedPageBreak/>
        <w:drawing>
          <wp:inline distT="0" distB="0" distL="0" distR="0" wp14:anchorId="34853763" wp14:editId="75AAA4A8">
            <wp:extent cx="3017520" cy="3017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uyer_expected_sig_cost_thresh_N=20_a1=10_a2=0.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12" w:rsidRDefault="007B5C12" w:rsidP="007B5C12">
      <w:pPr>
        <w:rPr>
          <w:sz w:val="22"/>
        </w:rPr>
      </w:pPr>
    </w:p>
    <w:p w:rsidR="005B55F5" w:rsidRDefault="007B5C12" w:rsidP="007B5C12">
      <w:pPr>
        <w:rPr>
          <w:sz w:val="22"/>
        </w:rPr>
      </w:pPr>
      <w:r>
        <w:rPr>
          <w:sz w:val="22"/>
        </w:rPr>
        <w:t>So</w:t>
      </w:r>
      <w:r w:rsidR="005B55F5">
        <w:rPr>
          <w:sz w:val="22"/>
        </w:rPr>
        <w:t>,</w:t>
      </w:r>
      <w:r>
        <w:rPr>
          <w:sz w:val="22"/>
        </w:rPr>
        <w:t xml:space="preserve"> counterintuitively</w:t>
      </w:r>
      <w:r w:rsidR="005B55F5">
        <w:rPr>
          <w:sz w:val="22"/>
        </w:rPr>
        <w:t>,</w:t>
      </w:r>
      <w:r>
        <w:rPr>
          <w:sz w:val="22"/>
        </w:rPr>
        <w:t xml:space="preserve"> higher </w:t>
      </w:r>
      <w:r>
        <w:rPr>
          <w:i/>
          <w:sz w:val="22"/>
        </w:rPr>
        <w:t>q</w:t>
      </w:r>
      <w:r>
        <w:rPr>
          <w:sz w:val="22"/>
        </w:rPr>
        <w:t xml:space="preserve"> does </w:t>
      </w:r>
      <w:r w:rsidRPr="005B55F5">
        <w:rPr>
          <w:i/>
          <w:sz w:val="22"/>
        </w:rPr>
        <w:t>not</w:t>
      </w:r>
      <w:r>
        <w:rPr>
          <w:sz w:val="22"/>
        </w:rPr>
        <w:t xml:space="preserve"> mean more voting with the wallet in the market -- and therefore does not mean more CSR</w:t>
      </w:r>
      <w:r w:rsidR="005B55F5">
        <w:rPr>
          <w:sz w:val="22"/>
        </w:rPr>
        <w:t xml:space="preserve"> occurring</w:t>
      </w:r>
      <w:r>
        <w:rPr>
          <w:sz w:val="22"/>
        </w:rPr>
        <w:t xml:space="preserve"> in the market.   </w:t>
      </w:r>
    </w:p>
    <w:p w:rsidR="007B5C12" w:rsidRPr="007B5C12" w:rsidRDefault="007B5C12" w:rsidP="007B5C12">
      <w:pPr>
        <w:rPr>
          <w:sz w:val="22"/>
        </w:rPr>
      </w:pPr>
      <w:r>
        <w:rPr>
          <w:sz w:val="22"/>
        </w:rPr>
        <w:t>What matters is how the hedonic probability ‘aligns’ with the platform’s threshold (based on their CSR cost and potential gains)</w:t>
      </w:r>
      <w:r w:rsidR="005B55F5">
        <w:rPr>
          <w:sz w:val="22"/>
        </w:rPr>
        <w:t xml:space="preserve">. This is irrespective of the Platform’s strategic choice to engage in CSR and is instead an observation of the equilibrium occurrence of CSR in the market, something </w:t>
      </w:r>
      <w:proofErr w:type="gramStart"/>
      <w:r w:rsidR="005B55F5">
        <w:rPr>
          <w:sz w:val="22"/>
        </w:rPr>
        <w:t>like  “</w:t>
      </w:r>
      <w:proofErr w:type="gramEnd"/>
      <w:r w:rsidR="005B55F5">
        <w:rPr>
          <w:sz w:val="22"/>
        </w:rPr>
        <w:t>CSR social welfare”  analysis.</w:t>
      </w:r>
    </w:p>
    <w:p w:rsidR="00D14E32" w:rsidRDefault="00D14E32"/>
    <w:sectPr w:rsidR="00D14E32" w:rsidSect="007B5C12">
      <w:type w:val="continuous"/>
      <w:pgSz w:w="11906" w:h="16838" w:code="9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C12"/>
    <w:rsid w:val="00046A39"/>
    <w:rsid w:val="002E1574"/>
    <w:rsid w:val="00420E1C"/>
    <w:rsid w:val="005B55F5"/>
    <w:rsid w:val="007B5C12"/>
    <w:rsid w:val="00805E0F"/>
    <w:rsid w:val="00D14E32"/>
    <w:rsid w:val="00EC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D0FF"/>
  <w15:chartTrackingRefBased/>
  <w15:docId w15:val="{3200B420-69C5-4EC6-B826-F2680992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C12"/>
    <w:pPr>
      <w:widowControl w:val="0"/>
      <w:spacing w:line="360" w:lineRule="auto"/>
    </w:pPr>
    <w:rPr>
      <w:rFonts w:ascii="Times New Roman" w:eastAsia="Batang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Downing</dc:creator>
  <cp:keywords/>
  <dc:description/>
  <cp:lastModifiedBy>Stephen Downing</cp:lastModifiedBy>
  <cp:revision>2</cp:revision>
  <dcterms:created xsi:type="dcterms:W3CDTF">2017-07-07T01:48:00Z</dcterms:created>
  <dcterms:modified xsi:type="dcterms:W3CDTF">2017-07-07T02:04:00Z</dcterms:modified>
</cp:coreProperties>
</file>