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5.png" ContentType="image/png"/>
  <Override PartName="/word/media/rId37.png" ContentType="image/png"/>
  <Override PartName="/word/media/rId38.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positive</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p>
      <w:pPr>
        <w:pStyle w:val="Autho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1</w:t>
      </w:r>
      <w:r>
        <w:t xml:space="preserve">, &amp; Elaine Fox</w:t>
      </w:r>
      <w:r>
        <w:rPr>
          <w:vertAlign w:val="superscript"/>
        </w:rPr>
        <w:t xml:space="preserve">1</w:t>
      </w:r>
    </w:p>
    <w:p>
      <w:pPr>
        <w:pStyle w:val="Author"/>
      </w:pPr>
      <w:r>
        <w:rPr>
          <w:vertAlign w:val="superscript"/>
        </w:rPr>
        <w:t xml:space="preserve">1</w:t>
      </w:r>
      <w:r>
        <w:t xml:space="preserve"> </w:t>
      </w:r>
      <w:r>
        <w:t xml:space="preserve">Department of Experimental Psychology, University of Oxford</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0">
        <w:r>
          <w:rPr>
            <w:rStyle w:val="Hyperlink"/>
          </w:rPr>
          <w:t xml:space="preserve">sam.parsons@psy.ox.ac.uk</w:t>
        </w:r>
      </w:hyperlink>
    </w:p>
    <w:p>
      <w:pPr>
        <w:pStyle w:val="Compact"/>
        <w:pStyle w:val="Titel"/>
      </w:pPr>
      <w:r>
        <w:t xml:space="preserve">Abstract</w:t>
      </w:r>
    </w:p>
    <w:p>
      <w:pPr>
        <w:pStyle w:val="Textkrper"/>
      </w:pPr>
      <w:r>
        <w:t xml:space="preserve">The Combined Cognitive Bias Hypothesis proposes that emotional information processing biases may conjointly influence mental health. Yet, little is known about the interrelationships amongst cognitive biases, particularly in adolescence. We used data from the CogBIAS longitudinal study (Booth et al. 2017), including 450 adolescents who completed measures of interpretation bias, memory bias, and a validated measure of general mental health in a typically developing population. We used a moderated network modelling approach to examine positive mental health related moderation of the cognitive bias network. We found that mental health was directly associated with positive and negative memory biases, and positive interpretation biases, but not negative interpretation biases. Further, we observed some mental health related moderation of the network structure. Network connectivity decreased with higher positive mental health scores. Network approaches allow us to model complex relationships amongst cognitive biases and develop novel hypotheses for future research.</w:t>
      </w:r>
    </w:p>
    <w:p>
      <w:pPr>
        <w:pStyle w:val="Textkrper"/>
      </w:pPr>
      <w:r>
        <w:rPr>
          <w:i/>
        </w:rPr>
        <w:t xml:space="preserve">Keywords:</w:t>
      </w:r>
      <w:r>
        <w:t xml:space="preserve"> </w:t>
      </w:r>
      <w:r>
        <w:t xml:space="preserve">Combined cognitive bias hypothesis, network analysis, adolescent, positive mental health</w:t>
      </w:r>
    </w:p>
    <w:p>
      <w:pPr>
        <w:pStyle w:val="Compact"/>
        <w:pStyle w:val="Titel"/>
      </w:pPr>
      <w:r>
        <w:t xml:space="preserve">Emotional information-processing correlates of positive mental health in adolescence: A network analysis approach</w:t>
      </w:r>
    </w:p>
    <w:p>
      <w:pPr>
        <w:pStyle w:val="berschrift1"/>
      </w:pPr>
      <w:bookmarkStart w:id="21" w:name="introduction"/>
      <w:r>
        <w:t xml:space="preserve">Introduction</w:t>
      </w:r>
      <w:bookmarkEnd w:id="21"/>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these processes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et al., 2006)</w:t>
      </w:r>
      <w:r>
        <w:t xml:space="preserve">, however, proposes that cognitive biases are unlikely to work in isolation, but rather, they influence each other and interact to influence other variables, including emotional vulnerability. For example, increased attention towards negative stimuli may influence how negatively information is interpreted, which would then influence memory for that stimulus. Such a series of causally related negative biases would be expected to propagate emotional vulnerability. In this way, a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For instance,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provided a better fit to the data, supporting the hypothesis that attention bias influenced interpretation bias, which in turn influenced memory bias. Another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 These studies provide support for the combined cognitive bias hypothesis in adults, however, there has been limited research conducted in adolescents.</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 </w:t>
      </w:r>
      <w:r>
        <w:t xml:space="preserve">(2017)</w:t>
      </w:r>
      <w:r>
        <w:t xml:space="preserve"> </w:t>
      </w:r>
      <w:r>
        <w:t xml:space="preserve">used three cognitive bias measures; an emotional visual search task, a dot-probe task, and an interpretation recognition task to investigate attention and interpretation biases in a normative sample of adolescents. Each cognitive bias predicted unique variance in anxiety and depression, separately, supporting the CCBH proposition that cognitive biases in different domains contribute separately to emotional vulnerability. A study by Orchard and Reynolds</w:t>
      </w:r>
      <w:r>
        <w:t xml:space="preserve"> </w:t>
      </w:r>
      <w:r>
        <w:t xml:space="preserve">(2018)</w:t>
      </w:r>
      <w:r>
        <w:t xml:space="preserve"> </w:t>
      </w:r>
      <w:r>
        <w:t xml:space="preserve">extended this by showing that the combination of cognitive biases, interpretation bias and negative self-evaluation bias, predicted depression severity more strongly than individual biases alone in both a healthy and clinical sample of depressed adolescents. Both studies suggest that further exploration of adolescent mental health from a CCBH perspective is likely to be highly informative. Adolescence is a developmental period that entails significant cognitive, social, and physiological changes</w:t>
      </w:r>
      <w:r>
        <w:t xml:space="preserve"> </w:t>
      </w:r>
      <w:r>
        <w:t xml:space="preserve">(Fuhrmann, Knoll, &amp; Blakemore, 2015; Steinberg, 2015)</w:t>
      </w:r>
      <w:r>
        <w:t xml:space="preserve">. Therefore, a better understanding of the interrelationships between cognitive biases and their impact on mental health would provide greater insights into how these processes may work in combination to influence psychopathology</w:t>
      </w:r>
      <w:r>
        <w:t xml:space="preserve"> </w:t>
      </w:r>
      <w:r>
        <w:t xml:space="preserve">(Lau &amp; Waters, 2017; Platt, Waters, Schulte-Koerne, Engelmann, &amp; Salemink, 2017; Songco, Booth, Spiegler, Parsons, &amp; Fox, 2020)</w:t>
      </w:r>
      <w:r>
        <w:t xml:space="preserve">.</w:t>
      </w:r>
    </w:p>
    <w:p>
      <w:pPr>
        <w:pStyle w:val="berschrift2"/>
      </w:pPr>
      <w:bookmarkStart w:id="22" w:name="psychological-network-approaches"/>
      <w:r>
        <w:t xml:space="preserve">Psychological Network approaches</w:t>
      </w:r>
      <w:bookmarkEnd w:id="22"/>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The network approach has been applied primarily to examinations of emotional vulnerability. Though, recent theoretical work has built on this to propose network approaches to resilience research (Kalisch et al. 2019), highlighting the opportunity network approaches offer to examining positive mental wellbeing, as we do in this study.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e.g. regularised partial correlations.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In this paper, we use a moderated network analysis to investigate mental health related changes in the structure of cognitive bias networks.</w:t>
      </w:r>
    </w:p>
    <w:p>
      <w:pPr>
        <w:pStyle w:val="Textkrper"/>
      </w:pPr>
      <w:r>
        <w:t xml:space="preserve">Network analyses have been used previously to investigate behavioural measures of cognition and behaviour, going beyond self-report measures</w:t>
      </w:r>
      <w:r>
        <w:t xml:space="preserve"> </w:t>
      </w:r>
      <w:r>
        <w:t xml:space="preserve">(Bernstein et al.,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wide-reaching beneficial effect on other components of rumination, and represents a potentially useful therapeutic target. Network analysis approaches provide an informative perspective on the interplay between cognitive processes and components of psychopathology and may help to inform the development of novel clinical interventions.</w:t>
      </w:r>
    </w:p>
    <w:p>
      <w:pPr>
        <w:pStyle w:val="berschrift2"/>
      </w:pPr>
      <w:bookmarkStart w:id="23" w:name="X1b6244f05ec1e1fa663451af6fcfafeba9eaaf4"/>
      <w:r>
        <w:t xml:space="preserve">Cognitive bias approaches to positive mental health and resilience</w:t>
      </w:r>
      <w:bookmarkEnd w:id="23"/>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 as with the CCBH the majority of this research has been conducted in adults. In the current study we employed a psychological network analysis approach to investigate the CCBH for positive mental health in adolescents. We use data from Wave 1 of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et al., 2017; Orchard &amp; Reynolds, 2018)</w:t>
      </w:r>
      <w:r>
        <w:t xml:space="preserve"> </w:t>
      </w:r>
      <w:r>
        <w:t xml:space="preserve">across different time points. In this study we focussed on interpretation, and memory biases, to limit the scope to the processes previously implicated in the CCBH</w:t>
      </w:r>
      <w:r>
        <w:t xml:space="preserve"> </w:t>
      </w:r>
      <w:r>
        <w:t xml:space="preserve">(Hirsch et al., 2006)</w:t>
      </w:r>
      <w:r>
        <w:t xml:space="preserve"> </w:t>
      </w:r>
      <w:r>
        <w:t xml:space="preserve">– we will investigate the development of these networks in a separate paper. We had intended to include attention bias, but due to poor reliability</w:t>
      </w:r>
      <w:r>
        <w:t xml:space="preserve"> </w:t>
      </w:r>
      <w:r>
        <w:t xml:space="preserve">(see Booth et al., 2019)</w:t>
      </w:r>
      <w:r>
        <w:t xml:space="preserve"> </w:t>
      </w:r>
      <w:r>
        <w:t xml:space="preserve">we opted to omit attention bias from the network analyses.</w:t>
      </w:r>
    </w:p>
    <w:p>
      <w:pPr>
        <w:pStyle w:val="Textkrper"/>
      </w:pPr>
      <w:r>
        <w:t xml:space="preserve">Our primary aim in this paper is to explore differences in the structure of cognitive bias networks between young adolescents who report higher and lower levels of mental health. We therefore use a moderated network approach, which allowed us to examine the moderating effect of mental health on the relationships between other biases. We note that moderation analyses are often used to search for evidence of causality. However, due to the cross-sectional data we analyse here we are not aiming to establish causal relations among biases from the network structure. To our knowledge, this is the first study to use network analyses to examine the role that connections in selective processing of emotional information plays in positive mental health in an adolescent sample.</w:t>
      </w:r>
    </w:p>
    <w:p>
      <w:pPr>
        <w:pStyle w:val="berschrift1"/>
      </w:pPr>
      <w:bookmarkStart w:id="24" w:name="methods"/>
      <w:r>
        <w:t xml:space="preserve">Methods</w:t>
      </w:r>
      <w:bookmarkEnd w:id="24"/>
    </w:p>
    <w:p>
      <w:pPr>
        <w:pStyle w:val="FirstParagraph"/>
      </w:pPr>
      <w:r>
        <w:t xml:space="preserve">The data analysed and presented in this paper are drawn from Wave 1 of the CogBIAS longitudinal study</w:t>
      </w:r>
      <w:r>
        <w:t xml:space="preserve"> </w:t>
      </w:r>
      <w:r>
        <w:t xml:space="preserve">(Booth et al., 2019, 2017)</w:t>
      </w:r>
      <w:r>
        <w:t xml:space="preserve">, which recruited 504 secondary school adolescents (</w:t>
      </w:r>
      <w:r>
        <w:rPr>
          <w:i/>
        </w:rPr>
        <w:t xml:space="preserve">M</w:t>
      </w:r>
      <w:r>
        <w:t xml:space="preserve"> </w:t>
      </w:r>
      <w:r>
        <w:t xml:space="preserve">age = 13.4,</w:t>
      </w:r>
      <w:r>
        <w:t xml:space="preserve"> </w:t>
      </w:r>
      <w:r>
        <w:rPr>
          <w:i/>
        </w:rPr>
        <w:t xml:space="preserve">SD</w:t>
      </w:r>
      <w:r>
        <w:t xml:space="preserve"> </w:t>
      </w:r>
      <w:r>
        <w:t xml:space="preserve">= 0.7) in the UK. Adolescents completed a series of cognitive bias measures (including attention, interpretation, and memory) across three waves of testing. Wave 1 of the CogBIAS study presents an ideal opportunity to examine the CCBH as it applies to early adolescents, specifically with respect to the role these cognitive biases play in positive mental health. To this aim, we use data from wave 1 of the CogBIAS study.</w:t>
      </w:r>
    </w:p>
    <w:p>
      <w:pPr>
        <w:pStyle w:val="berschrift2"/>
      </w:pPr>
      <w:bookmarkStart w:id="25" w:name="participants"/>
      <w:r>
        <w:t xml:space="preserve">Participants</w:t>
      </w:r>
      <w:bookmarkEnd w:id="25"/>
    </w:p>
    <w:p>
      <w:pPr>
        <w:pStyle w:val="FirstParagraph"/>
      </w:pPr>
      <w:r>
        <w:t xml:space="preserve">We first excluded all participants without complete data in all the measures described below, from the original sample of 504 adolescents. This resulted in a final sample of 450 adolescents (</w:t>
      </w:r>
      <w:r>
        <w:rPr>
          <w:i/>
        </w:rPr>
        <w:t xml:space="preserve">M</w:t>
      </w:r>
      <w:r>
        <w:t xml:space="preserve"> </w:t>
      </w:r>
      <w:r>
        <w:t xml:space="preserve">age = 13.37,</w:t>
      </w:r>
      <w:r>
        <w:t xml:space="preserve"> </w:t>
      </w:r>
      <w:r>
        <w:rPr>
          <w:i/>
        </w:rPr>
        <w:t xml:space="preserve">SD</w:t>
      </w:r>
      <w:r>
        <w:t xml:space="preserve"> </w:t>
      </w:r>
      <w:r>
        <w:t xml:space="preserve">= 0.75, 0 female, 75% Caucasian). We used the average score of parent’s highest level of education as an indirect measure of Socio-economic status, the median score was 4 (1 =</w:t>
      </w:r>
      <w:r>
        <w:t xml:space="preserve"> </w:t>
      </w:r>
      <w:r>
        <w:t xml:space="preserve">“</w:t>
      </w:r>
      <w:r>
        <w:t xml:space="preserve">Secondary school</w:t>
      </w:r>
      <w:r>
        <w:t xml:space="preserve">”</w:t>
      </w:r>
      <w:r>
        <w:t xml:space="preserve">, 2 =</w:t>
      </w:r>
      <w:r>
        <w:t xml:space="preserve"> </w:t>
      </w:r>
      <w:r>
        <w:t xml:space="preserve">“</w:t>
      </w:r>
      <w:r>
        <w:t xml:space="preserve">Vocational/technical school</w:t>
      </w:r>
      <w:r>
        <w:t xml:space="preserve">”</w:t>
      </w:r>
      <w:r>
        <w:t xml:space="preserve">, 3=</w:t>
      </w:r>
      <w:r>
        <w:t xml:space="preserve">“</w:t>
      </w:r>
      <w:r>
        <w:t xml:space="preserve">Some college</w:t>
      </w:r>
      <w:r>
        <w:t xml:space="preserve">”</w:t>
      </w:r>
      <w:r>
        <w:t xml:space="preserve">, 4 =</w:t>
      </w:r>
      <w:r>
        <w:t xml:space="preserve"> </w:t>
      </w:r>
      <w:r>
        <w:t xml:space="preserve">“</w:t>
      </w:r>
      <w:r>
        <w:t xml:space="preserve">Bachelor’s degree</w:t>
      </w:r>
      <w:r>
        <w:t xml:space="preserve">”</w:t>
      </w:r>
      <w:r>
        <w:t xml:space="preserve">, 5 =</w:t>
      </w:r>
      <w:r>
        <w:t xml:space="preserve"> </w:t>
      </w:r>
      <w:r>
        <w:t xml:space="preserve">“</w:t>
      </w:r>
      <w:r>
        <w:t xml:space="preserve">Master’s degree</w:t>
      </w:r>
      <w:r>
        <w:t xml:space="preserve">”</w:t>
      </w:r>
      <w:r>
        <w:t xml:space="preserve"> </w:t>
      </w:r>
      <w:r>
        <w:t xml:space="preserve">, 6 =</w:t>
      </w:r>
      <w:r>
        <w:t xml:space="preserve"> </w:t>
      </w:r>
      <w:r>
        <w:t xml:space="preserve">“</w:t>
      </w:r>
      <w:r>
        <w:t xml:space="preserve">Doctoral degree</w:t>
      </w:r>
      <w:r>
        <w:t xml:space="preserve">”</w:t>
      </w:r>
      <w:r>
        <w:t xml:space="preserve">).</w:t>
      </w:r>
    </w:p>
    <w:p>
      <w:pPr>
        <w:pStyle w:val="Textkrper"/>
      </w:pPr>
      <w:r>
        <w:t xml:space="preserve">We used the full sample (n = 450) for the moderated network analysis. In addition, for the first stage of our analysis we selected two groups of participants based on scores on the Mental Health Continuum (MHC). For this, we performed a tertile split to yield low and high Mental Health groups (low-MH and high-MH, respectively). The low-MH group consisted of 146 participants, scoring below 37 on the MHC and the high-MH group consisted of 150 participants scoring above 47 on the MHC.</w:t>
      </w:r>
    </w:p>
    <w:p>
      <w:pPr>
        <w:pStyle w:val="berschrift2"/>
      </w:pPr>
      <w:bookmarkStart w:id="26" w:name="procedure"/>
      <w:r>
        <w:t xml:space="preserve">Procedure</w:t>
      </w:r>
      <w:bookmarkEnd w:id="26"/>
    </w:p>
    <w:p>
      <w:pPr>
        <w:pStyle w:val="FirstParagraph"/>
      </w:pPr>
      <w:r>
        <w:t xml:space="preserve">Participants were tested in groups ranging between 13 and 50 students in computer labs either in their own school, or in the University. Testing consisted of two, one-hour sessions which were either back-to-back or on different days, depending on school and testing space availability. In each session, participants completed three cognitive tasks, in the same order, followed by a battery of questionnaires</w:t>
      </w:r>
      <w:r>
        <w:t xml:space="preserve"> </w:t>
      </w:r>
      <w:r>
        <w:t xml:space="preserve">(see Booth et al., 2017, for further information on measures not analysed in this paper)</w:t>
      </w:r>
      <w:r>
        <w:t xml:space="preserve">. With respect to the measures used in this analysis: The Interpretation bias task was completed in session 1, while the memory bias task and mental health questionnaire were completed in session 2. Participants were asked to complete both sessions under exam-like conditions, i.e. not talking or looking at their peers’ computer screens. At least two researchers were present throughout the testing sessions to answer any questions and ensure adequate testing conditions were maintained. Ethical approval for this study was given by the National Research Ethics Service (NREC; REC reference: 14/SC/0128; IRAS project ID: 141833).</w:t>
      </w:r>
    </w:p>
    <w:p>
      <w:pPr>
        <w:pStyle w:val="berschrift2"/>
      </w:pPr>
      <w:bookmarkStart w:id="27" w:name="measures"/>
      <w:r>
        <w:t xml:space="preserve">Measures</w:t>
      </w:r>
      <w:bookmarkEnd w:id="27"/>
    </w:p>
    <w:p>
      <w:pPr>
        <w:pStyle w:val="FirstParagraph"/>
      </w:pPr>
      <w:r>
        <w:t xml:space="preserve">As we were interested in differences in network structure of cognitive biases in adolescents reporting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a protocol paper for the CogBIAS study</w:t>
      </w:r>
      <w:r>
        <w:t xml:space="preserve"> </w:t>
      </w:r>
      <w:r>
        <w:t xml:space="preserve">(Booth et al., 2017)</w:t>
      </w:r>
      <w:r>
        <w:t xml:space="preserve">.</w:t>
      </w:r>
    </w:p>
    <w:p>
      <w:pPr>
        <w:pStyle w:val="berschrift3"/>
      </w:pPr>
      <w:bookmarkStart w:id="28" w:name="mental-health"/>
      <w:r>
        <w:t xml:space="preserve">Mental health.</w:t>
      </w:r>
      <w:bookmarkEnd w:id="28"/>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 As our focus was on the network of cognitive biases, and because we examined moderation of the network structure by mental health, we used the total score of the MHC in the networks, rather than the individual items.</w:t>
      </w:r>
    </w:p>
    <w:p>
      <w:pPr>
        <w:pStyle w:val="berschrift3"/>
      </w:pPr>
      <w:bookmarkStart w:id="29" w:name="attention-bias"/>
      <w:r>
        <w:t xml:space="preserve">Attention Bias.</w:t>
      </w:r>
      <w:bookmarkEnd w:id="29"/>
    </w:p>
    <w:p>
      <w:pPr>
        <w:pStyle w:val="FirstParagraph"/>
      </w:pPr>
      <w:r>
        <w:t xml:space="preserve">An emotional face (angry, happy, and pain) dot-probe task was used to index attention bias</w:t>
      </w:r>
      <w:r>
        <w:t xml:space="preserve"> </w:t>
      </w:r>
      <w:r>
        <w:t xml:space="preserve">(MacLeod, Mathews, &amp; Tata, 1986)</w:t>
      </w:r>
      <w:r>
        <w:t xml:space="preserve"> </w:t>
      </w:r>
      <w:r>
        <w:t xml:space="preserve">with stimuli from the STOIC faces database</w:t>
      </w:r>
      <w:r>
        <w:t xml:space="preserve"> </w:t>
      </w:r>
      <w:r>
        <w:t xml:space="preserve">(Roy et al., 2009)</w:t>
      </w:r>
      <w:r>
        <w:t xml:space="preserve">. As with other papers using data from the CogBIAS study, we have opted to omit the attention bias data from our analyses. The internal consistency reliability of the attention bias indices (n = 448 following removal of two participants for &lt; 70% accuracy - we note that these estimates do not reflect the exact sample used in the main analyses due to this) was estimated using the R package</w:t>
      </w:r>
      <w:r>
        <w:t xml:space="preserve"> </w:t>
      </w:r>
      <w:r>
        <w:rPr>
          <w:i/>
        </w:rPr>
        <w:t xml:space="preserve">splithalf</w:t>
      </w:r>
      <w:r>
        <w:t xml:space="preserve"> </w:t>
      </w:r>
      <w:r>
        <w:t xml:space="preserve">(Parsons, 2020)</w:t>
      </w:r>
      <w:r>
        <w:t xml:space="preserve"> </w:t>
      </w:r>
      <w:r>
        <w:t xml:space="preserve">and was below any acceptable threshold, in this sample; angry = 0.02 , 95% CI [-0.14, 0.18]; happy = 0.17 , 95% CI [0.02, 0.30]; pain = -0.07 , 95% CI [-0.22, 0.09]. These outcome measures are unsuitable for any analyses based on correlational measures and were omitted from any further analyses. For full details about the task, see Booth et al. </w:t>
      </w:r>
      <w:r>
        <w:t xml:space="preserve">(2019, 2017)</w:t>
      </w:r>
      <w:r>
        <w:t xml:space="preserve">.</w:t>
      </w:r>
    </w:p>
    <w:p>
      <w:pPr>
        <w:pStyle w:val="berschrift3"/>
      </w:pPr>
      <w:bookmarkStart w:id="30" w:name="interpretation-bias"/>
      <w:r>
        <w:t xml:space="preserve">Interpretation bias.</w:t>
      </w:r>
      <w:bookmarkEnd w:id="30"/>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[0.48,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0.48;</w:t>
      </w:r>
      <w:r>
        <w:t xml:space="preserve"> </w:t>
      </w:r>
      <m:oMath>
        <m:r>
          <m:t>α</m:t>
        </m:r>
      </m:oMath>
      <w:r>
        <w:t xml:space="preserve"> </w:t>
      </w:r>
      <w:r>
        <w:t xml:space="preserve">= 0.43, 95% CI [0.36, 0.50]); Non-Social Negative (</w:t>
      </w:r>
      <m:oMath>
        <m:r>
          <m:t>ω</m:t>
        </m:r>
      </m:oMath>
      <w:r>
        <w:t xml:space="preserve"> </w:t>
      </w:r>
      <w:r>
        <w:t xml:space="preserve">= 0.64;</w:t>
      </w:r>
      <w:r>
        <w:t xml:space="preserve"> </w:t>
      </w:r>
      <m:oMath>
        <m:r>
          <m:t>α</m:t>
        </m:r>
      </m:oMath>
      <w:r>
        <w:t xml:space="preserve"> </w:t>
      </w:r>
      <w:r>
        <w:t xml:space="preserve">= 0.58, 95% CI [0.53, 0.64]).</w:t>
      </w:r>
    </w:p>
    <w:p>
      <w:pPr>
        <w:pStyle w:val="berschrift3"/>
      </w:pPr>
      <w:bookmarkStart w:id="31" w:name="memory-bias"/>
      <w:r>
        <w:t xml:space="preserve">Memory bias.</w:t>
      </w:r>
      <w:bookmarkEnd w:id="31"/>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Internal consistency reliability estimates were obtained using the R package</w:t>
      </w:r>
      <w:r>
        <w:t xml:space="preserve"> </w:t>
      </w:r>
      <w:r>
        <w:rPr>
          <w:i/>
        </w:rPr>
        <w:t xml:space="preserve">splithalf</w:t>
      </w:r>
      <w:r>
        <w:t xml:space="preserve"> </w:t>
      </w:r>
      <w:r>
        <w:t xml:space="preserve">(Parsons, 2020)</w:t>
      </w:r>
      <w:r>
        <w:t xml:space="preserve">: Negative = 0.62 , 95% CI [0.57, 0.68]; and Positive = 0.45 , 95% CI [0.38, 0.51]</w:t>
      </w:r>
    </w:p>
    <w:p>
      <w:pPr>
        <w:pStyle w:val="berschrift2"/>
      </w:pPr>
      <w:bookmarkStart w:id="32" w:name="data-analysis"/>
      <w:r>
        <w:t xml:space="preserve">Data analysis</w:t>
      </w:r>
      <w:bookmarkEnd w:id="32"/>
    </w:p>
    <w:p>
      <w:pPr>
        <w:pStyle w:val="FirstParagraph"/>
      </w:pPr>
      <w:r>
        <w:t xml:space="preserve">First, we report a preliminary analysis in which we compared the network structure of interpretation and memory biases for a high-MH and a low-MH group, following a tertile split of the data by mental health. We computed a</w:t>
      </w:r>
      <w:r>
        <w:t xml:space="preserve"> </w:t>
      </w:r>
      <w:r>
        <w:t xml:space="preserve">‘</w:t>
      </w:r>
      <w:r>
        <w:t xml:space="preserve">graphical LASSO</w:t>
      </w:r>
      <w:r>
        <w:t xml:space="preserve">’</w:t>
      </w:r>
      <w:r>
        <w:t xml:space="preserve"> </w:t>
      </w:r>
      <w:r>
        <w:t xml:space="preserve">(gLASSO; Epskamp, Borsboom, &amp; Fried, 2017; also Friedman, Hastie, &amp; Tibshirani, 2008)</w:t>
      </w:r>
      <w:r>
        <w:t xml:space="preserve"> </w:t>
      </w:r>
      <w:r>
        <w:t xml:space="preserve">estimation procedure with EBIC model selection</w:t>
      </w:r>
      <w:r>
        <w:t xml:space="preserve"> </w:t>
      </w:r>
      <w:r>
        <w:t xml:space="preserve">(Foygel &amp; Drton, 2010)</w:t>
      </w:r>
      <w:r>
        <w:t xml:space="preserve">. The glasso algorithm is implemented in the</w:t>
      </w:r>
      <w:r>
        <w:t xml:space="preserve"> </w:t>
      </w:r>
      <w:r>
        <w:rPr>
          <w:i/>
        </w:rPr>
        <w:t xml:space="preserve">glasso</w:t>
      </w:r>
      <w:r>
        <w:t xml:space="preserve"> </w:t>
      </w:r>
      <w:r>
        <w:t xml:space="preserve">package</w:t>
      </w:r>
      <w:r>
        <w:t xml:space="preserve"> </w:t>
      </w:r>
      <w:r>
        <w:t xml:space="preserve">(Friedman, Hastie, &amp; Tibshirani, 2019)</w:t>
      </w:r>
      <w:r>
        <w:t xml:space="preserve">, and is called by the</w:t>
      </w:r>
      <w:r>
        <w:t xml:space="preserve"> </w:t>
      </w:r>
      <w:r>
        <w:rPr>
          <w:i/>
        </w:rPr>
        <w:t xml:space="preserve">bootnet</w:t>
      </w:r>
      <w:r>
        <w:t xml:space="preserve"> </w:t>
      </w:r>
      <w:r>
        <w:t xml:space="preserve">package</w:t>
      </w:r>
      <w:r>
        <w:t xml:space="preserve"> </w:t>
      </w:r>
      <w:r>
        <w:t xml:space="preserve">(Epskamp et al., 2017)</w:t>
      </w:r>
      <w:r>
        <w:t xml:space="preserve">, which we used for this paper. The glasso algorithm estimates a partial correlation network by directly penalising elements of the variance-covariance matrix and removing edges close to zero. We set the tuning parameter gamma to 0.5 to generate a sparser network, due to the removal of potentially spurious associations. We then used the NCT function from the</w:t>
      </w:r>
      <w:r>
        <w:t xml:space="preserve"> </w:t>
      </w:r>
      <w:r>
        <w:rPr>
          <w:i/>
        </w:rPr>
        <w:t xml:space="preserve">NetworkComparisonTest</w:t>
      </w:r>
      <w:r>
        <w:t xml:space="preserve"> </w:t>
      </w:r>
      <w:r>
        <w:t xml:space="preserve">package</w:t>
      </w:r>
      <w:r>
        <w:t xml:space="preserve"> </w:t>
      </w:r>
      <w:r>
        <w:t xml:space="preserve">(van Borkulo, Sacha Epskamp, &amp; Millner, 2016)</w:t>
      </w:r>
      <w:r>
        <w:t xml:space="preserve"> </w:t>
      </w:r>
      <w:r>
        <w:t xml:space="preserve">to compare our high mental health and low mental health networks. The function tests for differences in the overall connectivity (as the sum of all edge weights in the network, or global strength) between networks.</w:t>
      </w:r>
    </w:p>
    <w:p>
      <w:pPr>
        <w:pStyle w:val="Textkrper"/>
      </w:pPr>
      <w:r>
        <w:t xml:space="preserve">For the core analysis, we conducted a moderated network analysis</w:t>
      </w:r>
      <w:r>
        <w:t xml:space="preserve"> </w:t>
      </w:r>
      <w:r>
        <w:t xml:space="preserve">(Haslbeck et al., 2018)</w:t>
      </w:r>
      <w:r>
        <w:t xml:space="preserve"> </w:t>
      </w:r>
      <w:r>
        <w:t xml:space="preserve">using the</w:t>
      </w:r>
      <w:r>
        <w:t xml:space="preserve"> </w:t>
      </w:r>
      <w:r>
        <w:rPr>
          <w:i/>
        </w:rPr>
        <w:t xml:space="preserve">mgm</w:t>
      </w:r>
      <w:r>
        <w:t xml:space="preserve"> </w:t>
      </w:r>
      <w:r>
        <w:t xml:space="preserve">package, treating Mental Health as a moderating variable in the network. This allowed us to use the entire sample (n = 450)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 </w:t>
      </w:r>
      <w:r>
        <w:t xml:space="preserve">(2018)</w:t>
      </w:r>
      <w:r>
        <w:t xml:space="preserve"> </w:t>
      </w:r>
      <w:r>
        <w:t xml:space="preserve">demonstrated that a moderated network approach outperforms split-sample methods like network comparison test and fused graphical lasso models. We also obtained predictability indices for each node in the network. We then resampled the estimated network 1000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Textkrper"/>
      </w:pPr>
      <w:r>
        <w:t xml:space="preserve">We have included both the moderated network analysis and network comparison analyses in this paper. We completed the network comparison analyses before being made aware of moderated network analysis and its applicability to our research question. Further, the results of both analyses converged on similar conclusions.</w:t>
      </w:r>
    </w:p>
    <w:p>
      <w:pPr>
        <w:pStyle w:val="berschrift1"/>
      </w:pPr>
      <w:bookmarkStart w:id="33" w:name="results"/>
      <w:r>
        <w:t xml:space="preserve">Results</w:t>
      </w:r>
      <w:bookmarkEnd w:id="33"/>
    </w:p>
    <w:p>
      <w:pPr>
        <w:pStyle w:val="FirstParagraph"/>
      </w:pPr>
      <w:r>
        <w:t xml:space="preserve">Table 1 presents the descriptive statistics and correlation matrix for all variables included in the network analysis. Supplementary table 1 presents the descriptive statistics for the high and low groups. Supplementary tables also contain the correlation and covariance matrices for the low MH subsample (S2-3), the high MH subsamples (S5-6), and the full sample (S 8-9).</w:t>
      </w:r>
    </w:p>
    <w:p>
      <w:pPr>
        <w:pStyle w:val="Compact"/>
      </w:pPr>
      <w:r>
        <w:t xml:space="preserve">Table 1:</w:t>
      </w:r>
    </w:p>
    <w:p>
      <w:pPr>
        <w:pStyle w:val="Compact"/>
        <w:pStyle w:val="TableCaption"/>
      </w:pPr>
      <w:r>
        <w:rPr>
          <w:i/>
        </w:rPr>
        <w:t xml:space="preserve">Descriptive statistics and correlation matrix for the full sample (n = 451) and descriptive statistics for the low-MH and high-MH group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r>
      <w:tr>
        <w:tc>
          <w:p>
            <w:pPr>
              <w:pStyle w:val="Compact"/>
              <w:jc w:val="left"/>
            </w:pPr>
            <w:r>
              <w:t xml:space="preserve">MH (1)</w:t>
            </w:r>
          </w:p>
        </w:tc>
        <w:tc>
          <w:p>
            <w:pPr>
              <w:pStyle w:val="Compact"/>
              <w:jc w:val="right"/>
            </w:pPr>
            <w:r>
              <w:t xml:space="preserve">40.74</w:t>
            </w:r>
          </w:p>
        </w:tc>
        <w:tc>
          <w:p>
            <w:pPr>
              <w:pStyle w:val="Compact"/>
              <w:jc w:val="right"/>
            </w:pPr>
            <w:r>
              <w:t xml:space="preserve">12.59</w:t>
            </w:r>
          </w:p>
        </w:tc>
        <w:tc>
          <w:p/>
        </w:tc>
        <w:tc>
          <w:p/>
        </w:tc>
        <w:tc>
          <w:p/>
        </w:tc>
        <w:tc>
          <w:p/>
        </w:tc>
        <w:tc>
          <w:p/>
        </w:tc>
        <w:tc>
          <w:p/>
        </w:tc>
      </w:tr>
      <w:tr>
        <w:tc>
          <w:p>
            <w:pPr>
              <w:pStyle w:val="Compact"/>
              <w:jc w:val="left"/>
            </w:pPr>
            <w:r>
              <w:t xml:space="preserve">IB_S_Pos (2)</w:t>
            </w:r>
          </w:p>
        </w:tc>
        <w:tc>
          <w:p>
            <w:pPr>
              <w:pStyle w:val="Compact"/>
              <w:jc w:val="right"/>
            </w:pPr>
            <w:r>
              <w:t xml:space="preserve">2.55</w:t>
            </w:r>
          </w:p>
        </w:tc>
        <w:tc>
          <w:p>
            <w:pPr>
              <w:pStyle w:val="Compact"/>
              <w:jc w:val="right"/>
            </w:pPr>
            <w:r>
              <w:t xml:space="preserve">0.62</w:t>
            </w:r>
          </w:p>
        </w:tc>
        <w:tc>
          <w:p>
            <w:pPr>
              <w:pStyle w:val="Compact"/>
              <w:jc w:val="right"/>
            </w:pPr>
            <w:r>
              <w:t xml:space="preserve">.37</w:t>
            </w:r>
          </w:p>
        </w:tc>
        <w:tc>
          <w:p/>
        </w:tc>
        <w:tc>
          <w:p/>
        </w:tc>
        <w:tc>
          <w:p/>
        </w:tc>
        <w:tc>
          <w:p/>
        </w:tc>
        <w:tc>
          <w:p/>
        </w:tc>
      </w:tr>
      <w:tr>
        <w:tc>
          <w:p>
            <w:pPr>
              <w:pStyle w:val="Compact"/>
              <w:jc w:val="left"/>
            </w:pPr>
            <w:r>
              <w:t xml:space="preserve">IB_N_Pos (3)</w:t>
            </w:r>
          </w:p>
        </w:tc>
        <w:tc>
          <w:p>
            <w:pPr>
              <w:pStyle w:val="Compact"/>
              <w:jc w:val="right"/>
            </w:pPr>
            <w:r>
              <w:t xml:space="preserve">3.54</w:t>
            </w:r>
          </w:p>
        </w:tc>
        <w:tc>
          <w:p>
            <w:pPr>
              <w:pStyle w:val="Compact"/>
              <w:jc w:val="right"/>
            </w:pPr>
            <w:r>
              <w:t xml:space="preserve">0.64</w:t>
            </w:r>
          </w:p>
        </w:tc>
        <w:tc>
          <w:p>
            <w:pPr>
              <w:pStyle w:val="Compact"/>
              <w:jc w:val="right"/>
            </w:pPr>
            <w:r>
              <w:t xml:space="preserve">.33</w:t>
            </w:r>
          </w:p>
        </w:tc>
        <w:tc>
          <w:p>
            <w:pPr>
              <w:pStyle w:val="Compact"/>
              <w:jc w:val="right"/>
            </w:pPr>
            <w:r>
              <w:t xml:space="preserve">.41</w:t>
            </w:r>
          </w:p>
        </w:tc>
        <w:tc>
          <w:p/>
        </w:tc>
        <w:tc>
          <w:p/>
        </w:tc>
        <w:tc>
          <w:p/>
        </w:tc>
        <w:tc>
          <w:p/>
        </w:tc>
      </w:tr>
      <w:tr>
        <w:tc>
          <w:p>
            <w:pPr>
              <w:pStyle w:val="Compact"/>
              <w:jc w:val="left"/>
            </w:pPr>
            <w:r>
              <w:t xml:space="preserve">IB_S_Neg (4)</w:t>
            </w:r>
          </w:p>
        </w:tc>
        <w:tc>
          <w:p>
            <w:pPr>
              <w:pStyle w:val="Compact"/>
              <w:jc w:val="right"/>
            </w:pPr>
            <w:r>
              <w:t xml:space="preserve">3.29</w:t>
            </w:r>
          </w:p>
        </w:tc>
        <w:tc>
          <w:p>
            <w:pPr>
              <w:pStyle w:val="Compact"/>
              <w:jc w:val="right"/>
            </w:pPr>
            <w:r>
              <w:t xml:space="preserve">0.88</w:t>
            </w:r>
          </w:p>
        </w:tc>
        <w:tc>
          <w:p>
            <w:pPr>
              <w:pStyle w:val="Compact"/>
              <w:jc w:val="right"/>
            </w:pPr>
            <w:r>
              <w:t xml:space="preserve">-.25</w:t>
            </w:r>
          </w:p>
        </w:tc>
        <w:tc>
          <w:p>
            <w:pPr>
              <w:pStyle w:val="Compact"/>
              <w:jc w:val="right"/>
            </w:pPr>
            <w:r>
              <w:t xml:space="preserve">-.26</w:t>
            </w:r>
          </w:p>
        </w:tc>
        <w:tc>
          <w:p>
            <w:pPr>
              <w:pStyle w:val="Compact"/>
              <w:jc w:val="right"/>
            </w:pPr>
            <w:r>
              <w:t xml:space="preserve">-.17</w:t>
            </w:r>
          </w:p>
        </w:tc>
        <w:tc>
          <w:p/>
        </w:tc>
        <w:tc>
          <w:p/>
        </w:tc>
        <w:tc>
          <w:p/>
        </w:tc>
      </w:tr>
      <w:tr>
        <w:tc>
          <w:p>
            <w:pPr>
              <w:pStyle w:val="Compact"/>
              <w:jc w:val="left"/>
            </w:pPr>
            <w:r>
              <w:t xml:space="preserve">IB_N_Neg (5)</w:t>
            </w:r>
          </w:p>
        </w:tc>
        <w:tc>
          <w:p>
            <w:pPr>
              <w:pStyle w:val="Compact"/>
              <w:jc w:val="right"/>
            </w:pPr>
            <w:r>
              <w:t xml:space="preserve">3.17</w:t>
            </w:r>
          </w:p>
        </w:tc>
        <w:tc>
          <w:p>
            <w:pPr>
              <w:pStyle w:val="Compact"/>
              <w:jc w:val="right"/>
            </w:pPr>
            <w:r>
              <w:t xml:space="preserve">0.72</w:t>
            </w:r>
          </w:p>
        </w:tc>
        <w:tc>
          <w:p>
            <w:pPr>
              <w:pStyle w:val="Compact"/>
              <w:jc w:val="right"/>
            </w:pPr>
            <w:r>
              <w:t xml:space="preserve">-.15</w:t>
            </w:r>
          </w:p>
        </w:tc>
        <w:tc>
          <w:p>
            <w:pPr>
              <w:pStyle w:val="Compact"/>
              <w:jc w:val="right"/>
            </w:pPr>
            <w:r>
              <w:t xml:space="preserve">-.00</w:t>
            </w:r>
          </w:p>
        </w:tc>
        <w:tc>
          <w:p>
            <w:pPr>
              <w:pStyle w:val="Compact"/>
              <w:jc w:val="right"/>
            </w:pPr>
            <w:r>
              <w:t xml:space="preserve">-.19</w:t>
            </w:r>
          </w:p>
        </w:tc>
        <w:tc>
          <w:p>
            <w:pPr>
              <w:pStyle w:val="Compact"/>
              <w:jc w:val="right"/>
            </w:pPr>
            <w:r>
              <w:t xml:space="preserve">.51</w:t>
            </w:r>
          </w:p>
        </w:tc>
        <w:tc>
          <w:p/>
        </w:tc>
        <w:tc>
          <w:p/>
        </w:tc>
      </w:tr>
      <w:tr>
        <w:tc>
          <w:p>
            <w:pPr>
              <w:pStyle w:val="Compact"/>
              <w:jc w:val="left"/>
            </w:pPr>
            <w:r>
              <w:t xml:space="preserve">MB_Pos (6)</w:t>
            </w:r>
          </w:p>
        </w:tc>
        <w:tc>
          <w:p>
            <w:pPr>
              <w:pStyle w:val="Compact"/>
              <w:jc w:val="right"/>
            </w:pPr>
            <w:r>
              <w:t xml:space="preserve">6.84</w:t>
            </w:r>
          </w:p>
        </w:tc>
        <w:tc>
          <w:p>
            <w:pPr>
              <w:pStyle w:val="Compact"/>
              <w:jc w:val="right"/>
            </w:pPr>
            <w:r>
              <w:t xml:space="preserve">2.87</w:t>
            </w:r>
          </w:p>
        </w:tc>
        <w:tc>
          <w:p>
            <w:pPr>
              <w:pStyle w:val="Compact"/>
              <w:jc w:val="right"/>
            </w:pPr>
            <w:r>
              <w:t xml:space="preserve">.40</w:t>
            </w:r>
          </w:p>
        </w:tc>
        <w:tc>
          <w:p>
            <w:pPr>
              <w:pStyle w:val="Compact"/>
              <w:jc w:val="right"/>
            </w:pPr>
            <w:r>
              <w:t xml:space="preserve">.30</w:t>
            </w:r>
          </w:p>
        </w:tc>
        <w:tc>
          <w:p>
            <w:pPr>
              <w:pStyle w:val="Compact"/>
              <w:jc w:val="right"/>
            </w:pPr>
            <w:r>
              <w:t xml:space="preserve">.21</w:t>
            </w:r>
          </w:p>
        </w:tc>
        <w:tc>
          <w:p>
            <w:pPr>
              <w:pStyle w:val="Compact"/>
              <w:jc w:val="right"/>
            </w:pPr>
            <w:r>
              <w:t xml:space="preserve">-.24</w:t>
            </w:r>
          </w:p>
        </w:tc>
        <w:tc>
          <w:p>
            <w:pPr>
              <w:pStyle w:val="Compact"/>
              <w:jc w:val="right"/>
            </w:pPr>
            <w:r>
              <w:t xml:space="preserve">-.15</w:t>
            </w:r>
          </w:p>
        </w:tc>
        <w:tc>
          <w:p/>
        </w:tc>
      </w:tr>
      <w:tr>
        <w:tc>
          <w:p>
            <w:pPr>
              <w:pStyle w:val="Compact"/>
              <w:jc w:val="left"/>
            </w:pPr>
            <w:r>
              <w:t xml:space="preserve">MB_Neg (7)</w:t>
            </w:r>
          </w:p>
        </w:tc>
        <w:tc>
          <w:p>
            <w:pPr>
              <w:pStyle w:val="Compact"/>
              <w:jc w:val="right"/>
            </w:pPr>
            <w:r>
              <w:t xml:space="preserve">2.51</w:t>
            </w:r>
          </w:p>
        </w:tc>
        <w:tc>
          <w:p>
            <w:pPr>
              <w:pStyle w:val="Compact"/>
              <w:jc w:val="right"/>
            </w:pPr>
            <w:r>
              <w:t xml:space="preserve">2.34</w:t>
            </w:r>
          </w:p>
        </w:tc>
        <w:tc>
          <w:p>
            <w:pPr>
              <w:pStyle w:val="Compact"/>
              <w:jc w:val="right"/>
            </w:pPr>
            <w:r>
              <w:t xml:space="preserve">-.43</w:t>
            </w:r>
          </w:p>
        </w:tc>
        <w:tc>
          <w:p>
            <w:pPr>
              <w:pStyle w:val="Compact"/>
              <w:jc w:val="right"/>
            </w:pPr>
            <w:r>
              <w:t xml:space="preserve">-.28</w:t>
            </w:r>
          </w:p>
        </w:tc>
        <w:tc>
          <w:p>
            <w:pPr>
              <w:pStyle w:val="Compact"/>
              <w:jc w:val="right"/>
            </w:pPr>
            <w:r>
              <w:t xml:space="preserve">-.26</w:t>
            </w:r>
          </w:p>
        </w:tc>
        <w:tc>
          <w:p>
            <w:pPr>
              <w:pStyle w:val="Compact"/>
              <w:jc w:val="right"/>
            </w:pPr>
            <w:r>
              <w:t xml:space="preserve">.42</w:t>
            </w:r>
          </w:p>
        </w:tc>
        <w:tc>
          <w:p>
            <w:pPr>
              <w:pStyle w:val="Compact"/>
              <w:jc w:val="right"/>
            </w:pPr>
            <w:r>
              <w:t xml:space="preserve">.24</w:t>
            </w:r>
          </w:p>
        </w:tc>
        <w:tc>
          <w:p>
            <w:pPr>
              <w:pStyle w:val="Compact"/>
              <w:jc w:val="right"/>
            </w:pPr>
            <w:r>
              <w:t xml:space="preserve">-.29</w:t>
            </w:r>
          </w:p>
        </w:tc>
      </w:tr>
    </w:tbl>
    <w:p>
      <w:pPr>
        <w:pStyle w:val="Compact"/>
      </w:pPr>
      <w:r>
        <w:rPr>
          <w:i/>
        </w:rPr>
        <w:t xml:space="preserve">Note.</w:t>
      </w:r>
      <w:r>
        <w:t xml:space="preserve"> </w:t>
      </w:r>
      <w:r>
        <w:t xml:space="preserve">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 </w:t>
      </w:r>
    </w:p>
    <w:p>
      <w:pPr>
        <w:pStyle w:val="berschrift3"/>
      </w:pPr>
      <w:bookmarkStart w:id="34" w:name="X6a33f0a1d62f4c37d5be1843b0152b83bf4afa1"/>
      <w:r>
        <w:t xml:space="preserve">Comparing networks of cognitive biases in a low mental health group to a high mental health group.</w:t>
      </w:r>
      <w:bookmarkEnd w:id="34"/>
    </w:p>
    <w:p>
      <w:pPr>
        <w:pStyle w:val="FirstParagraph"/>
      </w:pPr>
      <w:r>
        <w:t xml:space="preserve">First we estimated a graphical LASSO network (tuning parameter gamma was set to .5 to generate a sparser network) for the high and low mental health groups separately (edge weight matrices for the low MH and high MH groups can be found in supplemental tables S4 and S7, respectively).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are weaker in the high mental health group. To formally compare the global strength of each network (the sum of edge strengths in the network) we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We ran 1000 iterations resampling from the networks. The low-MH network (global strength = 1.75) was more strongly connected overall than the high-MH network (global strength = 0.37), and this difference was statistically significant,</w:t>
      </w:r>
      <w:r>
        <w:t xml:space="preserve"> </w:t>
      </w:r>
      <w:r>
        <w:rPr>
          <w:i/>
        </w:rPr>
        <w:t xml:space="preserve">p</w:t>
      </w:r>
      <w:r>
        <w:t xml:space="preserve"> </w:t>
      </w:r>
      <w:r>
        <w:t xml:space="preserve">= .015.</w:t>
      </w:r>
    </w:p>
    <w:p>
      <w:pPr>
        <w:pStyle w:val="Textkrper"/>
      </w:pPr>
      <w:r>
        <w:t xml:space="preserve">It is possible that low connectivity in the high-MH group could be caused by low variance. We ran Brown-Forsythe tests for equality of variances for each bias to compare the high and low group. For all variables, the high-MH group had significantly less variance (all</w:t>
      </w:r>
      <w:r>
        <w:t xml:space="preserve"> </w:t>
      </w:r>
      <w:r>
        <w:rPr>
          <w:i/>
        </w:rPr>
        <w:t xml:space="preserve">p</w:t>
      </w:r>
      <w:r>
        <w:t xml:space="preserve"> </w:t>
      </w:r>
      <w:r>
        <w:t xml:space="preserve">values &lt; .05). While significant, the differences are small. For example, positive interpretation bias for social scenarios had variances of 0.37 and 0.33 for the low-MH and high-MH groups, respectively. We do not think it is likely that of the small differences in variance entirely explains the low connectivity in the high-MH group, relative to the low-MH group. The following moderated network model approach analysis helps navigate this limitation by using the continuous measure of mental health.</w:t>
      </w:r>
    </w:p>
    <w:p>
      <w:pPr>
        <w:pStyle w:val="CaptionedFigure"/>
      </w:pPr>
      <w:r>
        <w:drawing>
          <wp:inline>
            <wp:extent cx="4587290" cy="3669832"/>
            <wp:effectExtent b="0" l="0" r="0" t="0"/>
            <wp:docPr descr="(#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(#fig:unnamed-chunk-1)Graphical</w:t>
      </w:r>
      <w:r>
        <w:t xml:space="preserve"> </w:t>
      </w:r>
      <w:r>
        <w:rPr>
          <w:i/>
        </w:rPr>
        <w:t xml:space="preserve">LASSO</w:t>
      </w:r>
      <w:r>
        <w:t xml:space="preserve">.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w:t>
      </w:r>
      <w:r>
        <w:t xml:space="preserve"> </w:t>
      </w:r>
      <w:r>
        <w:t xml:space="preserve">Note. IB_S_Pos = Social Positive Interpretation Bias; IB_S_Neg = Social Negative Interpretation Bias; IB_N_Pos = Non-Social Negative Interpretation Bias; IB_N_Neg = Non-Social; MB_Pos = positive memory bias; MB_Neg = negative memory bias.</w:t>
      </w:r>
    </w:p>
    <w:p>
      <w:pPr>
        <w:pStyle w:val="berschrift3"/>
      </w:pPr>
      <w:bookmarkStart w:id="36" w:name="moderated-network-analysis"/>
      <w:r>
        <w:t xml:space="preserve">Moderated network analysis.</w:t>
      </w:r>
      <w:bookmarkEnd w:id="36"/>
    </w:p>
    <w:p>
      <w:pPr>
        <w:pStyle w:val="FirstParagraph"/>
      </w:pPr>
      <w:r>
        <w:t xml:space="preserve">As described in the data analysis section, there are some limitations to the Network Comparison analysis. Splitting the sample and comparing the global strength provides some, but limited, information about the moderating effect of mental health on the interrelationships among cognitive biases. Therefore, to fully address the question of moderation we analysed the complete data set (n=450) using a Moderated Network analysis approach</w:t>
      </w:r>
      <w:r>
        <w:t xml:space="preserve"> </w:t>
      </w:r>
      <w:r>
        <w:t xml:space="preserve">(Haslbeck et al., 2018)</w:t>
      </w:r>
      <w:r>
        <w:t xml:space="preserve">. We used the</w:t>
      </w:r>
      <w:r>
        <w:t xml:space="preserve"> </w:t>
      </w:r>
      <w:r>
        <w:rPr>
          <w:i/>
        </w:rPr>
        <w:t xml:space="preserve">mgm</w:t>
      </w:r>
      <w:r>
        <w:t xml:space="preserve"> </w:t>
      </w:r>
      <w:r>
        <w:t xml:space="preserve">package</w:t>
      </w:r>
      <w:r>
        <w:t xml:space="preserve"> </w:t>
      </w:r>
      <w:r>
        <w:t xml:space="preserve">(Haslbeck et al.,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k edge weights are obtained for each k-order interaction (e.g. 2 for pairwise interactions and 3 for the moderated effects). We used the OR-rule to combine these weights, which takes the mean of all k parameter estimates, as the default option and because the AND-rule may be too conservative for the 3-way interactions of interest</w:t>
      </w:r>
      <w:r>
        <w:t xml:space="preserve"> </w:t>
      </w:r>
      <w:r>
        <w:t xml:space="preserve">(Haslbeck et al.,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2. For ease of interpretation we present the moderation effects separately in Figure 3 (A table containing the pairwise and interaction effects for each edge can be found in supplemental table S10).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33.60%; the predictability of the cognitive biases ranged from 21.80% (positive memory bias) to 38.20% (negative social interpretation bias).</w:t>
      </w:r>
    </w:p>
    <w:p>
      <w:pPr>
        <w:pStyle w:val="CaptionedFigure"/>
      </w:pPr>
      <w:r>
        <w:drawing>
          <wp:inline>
            <wp:extent cx="4587290" cy="3669832"/>
            <wp:effectExtent b="0" l="0" r="0" t="0"/>
            <wp:docPr descr="(#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(#fig:unnamed-chunk-3)Estimated</w:t>
      </w:r>
      <w:r>
        <w:t xml:space="preserve"> </w:t>
      </w:r>
      <w:r>
        <w:rPr>
          <w:i/>
        </w:rPr>
        <w:t xml:space="preserve">moderated</w:t>
      </w:r>
      <w:r>
        <w:t xml:space="preserve">.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We ran 1000 iterations of a spinglass procedure</w:t>
      </w:r>
      <w:r>
        <w:t xml:space="preserve"> </w:t>
      </w:r>
      <w:r>
        <w:t xml:space="preserve">(Reichardt &amp; Bornholdt, 2006)</w:t>
      </w:r>
      <w:r>
        <w:t xml:space="preserve"> </w:t>
      </w:r>
      <w:r>
        <w:t xml:space="preserve">using the R package</w:t>
      </w:r>
      <w:r>
        <w:t xml:space="preserve"> </w:t>
      </w:r>
      <w:r>
        <w:rPr>
          <w:i/>
        </w:rPr>
        <w:t xml:space="preserve">igraph</w:t>
      </w:r>
      <w:r>
        <w:t xml:space="preserve"> </w:t>
      </w:r>
      <w:r>
        <w:t xml:space="preserve">(Csardi &amp; Nepusz, 2006)</w:t>
      </w:r>
      <w:r>
        <w:t xml:space="preserve"> </w:t>
      </w:r>
      <w:r>
        <w:t xml:space="preserve">to examine communalities within the network. In 95.20% iterations two groups were formed, separating the positive and negative biases. In these, mental health was grouped with the positive variables in 100% of cases.</w:t>
      </w:r>
    </w:p>
    <w:p>
      <w:pPr>
        <w:pStyle w:val="Textkrper"/>
      </w:pPr>
      <w:r>
        <w:t xml:space="preserve">To obtain information about the stability of the moderated network we resampled the moderated network 1000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re 3:.  Edge strength and degree of moderation by mental health. The left panel presents the estimated edge weights (these correspond to the network visualization in figure 2)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4-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Edge strength and degree of moderation by mental health. The left panel presents the estimated edge weights (these correspond to the network visualization in figure 2) from 1000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Textkrper"/>
      </w:pPr>
      <w:r>
        <w:t xml:space="preserve">We then ran a parametric bootstrap to further probe the robustness of the moderation effects</w:t>
      </w:r>
      <w:r>
        <w:rPr>
          <w:rStyle w:val="Funotenzeichen"/>
        </w:rPr>
        <w:footnoteReference w:id="39"/>
      </w:r>
      <w:r>
        <w:t xml:space="preserve">. We generated a distribution following a null model, i.e. that there are no moderated edges, and compared this to the point estimates from our full model (Figure 3). We extracted the edge weights matrix from our full model (i.e. Figure 3, left panel) and used the ggmGenerator function from the R package</w:t>
      </w:r>
      <w:r>
        <w:t xml:space="preserve"> </w:t>
      </w:r>
      <w:r>
        <w:rPr>
          <w:i/>
        </w:rPr>
        <w:t xml:space="preserve">bootnet</w:t>
      </w:r>
      <w:r>
        <w:t xml:space="preserve"> </w:t>
      </w:r>
      <w:r>
        <w:t xml:space="preserve">(Epskamp et al., 2017)</w:t>
      </w:r>
      <w:r>
        <w:t xml:space="preserve"> </w:t>
      </w:r>
      <w:r>
        <w:t xml:space="preserve">to simulate 1000 datasets from this model. We applied the full moderated model to each dataset and extracted the edge weights and interaction effects. We then compiled the distributions of interaction effects generated from the null model. We present the null model in the appendices (Table S11 and Figure S12). In most cases, the simulated distributions of interaction effects are near indistinguishable from zero. The point estimate of every interaction effect fell outside the 95% confidence intervals from the null model distributions. This pattern of results gives us more confidence in the moderaton effects observed - though the moderation effects are small, and we are careful to avoid over-interpreting the size of results, as discussed below.</w:t>
      </w:r>
    </w:p>
    <w:p>
      <w:pPr>
        <w:pStyle w:val="berschrift2"/>
      </w:pPr>
      <w:bookmarkStart w:id="40" w:name="Xd24941ad588081bd8fd6db250955b89cf0d2098"/>
      <w:r>
        <w:t xml:space="preserve">Conditioning the network on Mental Health</w:t>
      </w:r>
      <w:bookmarkEnd w:id="40"/>
    </w:p>
    <w:p>
      <w:pPr>
        <w:pStyle w:val="FirstParagraph"/>
      </w:pPr>
      <w:r>
        <w:t xml:space="preserve">To highlight the influence of mental health as the moderator of the networks, Figure 4 presents three networks comparing values of mental health. We used the condition() function from the</w:t>
      </w:r>
      <w:r>
        <w:t xml:space="preserve"> </w:t>
      </w:r>
      <w:r>
        <w:rPr>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pPr>
        <w:pStyle w:val="CaptionedFigure"/>
      </w:pPr>
      <w:r>
        <w:drawing>
          <wp:inline>
            <wp:extent cx="4587290" cy="3669832"/>
            <wp:effectExtent b="0" l="0" r="0" t="0"/>
            <wp:docPr descr="(#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5-1.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(#fig:unnamed-chunk-5)Networks</w:t>
      </w:r>
      <w:r>
        <w:t xml:space="preserve"> </w:t>
      </w:r>
      <w:r>
        <w:rPr>
          <w:i/>
        </w:rPr>
        <w:t xml:space="preserve">of</w:t>
      </w:r>
      <w:r>
        <w:t xml:space="preserve">.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1"/>
      </w:pPr>
      <w:bookmarkStart w:id="42" w:name="discussion"/>
      <w:r>
        <w:t xml:space="preserve">Discussion</w:t>
      </w:r>
      <w:bookmarkEnd w:id="42"/>
    </w:p>
    <w:p>
      <w:pPr>
        <w:pStyle w:val="FirstParagraph"/>
      </w:pPr>
      <w:r>
        <w:t xml:space="preserve">The present study investigated the Combined Cognitive Bias Hypothesis</w:t>
      </w:r>
      <w:r>
        <w:t xml:space="preserve"> </w:t>
      </w:r>
      <w:r>
        <w:t xml:space="preserve">(CCBH; Hirsch et al., 2006; Everaert et al., 2012)</w:t>
      </w:r>
      <w:r>
        <w:t xml:space="preserve"> </w:t>
      </w:r>
      <w:r>
        <w:t xml:space="preserve">in adolescents using a network approach. We analysed baseline data (at age 12-14 years) from the CogBIAS longitudinal study</w:t>
      </w:r>
      <w:r>
        <w:t xml:space="preserve"> </w:t>
      </w:r>
      <w:r>
        <w:t xml:space="preserve">(Booth et al., 2019, 2017)</w:t>
      </w:r>
      <w:r>
        <w:t xml:space="preserve">, including interpretation bias and memory bias measures. We excluded attention bias indices from the analyses due to low reliability (we discuss this in the limitations below). First, we split the sample into high and low mental health subsets. We estimated networks of biases for each group and compared the global strength of each network. The low mental health network showed greater connectivity than the high mental health group. We expanded on this analysis with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terms of strength of moderation and in the proportion of resamples that included a non-zero moderation effect estimate. Mental health moderated each edge in 28.40% or more of the resamples (see Figure 3). Three edges were moderated by mental health in more than 80% of the resamples: negative social interpretation bias to negative memory bias; positive social interpretation bias to positive memory bias; and positive memory bias to negative memory bias (Figure 3). Thus, we can have the most confidence that these edges are moderated by mental health, albeit the moderation effects are small. Qualitatively, there was a trend for higher mental health to moderate edges towards zero, and therefore, towards a more weakly connected network. In other words, higher mental health was associated with reduced associations between cognitive biases.</w:t>
      </w:r>
    </w:p>
    <w:p>
      <w:pPr>
        <w:pStyle w:val="berschrift2"/>
      </w:pPr>
      <w:bookmarkStart w:id="43" w:name="Xe7924566328a88ed86d2f81c064535bbea9fec4"/>
      <w:r>
        <w:t xml:space="preserve">Implications for the Combined Cognitive Bias Hypothesis</w:t>
      </w:r>
      <w:bookmarkEnd w:id="43"/>
    </w:p>
    <w:p>
      <w:pPr>
        <w:pStyle w:val="FirstParagraph"/>
      </w:pPr>
      <w:r>
        <w:t xml:space="preserve">The CCBH includes questions of association, causality, and predictive magnitude, with regard to how multiple cognitive biases may contribute to mental health</w:t>
      </w:r>
      <w:r>
        <w:t xml:space="preserve"> </w:t>
      </w:r>
      <w:r>
        <w:t xml:space="preserve">(Everaert et al.,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 we did not analyse the attention bias measures from this sample because of extremely low reliability.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Our initial analysis suggested moderation of the network; our low mental health network was more strongly connected than the high mental health network (Figure 1). We improved on this with a moderated network model. The moderated network indicates some moderation of the network structure by mental health; for example, the edge connecting social negative interpretation bias and negative memory bias was weaker at higher levels of mental health (Figure 3).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et al., 2014)</w:t>
      </w:r>
      <w:r>
        <w:t xml:space="preserve">, or extensive longitudinal research designs. We cannot make inferences from our networks on the causal relations between biases, nor causal relations between the network structure of biases and mental health. Yet,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 A reasonable hypothesis therefore would be that targeting social interpretation bias in adolescents would be more effective at modifying memory bias, than training non-social interpretation bias. We could further hypothesise that modifying interpretation bias would influence mental health via shifting memory bias. Future work might seek to test these hypotheses directly with an experimental paradigm, or with extensive longitudinal data.</w:t>
      </w:r>
    </w:p>
    <w:p>
      <w:pPr>
        <w:pStyle w:val="Textkrper"/>
      </w:pPr>
      <w:r>
        <w:t xml:space="preserve">Network approaches enable us to address the combined cognitive bias hypothesis,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As we have explored in this paper, network approaches allow us to examine the role of interconnectedness amongst cognitive biases (or symptoms) and relate that structure to mental health.</w:t>
      </w:r>
    </w:p>
    <w:p>
      <w:pPr>
        <w:pStyle w:val="berschrift2"/>
      </w:pPr>
      <w:bookmarkStart w:id="44" w:name="limitations"/>
      <w:r>
        <w:t xml:space="preserve">Limitations</w:t>
      </w:r>
      <w:bookmarkEnd w:id="44"/>
    </w:p>
    <w:p>
      <w:pPr>
        <w:pStyle w:val="FirstParagraph"/>
      </w:pPr>
      <w:r>
        <w:t xml:space="preserve">We note several limitations of this study. Larger samples are needed to increase the stability of the moderation effects. Although some edges showed a relatively consistent pattern of moderation by mental health, no edge uniformly showed this moderation across resamples. Though our parametric bootstrap of the null model (no interaction effects) does give us more confidence in the moderation effects observed. Moderation effects are typically small</w:t>
      </w:r>
      <w:r>
        <w:t xml:space="preserve"> </w:t>
      </w:r>
      <w:r>
        <w:t xml:space="preserve">(e.g. Haslbeck et al.,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w:t>
      </w:r>
      <w:r>
        <w:t xml:space="preserve"> </w:t>
      </w:r>
      <w:r>
        <w:t xml:space="preserve">(for a summary, see Parsons, Kruijt, &amp; Fox, 2019)</w:t>
      </w:r>
      <w:r>
        <w:t xml:space="preserve">. In relation to this, our interpretation bias indices did not show optimal reliability. It is possible that this is partly due to the small number of items (5 per bias) that were presented in this task. Similarly, we do not know how reliable the memory bias task is</w:t>
      </w:r>
      <w:r>
        <w:t xml:space="preserve"> </w:t>
      </w:r>
      <w:r>
        <w:t xml:space="preserve">(though the test-retest is good, which is promising, see Booth et al., 2019)</w:t>
      </w:r>
      <w:r>
        <w:t xml:space="preserve">. Moving forward, an important challenge for researchers in this field is to invest more time and resources into developing valid and reliable tasks to assess emotion-related cognitive biases.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 in general.</w:t>
      </w:r>
    </w:p>
    <w:p>
      <w:pPr>
        <w:pStyle w:val="Textkrper"/>
      </w:pPr>
      <w:r>
        <w:t xml:space="preserve">Finally, our analyses relate only to the overall relationships amongst cognitive biases, as proposed by the CCBH. With the CogBIAS data we cannot test direct relationships between biases, in so far as we do not have data from a single task assessing, for example, how attention to stimuli influences the interpretation and subsequent memory for those stimuli</w:t>
      </w:r>
      <w:r>
        <w:t xml:space="preserve"> </w:t>
      </w:r>
      <w:r>
        <w:t xml:space="preserve">(e.g. Everaert et al., 2014)</w:t>
      </w:r>
      <w:r>
        <w:t xml:space="preserve">. As such, this study cannot address these within-subjects tests of the CCBH. Yet, these results do offer some information on how the interrelations amongst cognitive biases with different stimuli, and valences, differ across levels of positive mental health.</w:t>
      </w:r>
    </w:p>
    <w:p>
      <w:pPr>
        <w:pStyle w:val="berschrift2"/>
      </w:pPr>
      <w:bookmarkStart w:id="45" w:name="future-directions"/>
      <w:r>
        <w:t xml:space="preserve">Future directions</w:t>
      </w:r>
      <w:bookmarkEnd w:id="45"/>
    </w:p>
    <w:p>
      <w:pPr>
        <w:pStyle w:val="FirstParagraph"/>
      </w:pPr>
      <w:r>
        <w:t xml:space="preserve">Psychological Network approaches offer a rapidly developing set of tools for examining the complex interplay amongst symptoms. Indeed, during the initial analysis of this paper, moderated network models were introduced</w:t>
      </w:r>
      <w:r>
        <w:t xml:space="preserve"> </w:t>
      </w:r>
      <w:r>
        <w:t xml:space="preserve">(Haslbeck et al., 2018)</w:t>
      </w:r>
      <w:r>
        <w:t xml:space="preserve">. This prompted us to reanalyse our data and use the high-low mental health network comparison as a starting point, instead of being our core analysis. Moving forward, we will be able to utilise the full three waves of data in the CogBIAS longitudinal study</w:t>
      </w:r>
      <w:r>
        <w:t xml:space="preserve"> </w:t>
      </w:r>
      <w:r>
        <w:t xml:space="preserve">(Booth et al., 2017)</w:t>
      </w:r>
      <w:r>
        <w:t xml:space="preserve"> </w:t>
      </w:r>
      <w:r>
        <w:t xml:space="preserve">to investigate how these networks change across time. Longitudinal data offers the opportunity to examine the stability of the baseline networks presented in this paper and how they develop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(Epskamp, 2020; 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r>
        <w:br w:type="page"/>
      </w:r>
    </w:p>
    <w:p>
      <w:pPr>
        <w:pStyle w:val="berschrift1"/>
      </w:pPr>
      <w:bookmarkStart w:id="46" w:name="references"/>
      <w:r>
        <w:t xml:space="preserve">References</w:t>
      </w:r>
      <w:bookmarkEnd w:id="46"/>
    </w:p>
    <w:bookmarkStart w:id="167" w:name="refs"/>
    <w:bookmarkStart w:id="48" w:name="ref-asarnow_children_2014"/>
    <w:p>
      <w:pPr>
        <w:pStyle w:val="Literaturverzeichnis"/>
      </w:pPr>
      <w:r>
        <w:t xml:space="preserve">Asarnow, L. D., Thompson, R. J., Joormann, J., &amp; Gotlib, I. H. (2014). Children at risk for depression: Memory biases, self-schemas, and genotypic variation.</w:t>
      </w:r>
      <w:r>
        <w:t xml:space="preserve"> </w:t>
      </w:r>
      <w:r>
        <w:rPr>
          <w:i/>
        </w:rPr>
        <w:t xml:space="preserve">Journal of Affective Disorders</w:t>
      </w:r>
      <w:r>
        <w:t xml:space="preserve">,</w:t>
      </w:r>
      <w:r>
        <w:t xml:space="preserve"> </w:t>
      </w:r>
      <w:r>
        <w:rPr>
          <w:i/>
        </w:rPr>
        <w:t xml:space="preserve">159</w:t>
      </w:r>
      <w:r>
        <w:t xml:space="preserve">, 66–72.</w:t>
      </w:r>
      <w:r>
        <w:t xml:space="preserve"> </w:t>
      </w:r>
      <w:hyperlink r:id="rId47">
        <w:r>
          <w:rPr>
            <w:rStyle w:val="Hyperlink"/>
          </w:rPr>
          <w:t xml:space="preserve">https://doi.org/10.1016/j.jad.2014.02.020</w:t>
        </w:r>
      </w:hyperlink>
    </w:p>
    <w:bookmarkEnd w:id="48"/>
    <w:bookmarkStart w:id="50" w:name="ref-bernstein_unpacking_2017"/>
    <w:p>
      <w:pPr>
        <w:pStyle w:val="Literaturverzeichnis"/>
      </w:pPr>
      <w:r>
        <w:t xml:space="preserve">Bernstein, E. E., Heeren, A., &amp; McNally, R. J. (2017). Unpacking Rumination and Executive Control: A Network Perspective.</w:t>
      </w:r>
      <w:r>
        <w:t xml:space="preserve"> </w:t>
      </w:r>
      <w:r>
        <w:rPr>
          <w:i/>
        </w:rPr>
        <w:t xml:space="preserve">Clinical Psychological Science</w:t>
      </w:r>
      <w:r>
        <w:t xml:space="preserve">,</w:t>
      </w:r>
      <w:r>
        <w:t xml:space="preserve"> </w:t>
      </w:r>
      <w:r>
        <w:rPr>
          <w:i/>
        </w:rPr>
        <w:t xml:space="preserve">5</w:t>
      </w:r>
      <w:r>
        <w:t xml:space="preserve">(5), 1–11.</w:t>
      </w:r>
      <w:r>
        <w:t xml:space="preserve"> </w:t>
      </w:r>
      <w:hyperlink r:id="rId49">
        <w:r>
          <w:rPr>
            <w:rStyle w:val="Hyperlink"/>
          </w:rPr>
          <w:t xml:space="preserve">https://doi.org/10.1177/2167702617702717</w:t>
        </w:r>
      </w:hyperlink>
    </w:p>
    <w:bookmarkEnd w:id="50"/>
    <w:bookmarkStart w:id="52" w:name="ref-booth_cogbias_2019"/>
    <w:p>
      <w:pPr>
        <w:pStyle w:val="Literaturverzeichnis"/>
      </w:pPr>
      <w:r>
        <w:t xml:space="preserve">Booth, C., Songco, A., Parsons, S., Heathcote, L. C., &amp; Fox, E. (2019). The CogBIAS longitudinal study of adolescence: Cohort profile and stability and change in measures across three waves.</w:t>
      </w:r>
      <w:r>
        <w:t xml:space="preserve"> </w:t>
      </w:r>
      <w:r>
        <w:rPr>
          <w:i/>
        </w:rPr>
        <w:t xml:space="preserve">BMC Psychology</w:t>
      </w:r>
      <w:r>
        <w:t xml:space="preserve">,</w:t>
      </w:r>
      <w:r>
        <w:t xml:space="preserve"> </w:t>
      </w:r>
      <w:r>
        <w:rPr>
          <w:i/>
        </w:rPr>
        <w:t xml:space="preserve">7</w:t>
      </w:r>
      <w:r>
        <w:t xml:space="preserve">(73).</w:t>
      </w:r>
      <w:r>
        <w:t xml:space="preserve"> </w:t>
      </w:r>
      <w:hyperlink r:id="rId51">
        <w:r>
          <w:rPr>
            <w:rStyle w:val="Hyperlink"/>
          </w:rPr>
          <w:t xml:space="preserve">https://doi.org/doi.org/10.1186/s40359-019-0342-8</w:t>
        </w:r>
      </w:hyperlink>
    </w:p>
    <w:bookmarkEnd w:id="52"/>
    <w:bookmarkStart w:id="54" w:name="ref-booth_cogbias_2017"/>
    <w:p>
      <w:pPr>
        <w:pStyle w:val="Literaturverzeichnis"/>
      </w:pPr>
      <w:r>
        <w:t xml:space="preserve">Booth, C., Songco, A., Parsons, S., Heathcote, L., Vincent, J., Keers, R., &amp; Fox, E. (2017). The CogBIAS longitudinal study protocol: Cognitive and genetic factors influencing psychological functioning in adolescence.</w:t>
      </w:r>
      <w:r>
        <w:t xml:space="preserve"> </w:t>
      </w:r>
      <w:r>
        <w:rPr>
          <w:i/>
        </w:rPr>
        <w:t xml:space="preserve">BMC Psychology</w:t>
      </w:r>
      <w:r>
        <w:t xml:space="preserve">,</w:t>
      </w:r>
      <w:r>
        <w:t xml:space="preserve"> </w:t>
      </w:r>
      <w:r>
        <w:rPr>
          <w:i/>
        </w:rPr>
        <w:t xml:space="preserve">5</w:t>
      </w:r>
      <w:r>
        <w:t xml:space="preserve">(1).</w:t>
      </w:r>
      <w:r>
        <w:t xml:space="preserve"> </w:t>
      </w:r>
      <w:hyperlink r:id="rId53">
        <w:r>
          <w:rPr>
            <w:rStyle w:val="Hyperlink"/>
          </w:rPr>
          <w:t xml:space="preserve">https://doi.org/10.1186/s40359-017-0210-3</w:t>
        </w:r>
      </w:hyperlink>
    </w:p>
    <w:bookmarkEnd w:id="54"/>
    <w:bookmarkStart w:id="56" w:name="ref-van_borkulo_association_2015"/>
    <w:p>
      <w:pPr>
        <w:pStyle w:val="Literaturverzeichnis"/>
      </w:pPr>
      <w:r>
        <w:t xml:space="preserve">Borkulo, C. van, Boschloo, L., Borsboom, D., Waldorp, L. J., &amp; Schoevers, R. A. (2015). Association of Symptom Network Structure With the Course of Depression.</w:t>
      </w:r>
      <w:r>
        <w:t xml:space="preserve"> </w:t>
      </w:r>
      <w:r>
        <w:rPr>
          <w:i/>
        </w:rPr>
        <w:t xml:space="preserve">JAMA Psychiatry</w:t>
      </w:r>
      <w:r>
        <w:t xml:space="preserve">,</w:t>
      </w:r>
      <w:r>
        <w:t xml:space="preserve"> </w:t>
      </w:r>
      <w:r>
        <w:rPr>
          <w:i/>
        </w:rPr>
        <w:t xml:space="preserve">72</w:t>
      </w:r>
      <w:r>
        <w:t xml:space="preserve">(12), 1219–1226.</w:t>
      </w:r>
      <w:r>
        <w:t xml:space="preserve"> </w:t>
      </w:r>
      <w:hyperlink r:id="rId55">
        <w:r>
          <w:rPr>
            <w:rStyle w:val="Hyperlink"/>
          </w:rPr>
          <w:t xml:space="preserve">https://doi.org/10.1001/jamapsychiatry.2015.2079</w:t>
        </w:r>
      </w:hyperlink>
    </w:p>
    <w:bookmarkEnd w:id="56"/>
    <w:bookmarkStart w:id="57" w:name="ref-borsboom_network_2017"/>
    <w:p>
      <w:pPr>
        <w:pStyle w:val="Literaturverzeichnis"/>
      </w:pPr>
      <w:r>
        <w:t xml:space="preserve">Borsboom, D. (2017). A network theory of mental disorders.</w:t>
      </w:r>
      <w:r>
        <w:t xml:space="preserve"> </w:t>
      </w:r>
      <w:r>
        <w:rPr>
          <w:i/>
        </w:rPr>
        <w:t xml:space="preserve">World Psychiatry</w:t>
      </w:r>
      <w:r>
        <w:t xml:space="preserve">,</w:t>
      </w:r>
      <w:r>
        <w:t xml:space="preserve"> </w:t>
      </w:r>
      <w:r>
        <w:rPr>
          <w:i/>
        </w:rPr>
        <w:t xml:space="preserve">16</w:t>
      </w:r>
      <w:r>
        <w:t xml:space="preserve">(1), 5–13.</w:t>
      </w:r>
    </w:p>
    <w:bookmarkEnd w:id="57"/>
    <w:bookmarkStart w:id="59" w:name="ref-borsboom_network_2013"/>
    <w:p>
      <w:pPr>
        <w:pStyle w:val="Literaturverzeichnis"/>
      </w:pPr>
      <w:r>
        <w:t xml:space="preserve">Borsboom, D., &amp; Cramer, A. O. J. (2013). Network Analysis: An Integrative Approach to the Structure of Psychopathology.</w:t>
      </w:r>
      <w:r>
        <w:t xml:space="preserve"> </w:t>
      </w:r>
      <w:r>
        <w:rPr>
          <w:i/>
        </w:rPr>
        <w:t xml:space="preserve">Annual Review of Clinical Psychology</w:t>
      </w:r>
      <w:r>
        <w:t xml:space="preserve">,</w:t>
      </w:r>
      <w:r>
        <w:t xml:space="preserve"> </w:t>
      </w:r>
      <w:r>
        <w:rPr>
          <w:i/>
        </w:rPr>
        <w:t xml:space="preserve">9</w:t>
      </w:r>
      <w:r>
        <w:t xml:space="preserve">(1), 91–121.</w:t>
      </w:r>
      <w:r>
        <w:t xml:space="preserve"> </w:t>
      </w:r>
      <w:hyperlink r:id="rId58">
        <w:r>
          <w:rPr>
            <w:rStyle w:val="Hyperlink"/>
          </w:rPr>
          <w:t xml:space="preserve">https://doi.org/10.1146/annurev-clinpsy-050212-185608</w:t>
        </w:r>
      </w:hyperlink>
    </w:p>
    <w:bookmarkEnd w:id="59"/>
    <w:bookmarkStart w:id="61" w:name="ref-borsboom_small_2011"/>
    <w:p>
      <w:pPr>
        <w:pStyle w:val="Literaturverzeichnis"/>
      </w:pPr>
      <w:r>
        <w:t xml:space="preserve">Borsboom, D., Cramer, A. O. J., Schmittmann, V. D., Epskamp, S., &amp; Waldorp, L. J. (2011). The Small World of Psychopathology.</w:t>
      </w:r>
      <w:r>
        <w:t xml:space="preserve"> </w:t>
      </w:r>
      <w:r>
        <w:rPr>
          <w:i/>
        </w:rPr>
        <w:t xml:space="preserve">PLoS ONE</w:t>
      </w:r>
      <w:r>
        <w:t xml:space="preserve">,</w:t>
      </w:r>
      <w:r>
        <w:t xml:space="preserve"> </w:t>
      </w:r>
      <w:r>
        <w:rPr>
          <w:i/>
        </w:rPr>
        <w:t xml:space="preserve">6</w:t>
      </w:r>
      <w:r>
        <w:t xml:space="preserve">(11).</w:t>
      </w:r>
      <w:r>
        <w:t xml:space="preserve"> </w:t>
      </w:r>
      <w:hyperlink r:id="rId60">
        <w:r>
          <w:rPr>
            <w:rStyle w:val="Hyperlink"/>
          </w:rPr>
          <w:t xml:space="preserve">https://doi.org/10.1371/journal.pone.0027407</w:t>
        </w:r>
      </w:hyperlink>
    </w:p>
    <w:bookmarkEnd w:id="61"/>
    <w:bookmarkStart w:id="63" w:name="ref-Carl2013"/>
    <w:p>
      <w:pPr>
        <w:pStyle w:val="Literaturverzeichnis"/>
      </w:pPr>
      <w:r>
        <w:t xml:space="preserve">Carl, J. R., Soskin, D. P., Kerns, C., &amp; Barlow, D. H. (2013). Positive emotion regulation in emotional disorders: A theoretical review.</w:t>
      </w:r>
      <w:r>
        <w:t xml:space="preserve"> </w:t>
      </w:r>
      <w:r>
        <w:rPr>
          <w:i/>
        </w:rPr>
        <w:t xml:space="preserve">Clinical Psychology Review</w:t>
      </w:r>
      <w:r>
        <w:t xml:space="preserve">,</w:t>
      </w:r>
      <w:r>
        <w:t xml:space="preserve"> </w:t>
      </w:r>
      <w:r>
        <w:rPr>
          <w:i/>
        </w:rPr>
        <w:t xml:space="preserve">33</w:t>
      </w:r>
      <w:r>
        <w:t xml:space="preserve">(3), 343–360.</w:t>
      </w:r>
      <w:r>
        <w:t xml:space="preserve"> </w:t>
      </w:r>
      <w:hyperlink r:id="rId62">
        <w:r>
          <w:rPr>
            <w:rStyle w:val="Hyperlink"/>
          </w:rPr>
          <w:t xml:space="preserve">https://doi.org/10.1016/j.cpr.2013.01.003</w:t>
        </w:r>
      </w:hyperlink>
    </w:p>
    <w:bookmarkEnd w:id="63"/>
    <w:bookmarkStart w:id="65" w:name="ref-Cisler2010a"/>
    <w:p>
      <w:pPr>
        <w:pStyle w:val="Literaturverzeichnis"/>
      </w:pPr>
      <w:r>
        <w:t xml:space="preserve">Cisler, J. M., &amp; Koster, E. H. W. (2010). Mechanisms of attentional biases towards threat in anxiety disorders: An integrative review.</w:t>
      </w:r>
      <w:r>
        <w:t xml:space="preserve"> </w:t>
      </w:r>
      <w:r>
        <w:rPr>
          <w:i/>
        </w:rPr>
        <w:t xml:space="preserve">Clinical Psychology Review</w:t>
      </w:r>
      <w:r>
        <w:t xml:space="preserve">,</w:t>
      </w:r>
      <w:r>
        <w:t xml:space="preserve"> </w:t>
      </w:r>
      <w:r>
        <w:rPr>
          <w:i/>
        </w:rPr>
        <w:t xml:space="preserve">30</w:t>
      </w:r>
      <w:r>
        <w:t xml:space="preserve">(2), 203–216.</w:t>
      </w:r>
      <w:r>
        <w:t xml:space="preserve"> </w:t>
      </w:r>
      <w:hyperlink r:id="rId64">
        <w:r>
          <w:rPr>
            <w:rStyle w:val="Hyperlink"/>
          </w:rPr>
          <w:t xml:space="preserve">https://doi.org/10.1016/j.cpr.2009.11.003</w:t>
        </w:r>
      </w:hyperlink>
    </w:p>
    <w:bookmarkEnd w:id="65"/>
    <w:bookmarkStart w:id="67" w:name="ref-R-igraph"/>
    <w:p>
      <w:pPr>
        <w:pStyle w:val="Literaturverzeichnis"/>
      </w:pPr>
      <w:r>
        <w:t xml:space="preserve">Csardi, G., &amp; Nepusz, T. (2006). The igraph software package for complex network research.</w:t>
      </w:r>
      <w:r>
        <w:t xml:space="preserve"> </w:t>
      </w:r>
      <w:r>
        <w:rPr>
          <w:i/>
        </w:rPr>
        <w:t xml:space="preserve">InterJournal</w:t>
      </w:r>
      <w:r>
        <w:t xml:space="preserve">,</w:t>
      </w:r>
      <w:r>
        <w:t xml:space="preserve"> </w:t>
      </w:r>
      <w:r>
        <w:rPr>
          <w:i/>
        </w:rPr>
        <w:t xml:space="preserve">Complex Systems</w:t>
      </w:r>
      <w:r>
        <w:t xml:space="preserve">, 1695. Retrieved from</w:t>
      </w:r>
      <w:r>
        <w:t xml:space="preserve"> </w:t>
      </w:r>
      <w:hyperlink r:id="rId66">
        <w:r>
          <w:rPr>
            <w:rStyle w:val="Hyperlink"/>
          </w:rPr>
          <w:t xml:space="preserve">http://igraph.org</w:t>
        </w:r>
      </w:hyperlink>
    </w:p>
    <w:bookmarkEnd w:id="67"/>
    <w:bookmarkStart w:id="69" w:name="ref-epskamp_psychometric_2020"/>
    <w:p>
      <w:pPr>
        <w:pStyle w:val="Literaturverzeichnis"/>
      </w:pPr>
      <w:r>
        <w:t xml:space="preserve">Epskamp, S. (2020). Psychometric network models from time-series and panel data.</w:t>
      </w:r>
      <w:r>
        <w:t xml:space="preserve"> </w:t>
      </w:r>
      <w:r>
        <w:rPr>
          <w:i/>
        </w:rPr>
        <w:t xml:space="preserve">Psychometrika</w:t>
      </w:r>
      <w:r>
        <w:t xml:space="preserve">,</w:t>
      </w:r>
      <w:r>
        <w:t xml:space="preserve"> </w:t>
      </w:r>
      <w:r>
        <w:rPr>
          <w:i/>
        </w:rPr>
        <w:t xml:space="preserve">85</w:t>
      </w:r>
      <w:r>
        <w:t xml:space="preserve">, 206–231.</w:t>
      </w:r>
      <w:r>
        <w:t xml:space="preserve"> </w:t>
      </w:r>
      <w:hyperlink r:id="rId68">
        <w:r>
          <w:rPr>
            <w:rStyle w:val="Hyperlink"/>
          </w:rPr>
          <w:t xml:space="preserve">https://doi.org/10.31234/osf.io/8ha93</w:t>
        </w:r>
      </w:hyperlink>
    </w:p>
    <w:bookmarkEnd w:id="69"/>
    <w:bookmarkStart w:id="71" w:name="ref-R-bootnet"/>
    <w:p>
      <w:pPr>
        <w:pStyle w:val="Literaturverzeichnis"/>
      </w:pPr>
      <w:r>
        <w:t xml:space="preserve">Epskamp, S., Borsboom, D., &amp; Fried, E. I. (2017). Estimating psychological networks and their accuracy: A tutorial paper.</w:t>
      </w:r>
      <w:r>
        <w:t xml:space="preserve"> </w:t>
      </w:r>
      <w:r>
        <w:rPr>
          <w:i/>
        </w:rPr>
        <w:t xml:space="preserve">Behavior Research Methods</w:t>
      </w:r>
      <w:r>
        <w:t xml:space="preserve">. Retrieved from</w:t>
      </w:r>
      <w:r>
        <w:t xml:space="preserve"> </w:t>
      </w:r>
      <w:hyperlink r:id="rId70">
        <w:r>
          <w:rPr>
            <w:rStyle w:val="Hyperlink"/>
          </w:rPr>
          <w:t xml:space="preserve">https://arxiv.org/abs/1604.08462</w:t>
        </w:r>
      </w:hyperlink>
    </w:p>
    <w:bookmarkEnd w:id="71"/>
    <w:bookmarkStart w:id="73"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
        </w:rPr>
        <w:t xml:space="preserve">Emotion</w:t>
      </w:r>
      <w:r>
        <w:t xml:space="preserve">,</w:t>
      </w:r>
      <w:r>
        <w:t xml:space="preserve"> </w:t>
      </w:r>
      <w:r>
        <w:rPr>
          <w:i/>
        </w:rPr>
        <w:t xml:space="preserve">14</w:t>
      </w:r>
      <w:r>
        <w:t xml:space="preserve">(2), 331–340.</w:t>
      </w:r>
      <w:r>
        <w:t xml:space="preserve"> </w:t>
      </w:r>
      <w:hyperlink r:id="rId72">
        <w:r>
          <w:rPr>
            <w:rStyle w:val="Hyperlink"/>
          </w:rPr>
          <w:t xml:space="preserve">https://doi.org/10.1037/a0035250</w:t>
        </w:r>
      </w:hyperlink>
    </w:p>
    <w:bookmarkEnd w:id="73"/>
    <w:bookmarkStart w:id="75" w:name="ref-everaert_combined_2012"/>
    <w:p>
      <w:pPr>
        <w:pStyle w:val="Literaturverzeichnis"/>
      </w:pPr>
      <w:r>
        <w:t xml:space="preserve">Everaert, J., Koster, E. H. W., &amp; Derakshan, N. (2012). The combined cognitive bias hypothesis in depression.</w:t>
      </w:r>
      <w:r>
        <w:t xml:space="preserve"> </w:t>
      </w:r>
      <w:r>
        <w:rPr>
          <w:i/>
        </w:rPr>
        <w:t xml:space="preserve">Clinical Psychology Review</w:t>
      </w:r>
      <w:r>
        <w:t xml:space="preserve">,</w:t>
      </w:r>
      <w:r>
        <w:t xml:space="preserve"> </w:t>
      </w:r>
      <w:r>
        <w:rPr>
          <w:i/>
        </w:rPr>
        <w:t xml:space="preserve">32</w:t>
      </w:r>
      <w:r>
        <w:t xml:space="preserve">(5), 413–424.</w:t>
      </w:r>
      <w:r>
        <w:t xml:space="preserve"> </w:t>
      </w:r>
      <w:hyperlink r:id="rId74">
        <w:r>
          <w:rPr>
            <w:rStyle w:val="Hyperlink"/>
          </w:rPr>
          <w:t xml:space="preserve">https://doi.org/10.1016/j.cpr.2012.04.003</w:t>
        </w:r>
      </w:hyperlink>
    </w:p>
    <w:bookmarkEnd w:id="75"/>
    <w:bookmarkStart w:id="77"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
        </w:rPr>
        <w:t xml:space="preserve">Cognition &amp; Emotion</w:t>
      </w:r>
      <w:r>
        <w:t xml:space="preserve">,</w:t>
      </w:r>
      <w:r>
        <w:t xml:space="preserve"> </w:t>
      </w:r>
      <w:r>
        <w:rPr>
          <w:i/>
        </w:rPr>
        <w:t xml:space="preserve">27</w:t>
      </w:r>
      <w:r>
        <w:t xml:space="preserve">(8), 1450–1459.</w:t>
      </w:r>
      <w:r>
        <w:t xml:space="preserve"> </w:t>
      </w:r>
      <w:hyperlink r:id="rId76">
        <w:r>
          <w:rPr>
            <w:rStyle w:val="Hyperlink"/>
          </w:rPr>
          <w:t xml:space="preserve">https://doi.org/10.1080/02699931.2013.787972</w:t>
        </w:r>
      </w:hyperlink>
    </w:p>
    <w:bookmarkEnd w:id="77"/>
    <w:bookmarkStart w:id="79" w:name="ref-foygel_extended_2010"/>
    <w:p>
      <w:pPr>
        <w:pStyle w:val="Literaturverzeichnis"/>
      </w:pPr>
      <w:r>
        <w:t xml:space="preserve">Foygel, R., &amp; Drton, M. (2010). Extended Bayesian Information Criteria for Gaussian Graphical Models, 1–14. Retrieved from</w:t>
      </w:r>
      <w:r>
        <w:t xml:space="preserve"> </w:t>
      </w:r>
      <w:hyperlink r:id="rId78">
        <w:r>
          <w:rPr>
            <w:rStyle w:val="Hyperlink"/>
          </w:rPr>
          <w:t xml:space="preserve">http://arxiv.org/abs/1011.6640</w:t>
        </w:r>
      </w:hyperlink>
    </w:p>
    <w:bookmarkEnd w:id="79"/>
    <w:bookmarkStart w:id="81" w:name="ref-fried_what_2017"/>
    <w:p>
      <w:pPr>
        <w:pStyle w:val="Literaturverzeichnis"/>
      </w:pPr>
      <w:r>
        <w:t xml:space="preserve">Fried, E. I. (2017). What are psychological constructs? On the nature and statistical modelling of emotions, intelligence, personality traits and mental disorders.</w:t>
      </w:r>
      <w:r>
        <w:t xml:space="preserve"> </w:t>
      </w:r>
      <w:r>
        <w:rPr>
          <w:i/>
        </w:rPr>
        <w:t xml:space="preserve">Health Psychology Review</w:t>
      </w:r>
      <w:r>
        <w:t xml:space="preserve">,</w:t>
      </w:r>
      <w:r>
        <w:t xml:space="preserve"> </w:t>
      </w:r>
      <w:r>
        <w:rPr>
          <w:i/>
        </w:rPr>
        <w:t xml:space="preserve">11</w:t>
      </w:r>
      <w:r>
        <w:t xml:space="preserve">(2), 130–134.</w:t>
      </w:r>
      <w:r>
        <w:t xml:space="preserve"> </w:t>
      </w:r>
      <w:hyperlink r:id="rId80">
        <w:r>
          <w:rPr>
            <w:rStyle w:val="Hyperlink"/>
          </w:rPr>
          <w:t xml:space="preserve">https://doi.org/10.1080/17437199.2017.1306718</w:t>
        </w:r>
      </w:hyperlink>
    </w:p>
    <w:bookmarkEnd w:id="81"/>
    <w:bookmarkStart w:id="83" w:name="ref-fried_mental_2017"/>
    <w:p>
      <w:pPr>
        <w:pStyle w:val="Literaturverzeichnis"/>
      </w:pPr>
      <w:r>
        <w:t xml:space="preserve">Fried, E. I., Borkulo, C. D. van, Cramer, A. O. J.,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 1–10.</w:t>
      </w:r>
      <w:r>
        <w:t xml:space="preserve"> </w:t>
      </w:r>
      <w:hyperlink r:id="rId82">
        <w:r>
          <w:rPr>
            <w:rStyle w:val="Hyperlink"/>
          </w:rPr>
          <w:t xml:space="preserve">https://doi.org/10.1007/s00127-016-1319-z</w:t>
        </w:r>
      </w:hyperlink>
    </w:p>
    <w:bookmarkEnd w:id="83"/>
    <w:bookmarkStart w:id="85" w:name="ref-fried_moving_2017"/>
    <w:p>
      <w:pPr>
        <w:pStyle w:val="Literaturverzeichnis"/>
      </w:pPr>
      <w:r>
        <w:t xml:space="preserve">Fried, E. I., &amp; Cramer, A. O. J. (2017). Moving forward: Challenges and directions for psychopathological network theory and methodology.</w:t>
      </w:r>
      <w:r>
        <w:t xml:space="preserve"> </w:t>
      </w:r>
      <w:r>
        <w:rPr>
          <w:i/>
        </w:rPr>
        <w:t xml:space="preserve">Perspectives on Psychological Science</w:t>
      </w:r>
      <w:r>
        <w:t xml:space="preserve">,</w:t>
      </w:r>
      <w:r>
        <w:t xml:space="preserve"> </w:t>
      </w:r>
      <w:r>
        <w:rPr>
          <w:i/>
        </w:rPr>
        <w:t xml:space="preserve">12</w:t>
      </w:r>
      <w:r>
        <w:t xml:space="preserve">(6), 999–1020. Retrieved from</w:t>
      </w:r>
      <w:r>
        <w:t xml:space="preserve"> </w:t>
      </w:r>
      <w:hyperlink r:id="rId84">
        <w:r>
          <w:rPr>
            <w:rStyle w:val="Hyperlink"/>
          </w:rPr>
          <w:t xml:space="preserve">osf.io/preprints/psyarxiv/mh3cf</w:t>
        </w:r>
      </w:hyperlink>
    </w:p>
    <w:bookmarkEnd w:id="85"/>
    <w:bookmarkStart w:id="87" w:name="ref-friedman_sparse_2008"/>
    <w:p>
      <w:pPr>
        <w:pStyle w:val="Literaturverzeichnis"/>
      </w:pPr>
      <w:r>
        <w:t xml:space="preserve">Friedman, J., Hastie, T., &amp; Tibshirani, R. (2008). Sparse inverse covariance estimation with the graphical lasso.</w:t>
      </w:r>
      <w:r>
        <w:t xml:space="preserve"> </w:t>
      </w:r>
      <w:r>
        <w:rPr>
          <w:i/>
        </w:rPr>
        <w:t xml:space="preserve">Biostatistics</w:t>
      </w:r>
      <w:r>
        <w:t xml:space="preserve">,</w:t>
      </w:r>
      <w:r>
        <w:t xml:space="preserve"> </w:t>
      </w:r>
      <w:r>
        <w:rPr>
          <w:i/>
        </w:rPr>
        <w:t xml:space="preserve">9</w:t>
      </w:r>
      <w:r>
        <w:t xml:space="preserve">(3), 432–441.</w:t>
      </w:r>
      <w:r>
        <w:t xml:space="preserve"> </w:t>
      </w:r>
      <w:hyperlink r:id="rId86">
        <w:r>
          <w:rPr>
            <w:rStyle w:val="Hyperlink"/>
          </w:rPr>
          <w:t xml:space="preserve">https://doi.org/10.1093/biostatistics/kxm045</w:t>
        </w:r>
      </w:hyperlink>
    </w:p>
    <w:bookmarkEnd w:id="87"/>
    <w:bookmarkStart w:id="89" w:name="ref-R-glasso"/>
    <w:p>
      <w:pPr>
        <w:pStyle w:val="Literaturverzeichnis"/>
      </w:pPr>
      <w:r>
        <w:t xml:space="preserve">Friedman, J., Hastie, T., &amp; Tibshirani, R. (2019).</w:t>
      </w:r>
      <w:r>
        <w:t xml:space="preserve"> </w:t>
      </w:r>
      <w:r>
        <w:rPr>
          <w:i/>
        </w:rPr>
        <w:t xml:space="preserve">Glasso: Graphical lasso: Estimation of gaussian graphical models</w:t>
      </w:r>
      <w:r>
        <w:t xml:space="preserve">. Retrieved from</w:t>
      </w:r>
      <w:r>
        <w:t xml:space="preserve"> </w:t>
      </w:r>
      <w:hyperlink r:id="rId88">
        <w:r>
          <w:rPr>
            <w:rStyle w:val="Hyperlink"/>
          </w:rPr>
          <w:t xml:space="preserve">https://CRAN.R-project.org/package=glasso</w:t>
        </w:r>
      </w:hyperlink>
    </w:p>
    <w:bookmarkEnd w:id="89"/>
    <w:bookmarkStart w:id="91" w:name="ref-fuhrmann_adolescence_2015"/>
    <w:p>
      <w:pPr>
        <w:pStyle w:val="Literaturverzeichnis"/>
      </w:pPr>
      <w:r>
        <w:t xml:space="preserve">Fuhrmann, D., Knoll, L. J., &amp; Blakemore, S.-J. (2015). Adolescence as a Sensitive Period of Brain Development.</w:t>
      </w:r>
      <w:r>
        <w:t xml:space="preserve"> </w:t>
      </w:r>
      <w:r>
        <w:rPr>
          <w:i/>
        </w:rPr>
        <w:t xml:space="preserve">Trends in Cognitive Sciences</w:t>
      </w:r>
      <w:r>
        <w:t xml:space="preserve">,</w:t>
      </w:r>
      <w:r>
        <w:t xml:space="preserve"> </w:t>
      </w:r>
      <w:r>
        <w:rPr>
          <w:i/>
        </w:rPr>
        <w:t xml:space="preserve">19</w:t>
      </w:r>
      <w:r>
        <w:t xml:space="preserve">(10), 558–566.</w:t>
      </w:r>
      <w:r>
        <w:t xml:space="preserve"> </w:t>
      </w:r>
      <w:hyperlink r:id="rId90">
        <w:r>
          <w:rPr>
            <w:rStyle w:val="Hyperlink"/>
          </w:rPr>
          <w:t xml:space="preserve">https://doi.org/10.1016/j.tics.2015.07.008</w:t>
        </w:r>
      </w:hyperlink>
    </w:p>
    <w:bookmarkEnd w:id="91"/>
    <w:bookmarkStart w:id="93" w:name="ref-Gotlib2010"/>
    <w:p>
      <w:pPr>
        <w:pStyle w:val="Literaturverzeichnis"/>
      </w:pPr>
      <w:r>
        <w:t xml:space="preserve">Gotlib, I. H., &amp; Joormann, J. (2010). Cognition and depression: Current status and future directions.</w:t>
      </w:r>
      <w:r>
        <w:t xml:space="preserve"> </w:t>
      </w:r>
      <w:r>
        <w:rPr>
          <w:i/>
        </w:rPr>
        <w:t xml:space="preserve">Annual Review of Clinical Psychology</w:t>
      </w:r>
      <w:r>
        <w:t xml:space="preserve">,</w:t>
      </w:r>
      <w:r>
        <w:t xml:space="preserve"> </w:t>
      </w:r>
      <w:r>
        <w:rPr>
          <w:i/>
        </w:rPr>
        <w:t xml:space="preserve">6</w:t>
      </w:r>
      <w:r>
        <w:t xml:space="preserve">, 285–312.</w:t>
      </w:r>
      <w:r>
        <w:t xml:space="preserve"> </w:t>
      </w:r>
      <w:hyperlink r:id="rId92">
        <w:r>
          <w:rPr>
            <w:rStyle w:val="Hyperlink"/>
          </w:rPr>
          <w:t xml:space="preserve">https://doi.org/10.1146/annurev.clinpsy.121208.131305</w:t>
        </w:r>
      </w:hyperlink>
    </w:p>
    <w:bookmarkEnd w:id="93"/>
    <w:bookmarkStart w:id="95" w:name="ref-Hammen1984"/>
    <w:p>
      <w:pPr>
        <w:pStyle w:val="Literaturverzeichnis"/>
      </w:pPr>
      <w:r>
        <w:t xml:space="preserve">Hammen, C., &amp; Zupan, B. A. (1984). Self-schemas, depression, and the processing of personal information in children.</w:t>
      </w:r>
      <w:r>
        <w:t xml:space="preserve"> </w:t>
      </w:r>
      <w:r>
        <w:rPr>
          <w:i/>
        </w:rPr>
        <w:t xml:space="preserve">Journal of Experimental Child Psychology</w:t>
      </w:r>
      <w:r>
        <w:t xml:space="preserve">,</w:t>
      </w:r>
      <w:r>
        <w:t xml:space="preserve"> </w:t>
      </w:r>
      <w:r>
        <w:rPr>
          <w:i/>
        </w:rPr>
        <w:t xml:space="preserve">37</w:t>
      </w:r>
      <w:r>
        <w:t xml:space="preserve">, 598–608.</w:t>
      </w:r>
      <w:r>
        <w:t xml:space="preserve"> </w:t>
      </w:r>
      <w:hyperlink r:id="rId94">
        <w:r>
          <w:rPr>
            <w:rStyle w:val="Hyperlink"/>
          </w:rPr>
          <w:t xml:space="preserve">https://doi.org/10.1016/0022-0965(84)90079-1</w:t>
        </w:r>
      </w:hyperlink>
    </w:p>
    <w:bookmarkEnd w:id="95"/>
    <w:bookmarkStart w:id="97" w:name="ref-haslbeck_moderated_2018"/>
    <w:p>
      <w:pPr>
        <w:pStyle w:val="Literaturverzeichnis"/>
      </w:pPr>
      <w:r>
        <w:t xml:space="preserve">Haslbeck, J. M. B., Borsboom, D., &amp; Waldorp, L. (2018). Moderated Network Models.</w:t>
      </w:r>
      <w:r>
        <w:t xml:space="preserve"> </w:t>
      </w:r>
      <w:r>
        <w:rPr>
          <w:i/>
        </w:rPr>
        <w:t xml:space="preserve">arXiv:1807.02877 [Stat]</w:t>
      </w:r>
      <w:r>
        <w:t xml:space="preserve">. Retrieved from</w:t>
      </w:r>
      <w:r>
        <w:t xml:space="preserve"> </w:t>
      </w:r>
      <w:hyperlink r:id="rId96">
        <w:r>
          <w:rPr>
            <w:rStyle w:val="Hyperlink"/>
          </w:rPr>
          <w:t xml:space="preserve">http://arxiv.org/abs/1807.02877</w:t>
        </w:r>
      </w:hyperlink>
    </w:p>
    <w:bookmarkEnd w:id="97"/>
    <w:bookmarkStart w:id="99" w:name="ref-R-mgm"/>
    <w:p>
      <w:pPr>
        <w:pStyle w:val="Literaturverzeichnis"/>
      </w:pPr>
      <w:r>
        <w:t xml:space="preserve">Haslbeck, J. M. B., &amp; Waldorp, L. J. (2016). Mgm: Structure estimation for time-varying mixed graphical models in high-dimensional data.</w:t>
      </w:r>
      <w:r>
        <w:t xml:space="preserve"> </w:t>
      </w:r>
      <w:r>
        <w:rPr>
          <w:i/>
        </w:rPr>
        <w:t xml:space="preserve">arXiv Preprint:1510.06871v2</w:t>
      </w:r>
      <w:r>
        <w:t xml:space="preserve">. Retrieved from</w:t>
      </w:r>
      <w:r>
        <w:t xml:space="preserve"> </w:t>
      </w:r>
      <w:hyperlink r:id="rId98">
        <w:r>
          <w:rPr>
            <w:rStyle w:val="Hyperlink"/>
          </w:rPr>
          <w:t xml:space="preserve">http://arxiv.org/abs/1510.06871v2</w:t>
        </w:r>
      </w:hyperlink>
    </w:p>
    <w:bookmarkEnd w:id="99"/>
    <w:bookmarkStart w:id="101" w:name="ref-haslbeck_how_2018"/>
    <w:p>
      <w:pPr>
        <w:pStyle w:val="Literaturverzeichnis"/>
      </w:pPr>
      <w:r>
        <w:t xml:space="preserve">Haslbeck, J. M. B., &amp; Waldorp, L. J. (2018). How well do network models predict observations? On the importance of predictability in network models.</w:t>
      </w:r>
      <w:r>
        <w:t xml:space="preserve"> </w:t>
      </w:r>
      <w:r>
        <w:rPr>
          <w:i/>
        </w:rPr>
        <w:t xml:space="preserve">Behavior Research Methods</w:t>
      </w:r>
      <w:r>
        <w:t xml:space="preserve">,</w:t>
      </w:r>
      <w:r>
        <w:t xml:space="preserve"> </w:t>
      </w:r>
      <w:r>
        <w:rPr>
          <w:i/>
        </w:rPr>
        <w:t xml:space="preserve">50</w:t>
      </w:r>
      <w:r>
        <w:t xml:space="preserve">(2), 853–861.</w:t>
      </w:r>
      <w:r>
        <w:t xml:space="preserve"> </w:t>
      </w:r>
      <w:hyperlink r:id="rId100">
        <w:r>
          <w:rPr>
            <w:rStyle w:val="Hyperlink"/>
          </w:rPr>
          <w:t xml:space="preserve">https://doi.org/10.3758/s13428-017-0910-x</w:t>
        </w:r>
      </w:hyperlink>
    </w:p>
    <w:bookmarkEnd w:id="101"/>
    <w:bookmarkStart w:id="103" w:name="ref-heeren_integrative_2016"/>
    <w:p>
      <w:pPr>
        <w:pStyle w:val="Literaturverzeichnis"/>
      </w:pPr>
      <w:r>
        <w:t xml:space="preserve">Heeren, A., &amp; McNally, R. J. (2016). An integrative network approach to social anxiety disorder: The complex dynamic interplay among attentional bias for threat, attentional control, and symptoms.</w:t>
      </w:r>
      <w:r>
        <w:t xml:space="preserve"> </w:t>
      </w:r>
      <w:r>
        <w:rPr>
          <w:i/>
        </w:rPr>
        <w:t xml:space="preserve">Journal of Anxiety Disorders</w:t>
      </w:r>
      <w:r>
        <w:t xml:space="preserve">,</w:t>
      </w:r>
      <w:r>
        <w:t xml:space="preserve"> </w:t>
      </w:r>
      <w:r>
        <w:rPr>
          <w:i/>
        </w:rPr>
        <w:t xml:space="preserve">42</w:t>
      </w:r>
      <w:r>
        <w:t xml:space="preserve">, 95–104.</w:t>
      </w:r>
      <w:r>
        <w:t xml:space="preserve"> </w:t>
      </w:r>
      <w:hyperlink r:id="rId102">
        <w:r>
          <w:rPr>
            <w:rStyle w:val="Hyperlink"/>
          </w:rPr>
          <w:t xml:space="preserve">https://doi.org/10.1016/j.janxdis.2016.06.009 0887-6185</w:t>
        </w:r>
      </w:hyperlink>
    </w:p>
    <w:bookmarkEnd w:id="103"/>
    <w:bookmarkStart w:id="105" w:name="ref-Hertel2011"/>
    <w:p>
      <w:pPr>
        <w:pStyle w:val="Literaturverzeichnis"/>
      </w:pPr>
      <w:r>
        <w:t xml:space="preserve">Hertel, P. T., &amp; Mathews, A. (2011). Cognitive Bias Modification: Past Perspectives, Current Findings, and Future Applications.</w:t>
      </w:r>
      <w:r>
        <w:t xml:space="preserve"> </w:t>
      </w:r>
      <w:r>
        <w:rPr>
          <w:i/>
        </w:rPr>
        <w:t xml:space="preserve">Perspectives on Psychological Science</w:t>
      </w:r>
      <w:r>
        <w:t xml:space="preserve">,</w:t>
      </w:r>
      <w:r>
        <w:t xml:space="preserve"> </w:t>
      </w:r>
      <w:r>
        <w:rPr>
          <w:i/>
        </w:rPr>
        <w:t xml:space="preserve">6</w:t>
      </w:r>
      <w:r>
        <w:t xml:space="preserve">(6), 521–536.</w:t>
      </w:r>
      <w:r>
        <w:t xml:space="preserve"> </w:t>
      </w:r>
      <w:hyperlink r:id="rId104">
        <w:r>
          <w:rPr>
            <w:rStyle w:val="Hyperlink"/>
          </w:rPr>
          <w:t xml:space="preserve">https://doi.org/10.1177/1745691611421205</w:t>
        </w:r>
      </w:hyperlink>
    </w:p>
    <w:bookmarkEnd w:id="105"/>
    <w:bookmarkStart w:id="107" w:name="ref-Hirsch2006"/>
    <w:p>
      <w:pPr>
        <w:pStyle w:val="Literaturverzeichnis"/>
      </w:pPr>
      <w:r>
        <w:t xml:space="preserve">Hirsch, C. R., Clark, D. M., &amp; Mathews, A. (2006). Imagery and Interpretations in Social Phobia : Support for the Combined Cognitive Biases Hypothesis.</w:t>
      </w:r>
      <w:r>
        <w:t xml:space="preserve"> </w:t>
      </w:r>
      <w:r>
        <w:rPr>
          <w:i/>
        </w:rPr>
        <w:t xml:space="preserve">Behaviour Therapy</w:t>
      </w:r>
      <w:r>
        <w:t xml:space="preserve">,</w:t>
      </w:r>
      <w:r>
        <w:t xml:space="preserve"> </w:t>
      </w:r>
      <w:r>
        <w:rPr>
          <w:i/>
        </w:rPr>
        <w:t xml:space="preserve">37</w:t>
      </w:r>
      <w:r>
        <w:t xml:space="preserve">(3), 223–236.</w:t>
      </w:r>
      <w:r>
        <w:t xml:space="preserve"> </w:t>
      </w:r>
      <w:hyperlink r:id="rId106">
        <w:r>
          <w:rPr>
            <w:rStyle w:val="Hyperlink"/>
          </w:rPr>
          <w:t xml:space="preserve">https://doi.org/10.1016/j.beth.2006.02.001</w:t>
        </w:r>
      </w:hyperlink>
    </w:p>
    <w:bookmarkEnd w:id="107"/>
    <w:bookmarkStart w:id="109" w:name="ref-kalisch_deconstructing_2019"/>
    <w:p>
      <w:pPr>
        <w:pStyle w:val="Literaturverzeichnis"/>
      </w:pPr>
      <w:r>
        <w:t xml:space="preserve">Kalisch, R., Cramer, A. O. J., Binder, H., Fritz, J., Leertouwer, I., Lunansky, G., … Harmelen, A.-L. van. (2019). Deconstructing and Reconstructing Resilience: A Dynamic Network Approach.</w:t>
      </w:r>
      <w:r>
        <w:t xml:space="preserve"> </w:t>
      </w:r>
      <w:r>
        <w:rPr>
          <w:i/>
        </w:rPr>
        <w:t xml:space="preserve">Perspectives on Psychological Science</w:t>
      </w:r>
      <w:r>
        <w:t xml:space="preserve">,</w:t>
      </w:r>
      <w:r>
        <w:t xml:space="preserve"> </w:t>
      </w:r>
      <w:r>
        <w:rPr>
          <w:i/>
        </w:rPr>
        <w:t xml:space="preserve">14</w:t>
      </w:r>
      <w:r>
        <w:t xml:space="preserve">(5), 765–777.</w:t>
      </w:r>
      <w:r>
        <w:t xml:space="preserve"> </w:t>
      </w:r>
      <w:hyperlink r:id="rId108">
        <w:r>
          <w:rPr>
            <w:rStyle w:val="Hyperlink"/>
          </w:rPr>
          <w:t xml:space="preserve">https://doi.org/10.1177/1745691619855637</w:t>
        </w:r>
      </w:hyperlink>
    </w:p>
    <w:bookmarkEnd w:id="109"/>
    <w:bookmarkStart w:id="111" w:name="ref-Keyes2002"/>
    <w:p>
      <w:pPr>
        <w:pStyle w:val="Literaturverzeichnis"/>
      </w:pPr>
      <w:r>
        <w:t xml:space="preserve">Keyes, C. L. M. (2002). The Mental Health Continuum : From Languishing to Flourishing in Life.</w:t>
      </w:r>
      <w:r>
        <w:t xml:space="preserve"> </w:t>
      </w:r>
      <w:r>
        <w:rPr>
          <w:i/>
        </w:rPr>
        <w:t xml:space="preserve">Journal of Health and Social Behaviour</w:t>
      </w:r>
      <w:r>
        <w:t xml:space="preserve">,</w:t>
      </w:r>
      <w:r>
        <w:t xml:space="preserve"> </w:t>
      </w:r>
      <w:r>
        <w:rPr>
          <w:i/>
        </w:rPr>
        <w:t xml:space="preserve">43</w:t>
      </w:r>
      <w:r>
        <w:t xml:space="preserve">(2), 207–222.</w:t>
      </w:r>
      <w:r>
        <w:t xml:space="preserve"> </w:t>
      </w:r>
      <w:hyperlink r:id="rId110">
        <w:r>
          <w:rPr>
            <w:rStyle w:val="Hyperlink"/>
          </w:rPr>
          <w:t xml:space="preserve">https://doi.org/10.2307/3090197</w:t>
        </w:r>
      </w:hyperlink>
    </w:p>
    <w:bookmarkEnd w:id="111"/>
    <w:bookmarkStart w:id="113" w:name="ref-Keyes2005"/>
    <w:p>
      <w:pPr>
        <w:pStyle w:val="Literaturverzeichnis"/>
      </w:pPr>
      <w:r>
        <w:t xml:space="preserve">Keyes, C. L. M. (2005). Mental illness and/or mental health? Investigating axioms of the complete state model of health.</w:t>
      </w:r>
      <w:r>
        <w:t xml:space="preserve"> </w:t>
      </w:r>
      <w:r>
        <w:rPr>
          <w:i/>
        </w:rPr>
        <w:t xml:space="preserve">Journal of Consulting and Clinical Psychology</w:t>
      </w:r>
      <w:r>
        <w:t xml:space="preserve">,</w:t>
      </w:r>
      <w:r>
        <w:t xml:space="preserve"> </w:t>
      </w:r>
      <w:r>
        <w:rPr>
          <w:i/>
        </w:rPr>
        <w:t xml:space="preserve">73</w:t>
      </w:r>
      <w:r>
        <w:t xml:space="preserve">(3), 539–548.</w:t>
      </w:r>
      <w:r>
        <w:t xml:space="preserve"> </w:t>
      </w:r>
      <w:hyperlink r:id="rId112">
        <w:r>
          <w:rPr>
            <w:rStyle w:val="Hyperlink"/>
          </w:rPr>
          <w:t xml:space="preserve">https://doi.org/10.1037/0022-006X.73.3.539</w:t>
        </w:r>
      </w:hyperlink>
    </w:p>
    <w:bookmarkEnd w:id="113"/>
    <w:bookmarkStart w:id="115" w:name="ref-Keyes2009"/>
    <w:p>
      <w:pPr>
        <w:pStyle w:val="Literaturverzeichnis"/>
      </w:pPr>
      <w:r>
        <w:t xml:space="preserve">Keyes, C. L. M. (2009). Brief Description of the Mental Health Continuum Short Form (MHC-SF). Retrieved from</w:t>
      </w:r>
      <w:r>
        <w:t xml:space="preserve"> </w:t>
      </w:r>
      <w:hyperlink r:id="rId114">
        <w:r>
          <w:rPr>
            <w:rStyle w:val="Hyperlink"/>
          </w:rPr>
          <w:t xml:space="preserve">https://www.aacu.org/sites/default/files/MHC-SFEnglish.pdf</w:t>
        </w:r>
      </w:hyperlink>
    </w:p>
    <w:bookmarkEnd w:id="115"/>
    <w:bookmarkStart w:id="117"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
        </w:rPr>
        <w:t xml:space="preserve">Journal of American College Health</w:t>
      </w:r>
      <w:r>
        <w:t xml:space="preserve">,</w:t>
      </w:r>
      <w:r>
        <w:t xml:space="preserve"> </w:t>
      </w:r>
      <w:r>
        <w:rPr>
          <w:i/>
        </w:rPr>
        <w:t xml:space="preserve">60</w:t>
      </w:r>
      <w:r>
        <w:t xml:space="preserve">(2), 126–133.</w:t>
      </w:r>
      <w:r>
        <w:t xml:space="preserve"> </w:t>
      </w:r>
      <w:hyperlink r:id="rId116">
        <w:r>
          <w:rPr>
            <w:rStyle w:val="Hyperlink"/>
          </w:rPr>
          <w:t xml:space="preserve">https://doi.org/10.1080/07448481.2011.608393</w:t>
        </w:r>
      </w:hyperlink>
    </w:p>
    <w:bookmarkEnd w:id="117"/>
    <w:bookmarkStart w:id="119" w:name="ref-Keyes2012"/>
    <w:p>
      <w:pPr>
        <w:pStyle w:val="Literaturverzeichnis"/>
      </w:pPr>
      <w:r>
        <w:t xml:space="preserve">Keyes, C. L. M., &amp; Simoes, E. J. (2012). To flourish or not: Positive mental health and all-cause mortality.</w:t>
      </w:r>
      <w:r>
        <w:t xml:space="preserve"> </w:t>
      </w:r>
      <w:r>
        <w:rPr>
          <w:i/>
        </w:rPr>
        <w:t xml:space="preserve">American Journal of Public Health</w:t>
      </w:r>
      <w:r>
        <w:t xml:space="preserve">,</w:t>
      </w:r>
      <w:r>
        <w:t xml:space="preserve"> </w:t>
      </w:r>
      <w:r>
        <w:rPr>
          <w:i/>
        </w:rPr>
        <w:t xml:space="preserve">102</w:t>
      </w:r>
      <w:r>
        <w:t xml:space="preserve">(11), 2164–2172.</w:t>
      </w:r>
      <w:r>
        <w:t xml:space="preserve"> </w:t>
      </w:r>
      <w:hyperlink r:id="rId118">
        <w:r>
          <w:rPr>
            <w:rStyle w:val="Hyperlink"/>
          </w:rPr>
          <w:t xml:space="preserve">https://doi.org/10.2105/AJPH.2012.300918</w:t>
        </w:r>
      </w:hyperlink>
    </w:p>
    <w:bookmarkEnd w:id="119"/>
    <w:bookmarkStart w:id="121"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
        </w:rPr>
        <w:t xml:space="preserve">Cognition and Emotion</w:t>
      </w:r>
      <w:r>
        <w:t xml:space="preserve">,</w:t>
      </w:r>
      <w:r>
        <w:t xml:space="preserve"> </w:t>
      </w:r>
      <w:r>
        <w:rPr>
          <w:i/>
        </w:rPr>
        <w:t xml:space="preserve">32</w:t>
      </w:r>
      <w:r>
        <w:t xml:space="preserve">(7), 1478–1486.</w:t>
      </w:r>
      <w:r>
        <w:t xml:space="preserve"> </w:t>
      </w:r>
      <w:hyperlink r:id="rId120">
        <w:r>
          <w:rPr>
            <w:rStyle w:val="Hyperlink"/>
          </w:rPr>
          <w:t xml:space="preserve">https://doi.org/10.1080/02699931.2017.1304359</w:t>
        </w:r>
      </w:hyperlink>
    </w:p>
    <w:bookmarkEnd w:id="121"/>
    <w:bookmarkStart w:id="123" w:name="ref-Lamers2011"/>
    <w:p>
      <w:pPr>
        <w:pStyle w:val="Literaturverzeichnis"/>
      </w:pPr>
      <w:r>
        <w:t xml:space="preserve">Lamers, S. M. a, Westerhof, G. J., Bohlmeijer, E. T., Klooster, P. M. ten, &amp; Keyes, C. L. M. (2011). Evaluating the psychometric properties of the Mental Health Continuum-Short Form (MHC-SF).</w:t>
      </w:r>
      <w:r>
        <w:t xml:space="preserve"> </w:t>
      </w:r>
      <w:r>
        <w:rPr>
          <w:i/>
        </w:rPr>
        <w:t xml:space="preserve">Journal of Clinical Psychology</w:t>
      </w:r>
      <w:r>
        <w:t xml:space="preserve">,</w:t>
      </w:r>
      <w:r>
        <w:t xml:space="preserve"> </w:t>
      </w:r>
      <w:r>
        <w:rPr>
          <w:i/>
        </w:rPr>
        <w:t xml:space="preserve">67</w:t>
      </w:r>
      <w:r>
        <w:t xml:space="preserve">(1), 99–110.</w:t>
      </w:r>
      <w:r>
        <w:t xml:space="preserve"> </w:t>
      </w:r>
      <w:hyperlink r:id="rId122">
        <w:r>
          <w:rPr>
            <w:rStyle w:val="Hyperlink"/>
          </w:rPr>
          <w:t xml:space="preserve">https://doi.org/10.1002/jclp.20741</w:t>
        </w:r>
      </w:hyperlink>
    </w:p>
    <w:bookmarkEnd w:id="123"/>
    <w:bookmarkStart w:id="125" w:name="ref-lau_annual_2017"/>
    <w:p>
      <w:pPr>
        <w:pStyle w:val="Literaturverzeichnis"/>
      </w:pPr>
      <w:r>
        <w:t xml:space="preserve">Lau, J. Y. F., &amp; Waters, A. M. (2017). Annual Research Review: An expanded account of information‐processing mechanisms in risk for child and adolescent anxiety and depression.</w:t>
      </w:r>
      <w:r>
        <w:t xml:space="preserve"> </w:t>
      </w:r>
      <w:r>
        <w:rPr>
          <w:i/>
        </w:rPr>
        <w:t xml:space="preserve">Child and Adolescent Mental Health.</w:t>
      </w:r>
      <w:r>
        <w:t xml:space="preserve">,</w:t>
      </w:r>
      <w:r>
        <w:t xml:space="preserve"> </w:t>
      </w:r>
      <w:r>
        <w:rPr>
          <w:i/>
        </w:rPr>
        <w:t xml:space="preserve">58</w:t>
      </w:r>
      <w:r>
        <w:t xml:space="preserve">(4), 387–407.</w:t>
      </w:r>
      <w:r>
        <w:t xml:space="preserve"> </w:t>
      </w:r>
      <w:hyperlink r:id="rId124">
        <w:r>
          <w:rPr>
            <w:rStyle w:val="Hyperlink"/>
          </w:rPr>
          <w:t xml:space="preserve">https://doi.org/10.1111/jcpp.12653</w:t>
        </w:r>
      </w:hyperlink>
    </w:p>
    <w:bookmarkEnd w:id="125"/>
    <w:bookmarkStart w:id="127" w:name="ref-MacLeod1986"/>
    <w:p>
      <w:pPr>
        <w:pStyle w:val="Literaturverzeichnis"/>
      </w:pPr>
      <w:r>
        <w:t xml:space="preserve">MacLeod, C., Mathews, A., &amp; Tata, P. (1986). Attentional bias in emotional disorders.</w:t>
      </w:r>
      <w:r>
        <w:t xml:space="preserve"> </w:t>
      </w:r>
      <w:r>
        <w:rPr>
          <w:i/>
        </w:rPr>
        <w:t xml:space="preserve">Journal of Abnormal Psychology</w:t>
      </w:r>
      <w:r>
        <w:t xml:space="preserve">,</w:t>
      </w:r>
      <w:r>
        <w:t xml:space="preserve"> </w:t>
      </w:r>
      <w:r>
        <w:rPr>
          <w:i/>
        </w:rPr>
        <w:t xml:space="preserve">95</w:t>
      </w:r>
      <w:r>
        <w:t xml:space="preserve">(1), 15–20.</w:t>
      </w:r>
      <w:r>
        <w:t xml:space="preserve"> </w:t>
      </w:r>
      <w:hyperlink r:id="rId126">
        <w:r>
          <w:rPr>
            <w:rStyle w:val="Hyperlink"/>
          </w:rPr>
          <w:t xml:space="preserve">https://doi.org/10.1037//0021-843X.95.1.15</w:t>
        </w:r>
      </w:hyperlink>
    </w:p>
    <w:bookmarkEnd w:id="127"/>
    <w:bookmarkStart w:id="129" w:name="ref-Mathews1994"/>
    <w:p>
      <w:pPr>
        <w:pStyle w:val="Literaturverzeichnis"/>
      </w:pPr>
      <w:r>
        <w:t xml:space="preserve">Mathews, A., &amp; MacLeod, C. (1994). Cognitive approaches to emotion and emotional disorders.</w:t>
      </w:r>
      <w:r>
        <w:t xml:space="preserve"> </w:t>
      </w:r>
      <w:r>
        <w:rPr>
          <w:i/>
        </w:rPr>
        <w:t xml:space="preserve">Annual Review of Psychology</w:t>
      </w:r>
      <w:r>
        <w:t xml:space="preserve">,</w:t>
      </w:r>
      <w:r>
        <w:t xml:space="preserve"> </w:t>
      </w:r>
      <w:r>
        <w:rPr>
          <w:i/>
        </w:rPr>
        <w:t xml:space="preserve">45</w:t>
      </w:r>
      <w:r>
        <w:t xml:space="preserve">, 25–50.</w:t>
      </w:r>
      <w:r>
        <w:t xml:space="preserve"> </w:t>
      </w:r>
      <w:hyperlink r:id="rId128">
        <w:r>
          <w:rPr>
            <w:rStyle w:val="Hyperlink"/>
          </w:rPr>
          <w:t xml:space="preserve">https://doi.org/10.1146/annurev.ps.45.020194.000325</w:t>
        </w:r>
      </w:hyperlink>
    </w:p>
    <w:bookmarkEnd w:id="129"/>
    <w:bookmarkStart w:id="131" w:name="ref-Mathews2005"/>
    <w:p>
      <w:pPr>
        <w:pStyle w:val="Literaturverzeichnis"/>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167–195.</w:t>
      </w:r>
      <w:r>
        <w:t xml:space="preserve"> </w:t>
      </w:r>
      <w:hyperlink r:id="rId130">
        <w:r>
          <w:rPr>
            <w:rStyle w:val="Hyperlink"/>
          </w:rPr>
          <w:t xml:space="preserve">https://doi.org/10.1146/annurev.clinpsy.1.102803.143916</w:t>
        </w:r>
      </w:hyperlink>
    </w:p>
    <w:bookmarkEnd w:id="131"/>
    <w:bookmarkStart w:id="133" w:name="ref-McNally2011"/>
    <w:p>
      <w:pPr>
        <w:pStyle w:val="Literaturverzeichnis"/>
      </w:pPr>
      <w:r>
        <w:t xml:space="preserve">McNally, R. J., Robinaugh, D. J., Wu, G. W. Y., Wang, L., Deserno, M., &amp; Borsboom, D. (2015). Mental Disorders as Causal Systems: A Network Approach to Posttraumatic Stress Disorder.</w:t>
      </w:r>
      <w:r>
        <w:t xml:space="preserve"> </w:t>
      </w:r>
      <w:r>
        <w:rPr>
          <w:i/>
        </w:rPr>
        <w:t xml:space="preserve">Clinical Psychological Science</w:t>
      </w:r>
      <w:r>
        <w:t xml:space="preserve">,</w:t>
      </w:r>
      <w:r>
        <w:t xml:space="preserve"> </w:t>
      </w:r>
      <w:r>
        <w:rPr>
          <w:i/>
        </w:rPr>
        <w:t xml:space="preserve">3</w:t>
      </w:r>
      <w:r>
        <w:t xml:space="preserve">(6), 836–849.</w:t>
      </w:r>
      <w:r>
        <w:t xml:space="preserve"> </w:t>
      </w:r>
      <w:hyperlink r:id="rId132">
        <w:r>
          <w:rPr>
            <w:rStyle w:val="Hyperlink"/>
          </w:rPr>
          <w:t xml:space="preserve">https://doi.org/10.1177/2167702614553230</w:t>
        </w:r>
      </w:hyperlink>
    </w:p>
    <w:bookmarkEnd w:id="133"/>
    <w:bookmarkStart w:id="135" w:name="ref-miers_interpretation_2008"/>
    <w:p>
      <w:pPr>
        <w:pStyle w:val="Literaturverzeichnis"/>
      </w:pPr>
      <w:r>
        <w:t xml:space="preserve">Miers, A. C., Blöte, A. W., Bögels, S. M., &amp; Westenberg, P. M. (2008). Interpretation bias and social anxiety in adolescents.</w:t>
      </w:r>
      <w:r>
        <w:t xml:space="preserve"> </w:t>
      </w:r>
      <w:r>
        <w:rPr>
          <w:i/>
        </w:rPr>
        <w:t xml:space="preserve">Journal of Anxiety Disorders</w:t>
      </w:r>
      <w:r>
        <w:t xml:space="preserve">,</w:t>
      </w:r>
      <w:r>
        <w:t xml:space="preserve"> </w:t>
      </w:r>
      <w:r>
        <w:rPr>
          <w:i/>
        </w:rPr>
        <w:t xml:space="preserve">22</w:t>
      </w:r>
      <w:r>
        <w:t xml:space="preserve">(8), 1462–1471.</w:t>
      </w:r>
      <w:r>
        <w:t xml:space="preserve"> </w:t>
      </w:r>
      <w:hyperlink r:id="rId134">
        <w:r>
          <w:rPr>
            <w:rStyle w:val="Hyperlink"/>
          </w:rPr>
          <w:t xml:space="preserve">https://doi.org/10.1016/j.janxdis.2008.02.010</w:t>
        </w:r>
      </w:hyperlink>
    </w:p>
    <w:bookmarkEnd w:id="135"/>
    <w:bookmarkStart w:id="137" w:name="ref-orchard_combined_2018"/>
    <w:p>
      <w:pPr>
        <w:pStyle w:val="Literaturverzeichnis"/>
      </w:pPr>
      <w:r>
        <w:t xml:space="preserve">Orchard, F., &amp; Reynolds, S. (2018). The combined influence of cognitions in adolescent depression: Biases of interpretation, self-evaluation, and memory.</w:t>
      </w:r>
      <w:r>
        <w:t xml:space="preserve"> </w:t>
      </w:r>
      <w:r>
        <w:rPr>
          <w:i/>
        </w:rPr>
        <w:t xml:space="preserve">British Journal of Clinical Psychology</w:t>
      </w:r>
      <w:r>
        <w:t xml:space="preserve">,</w:t>
      </w:r>
      <w:r>
        <w:t xml:space="preserve"> </w:t>
      </w:r>
      <w:r>
        <w:rPr>
          <w:i/>
        </w:rPr>
        <w:t xml:space="preserve">57</w:t>
      </w:r>
      <w:r>
        <w:t xml:space="preserve">(4), 420–435.</w:t>
      </w:r>
      <w:r>
        <w:t xml:space="preserve"> </w:t>
      </w:r>
      <w:hyperlink r:id="rId136">
        <w:r>
          <w:rPr>
            <w:rStyle w:val="Hyperlink"/>
          </w:rPr>
          <w:t xml:space="preserve">https://doi.org/10.1111/bjc.12184</w:t>
        </w:r>
      </w:hyperlink>
    </w:p>
    <w:bookmarkEnd w:id="137"/>
    <w:bookmarkStart w:id="139" w:name="ref-R-splithalf"/>
    <w:p>
      <w:pPr>
        <w:pStyle w:val="Literaturverzeichnis"/>
      </w:pPr>
      <w:r>
        <w:t xml:space="preserve">Parsons, S. (2020). Splithalf; calculate task split half reliability estimates. Retrieved from</w:t>
      </w:r>
      <w:r>
        <w:t xml:space="preserve"> </w:t>
      </w:r>
      <w:hyperlink r:id="rId138">
        <w:r>
          <w:rPr>
            <w:rStyle w:val="Hyperlink"/>
          </w:rPr>
          <w:t xml:space="preserve">https://doi.org/10.6084/m9.figshare.5559175.v5</w:t>
        </w:r>
      </w:hyperlink>
    </w:p>
    <w:bookmarkEnd w:id="139"/>
    <w:bookmarkStart w:id="141" w:name="ref-Parsons2016"/>
    <w:p>
      <w:pPr>
        <w:pStyle w:val="Literaturverzeichnis"/>
      </w:pPr>
      <w:r>
        <w:t xml:space="preserve">Parsons, S., Kruijt, A.-W., &amp; Fox, E. (2016). A Cognitive Model of Psychological Resilience.</w:t>
      </w:r>
      <w:r>
        <w:t xml:space="preserve"> </w:t>
      </w:r>
      <w:r>
        <w:rPr>
          <w:i/>
        </w:rPr>
        <w:t xml:space="preserve">Journal of Experimental Psychopathology</w:t>
      </w:r>
      <w:r>
        <w:t xml:space="preserve">,</w:t>
      </w:r>
      <w:r>
        <w:t xml:space="preserve"> </w:t>
      </w:r>
      <w:r>
        <w:rPr>
          <w:i/>
        </w:rPr>
        <w:t xml:space="preserve">7</w:t>
      </w:r>
      <w:r>
        <w:t xml:space="preserve">(3), 296–310.</w:t>
      </w:r>
      <w:r>
        <w:t xml:space="preserve"> </w:t>
      </w:r>
      <w:hyperlink r:id="rId140">
        <w:r>
          <w:rPr>
            <w:rStyle w:val="Hyperlink"/>
          </w:rPr>
          <w:t xml:space="preserve">https://doi.org/10.5127/jep.053415</w:t>
        </w:r>
      </w:hyperlink>
    </w:p>
    <w:bookmarkEnd w:id="141"/>
    <w:bookmarkStart w:id="143" w:name="ref-Parsons2019"/>
    <w:p>
      <w:pPr>
        <w:pStyle w:val="Literaturverzeichnis"/>
      </w:pPr>
      <w:r>
        <w:t xml:space="preserve">Parsons, S., Kruijt, A.-w., &amp; Fox, E. (2019). Psychological Science needs a standard practice of reporting the reliability of cognitive behavioural measurements.</w:t>
      </w:r>
      <w:r>
        <w:t xml:space="preserve"> </w:t>
      </w:r>
      <w:r>
        <w:rPr>
          <w:i/>
        </w:rPr>
        <w:t xml:space="preserve">Advances in Methods and Practices in Psychological Science</w:t>
      </w:r>
      <w:r>
        <w:t xml:space="preserve">,</w:t>
      </w:r>
      <w:r>
        <w:t xml:space="preserve"> </w:t>
      </w:r>
      <w:r>
        <w:rPr>
          <w:i/>
        </w:rPr>
        <w:t xml:space="preserve">2</w:t>
      </w:r>
      <w:r>
        <w:t xml:space="preserve">(4), 378–395.</w:t>
      </w:r>
      <w:r>
        <w:t xml:space="preserve"> </w:t>
      </w:r>
      <w:hyperlink r:id="rId142">
        <w:r>
          <w:rPr>
            <w:rStyle w:val="Hyperlink"/>
          </w:rPr>
          <w:t xml:space="preserve">https://doi.org/10.1177/2515245919879695</w:t>
        </w:r>
      </w:hyperlink>
    </w:p>
    <w:bookmarkEnd w:id="143"/>
    <w:bookmarkStart w:id="145" w:name="ref-platt_review_2017"/>
    <w:p>
      <w:pPr>
        <w:pStyle w:val="Literaturverzeichnis"/>
      </w:pPr>
      <w:r>
        <w:t xml:space="preserve">Platt, B., Waters, A. M., Schulte-Koerne, G., Engelmann, L., &amp; Salemink, E. (2017). A review of cognitive biases in youth depression: Attention, interpretation and memory.</w:t>
      </w:r>
      <w:r>
        <w:t xml:space="preserve"> </w:t>
      </w:r>
      <w:r>
        <w:rPr>
          <w:i/>
        </w:rPr>
        <w:t xml:space="preserve">Cognition and Emotion</w:t>
      </w:r>
      <w:r>
        <w:t xml:space="preserve">,</w:t>
      </w:r>
      <w:r>
        <w:t xml:space="preserve"> </w:t>
      </w:r>
      <w:r>
        <w:rPr>
          <w:i/>
        </w:rPr>
        <w:t xml:space="preserve">31</w:t>
      </w:r>
      <w:r>
        <w:t xml:space="preserve">(3), 462–483.</w:t>
      </w:r>
      <w:r>
        <w:t xml:space="preserve"> </w:t>
      </w:r>
      <w:hyperlink r:id="rId144">
        <w:r>
          <w:rPr>
            <w:rStyle w:val="Hyperlink"/>
          </w:rPr>
          <w:t xml:space="preserve">https://doi.org/10.1080/02699931.2015.1127215</w:t>
        </w:r>
      </w:hyperlink>
    </w:p>
    <w:bookmarkEnd w:id="145"/>
    <w:bookmarkStart w:id="147" w:name="ref-reichardt_statistical_2006"/>
    <w:p>
      <w:pPr>
        <w:pStyle w:val="Literaturverzeichnis"/>
      </w:pPr>
      <w:r>
        <w:t xml:space="preserve">Reichardt, J., &amp; Bornholdt, S. (2006). Statistical mechanics of community detection.</w:t>
      </w:r>
      <w:r>
        <w:t xml:space="preserve"> </w:t>
      </w:r>
      <w:r>
        <w:rPr>
          <w:i/>
        </w:rPr>
        <w:t xml:space="preserve">Physical Review E</w:t>
      </w:r>
      <w:r>
        <w:t xml:space="preserve">,</w:t>
      </w:r>
      <w:r>
        <w:t xml:space="preserve"> </w:t>
      </w:r>
      <w:r>
        <w:rPr>
          <w:i/>
        </w:rPr>
        <w:t xml:space="preserve">74</w:t>
      </w:r>
      <w:r>
        <w:t xml:space="preserve">, 016110.</w:t>
      </w:r>
      <w:r>
        <w:t xml:space="preserve"> </w:t>
      </w:r>
      <w:hyperlink r:id="rId146">
        <w:r>
          <w:rPr>
            <w:rStyle w:val="Hyperlink"/>
          </w:rPr>
          <w:t xml:space="preserve">https://doi.org/10.1103/PhysRevE.74.016110</w:t>
        </w:r>
      </w:hyperlink>
    </w:p>
    <w:bookmarkEnd w:id="147"/>
    <w:bookmarkStart w:id="149" w:name="ref-rhemtulla_cross-lagged_2019"/>
    <w:p>
      <w:pPr>
        <w:pStyle w:val="Literaturverzeichnis"/>
      </w:pPr>
      <w:r>
        <w:t xml:space="preserve">Rhemtulla, M., Bork, R. van, &amp; Cramer, A. (2019). Cross-lagged network models.</w:t>
      </w:r>
      <w:r>
        <w:t xml:space="preserve"> </w:t>
      </w:r>
      <w:r>
        <w:rPr>
          <w:i/>
        </w:rPr>
        <w:t xml:space="preserve">Accepted for Publication in Multivariate Behavioral Research</w:t>
      </w:r>
      <w:r>
        <w:t xml:space="preserve">. Retrieved from</w:t>
      </w:r>
      <w:r>
        <w:t xml:space="preserve"> </w:t>
      </w:r>
      <w:hyperlink r:id="rId148">
        <w:r>
          <w:rPr>
            <w:rStyle w:val="Hyperlink"/>
          </w:rPr>
          <w:t xml:space="preserve">https://osf.io/r24q6/</w:t>
        </w:r>
      </w:hyperlink>
    </w:p>
    <w:bookmarkEnd w:id="149"/>
    <w:bookmarkStart w:id="151" w:name="ref-roy_stoic:_2009"/>
    <w:p>
      <w:pPr>
        <w:pStyle w:val="Literaturverzeichnis"/>
      </w:pPr>
      <w:r>
        <w:t xml:space="preserve">Roy, S., Roy, C., Éthier-Majcher, C., Fortin, I., Belin, P., &amp; Gosselin, F. (2009). STOIC: A database of dynamic and static faces expressing highly recognizable emotions, 15. Retrieved from</w:t>
      </w:r>
      <w:r>
        <w:t xml:space="preserve"> </w:t>
      </w:r>
      <w:hyperlink r:id="rId150">
        <w:r>
          <w:rPr>
            <w:rStyle w:val="Hyperlink"/>
          </w:rPr>
          <w:t xml:space="preserve">http://mapageweb.umontreal.ca/gosselif/sroyetal_sub.pdf</w:t>
        </w:r>
      </w:hyperlink>
    </w:p>
    <w:bookmarkEnd w:id="151"/>
    <w:bookmarkStart w:id="153" w:name="ref-schmittmann_deconstructing_2013"/>
    <w:p>
      <w:pPr>
        <w:pStyle w:val="Literaturverzeichnis"/>
      </w:pPr>
      <w:r>
        <w:t xml:space="preserve">Schmittmann, V. D., Cramer, A. O. J., Waldorp, L. J., Epskamp, S., Kievit, R. A., &amp; Borsboom, D. (2013). Deconstructing the construct: A network perspective on psychological phenomena.</w:t>
      </w:r>
      <w:r>
        <w:t xml:space="preserve"> </w:t>
      </w:r>
      <w:r>
        <w:rPr>
          <w:i/>
        </w:rPr>
        <w:t xml:space="preserve">New Ideas in Psychology</w:t>
      </w:r>
      <w:r>
        <w:t xml:space="preserve">,</w:t>
      </w:r>
      <w:r>
        <w:t xml:space="preserve"> </w:t>
      </w:r>
      <w:r>
        <w:rPr>
          <w:i/>
        </w:rPr>
        <w:t xml:space="preserve">31</w:t>
      </w:r>
      <w:r>
        <w:t xml:space="preserve">(1), 43–53.</w:t>
      </w:r>
      <w:r>
        <w:t xml:space="preserve"> </w:t>
      </w:r>
      <w:hyperlink r:id="rId152">
        <w:r>
          <w:rPr>
            <w:rStyle w:val="Hyperlink"/>
          </w:rPr>
          <w:t xml:space="preserve">https://doi.org/10.1016/j.newideapsych.2011.02.007</w:t>
        </w:r>
      </w:hyperlink>
    </w:p>
    <w:bookmarkEnd w:id="153"/>
    <w:bookmarkStart w:id="155" w:name="ref-songco_anxiety_2020"/>
    <w:p>
      <w:pPr>
        <w:pStyle w:val="Literaturverzeichnis"/>
      </w:pPr>
      <w:r>
        <w:t xml:space="preserve">Songco, A., Booth, C., Spiegler, O., Parsons, S., &amp; Fox, E. (2020). Anxiety and Depressive Symptom Trajectories in Adolescence and the Co-Occurring Development of Cognitive Biases: Evidence from the CogBIAS Longitudinal Study.</w:t>
      </w:r>
      <w:r>
        <w:t xml:space="preserve"> </w:t>
      </w:r>
      <w:r>
        <w:rPr>
          <w:i/>
        </w:rPr>
        <w:t xml:space="preserve">Journal of Abnormal Child Psychology</w:t>
      </w:r>
      <w:r>
        <w:t xml:space="preserve">,</w:t>
      </w:r>
      <w:r>
        <w:t xml:space="preserve"> </w:t>
      </w:r>
      <w:r>
        <w:rPr>
          <w:i/>
        </w:rPr>
        <w:t xml:space="preserve">48</w:t>
      </w:r>
      <w:r>
        <w:t xml:space="preserve">(12), 1617–1633.</w:t>
      </w:r>
      <w:r>
        <w:t xml:space="preserve"> </w:t>
      </w:r>
      <w:hyperlink r:id="rId154">
        <w:r>
          <w:rPr>
            <w:rStyle w:val="Hyperlink"/>
          </w:rPr>
          <w:t xml:space="preserve">https://doi.org/10.1007/s10802-020-00694-9</w:t>
        </w:r>
      </w:hyperlink>
    </w:p>
    <w:bookmarkEnd w:id="155"/>
    <w:bookmarkStart w:id="156" w:name="ref-steinberg_age_2015"/>
    <w:p>
      <w:pPr>
        <w:pStyle w:val="Literaturverzeichnis"/>
      </w:pPr>
      <w:r>
        <w:t xml:space="preserve">Steinberg, L. D. (2015).</w:t>
      </w:r>
      <w:r>
        <w:t xml:space="preserve"> </w:t>
      </w:r>
      <w:r>
        <w:rPr>
          <w:i/>
        </w:rPr>
        <w:t xml:space="preserve">Age of opportunity : Lessons from the new science of adolescence</w:t>
      </w:r>
      <w:r>
        <w:t xml:space="preserve"> </w:t>
      </w:r>
      <w:r>
        <w:t xml:space="preserve">(First Mariner Books edition.). Boston.</w:t>
      </w:r>
    </w:p>
    <w:bookmarkEnd w:id="156"/>
    <w:bookmarkStart w:id="158" w:name="ref-R-NetworkComparisonTest"/>
    <w:p>
      <w:pPr>
        <w:pStyle w:val="Literaturverzeichnis"/>
      </w:pPr>
      <w:r>
        <w:t xml:space="preserve">van Borkulo, C. D., Sacha Epskamp, &amp; Millner, A. (2016).</w:t>
      </w:r>
      <w:r>
        <w:t xml:space="preserve"> </w:t>
      </w:r>
      <w:r>
        <w:rPr>
          <w:i/>
        </w:rPr>
        <w:t xml:space="preserve">NetworkComparisonTest: Statistical comparison of two networks based on three invariance measures</w:t>
      </w:r>
      <w:r>
        <w:t xml:space="preserve">. Retrieved from</w:t>
      </w:r>
      <w:r>
        <w:t xml:space="preserve"> </w:t>
      </w:r>
      <w:hyperlink r:id="rId157">
        <w:r>
          <w:rPr>
            <w:rStyle w:val="Hyperlink"/>
          </w:rPr>
          <w:t xml:space="preserve">https://CRAN.R-project.org/package=NetworkComparisonTest</w:t>
        </w:r>
      </w:hyperlink>
    </w:p>
    <w:bookmarkEnd w:id="158"/>
    <w:bookmarkStart w:id="160" w:name="ref-Vrijsen2013"/>
    <w:p>
      <w:pPr>
        <w:pStyle w:val="Literaturverzeichnis"/>
      </w:pPr>
      <w:r>
        <w:t xml:space="preserve">Vrijsen, J. N., Becker, E. S., Rinck, M., Oostrom, I. van, Speckens, A., Whitmer, A., &amp; Gotlib, I. H. (2013). Can Memory Bias be Modified? The Effects of an Explicit Cued-Recall Training in Two Independent Samples.</w:t>
      </w:r>
      <w:r>
        <w:t xml:space="preserve"> </w:t>
      </w:r>
      <w:r>
        <w:rPr>
          <w:i/>
        </w:rPr>
        <w:t xml:space="preserve">Cognitive Therapy and Research</w:t>
      </w:r>
      <w:r>
        <w:t xml:space="preserve">,</w:t>
      </w:r>
      <w:r>
        <w:t xml:space="preserve"> </w:t>
      </w:r>
      <w:r>
        <w:rPr>
          <w:i/>
        </w:rPr>
        <w:t xml:space="preserve">38</w:t>
      </w:r>
      <w:r>
        <w:t xml:space="preserve">(2), 217–225.</w:t>
      </w:r>
      <w:r>
        <w:t xml:space="preserve"> </w:t>
      </w:r>
      <w:hyperlink r:id="rId159">
        <w:r>
          <w:rPr>
            <w:rStyle w:val="Hyperlink"/>
          </w:rPr>
          <w:t xml:space="preserve">https://doi.org/10.1007/s10608-013-9563-y</w:t>
        </w:r>
      </w:hyperlink>
    </w:p>
    <w:bookmarkEnd w:id="160"/>
    <w:bookmarkStart w:id="162" w:name="ref-Vrijsen2014"/>
    <w:p>
      <w:pPr>
        <w:pStyle w:val="Literaturverzeichnis"/>
      </w:pPr>
      <w:r>
        <w:t xml:space="preserve">Vrijsen, J. N., Oostrom, I. van, Isaac, L., Becker, E. S., &amp; Speckens, A. (2014). Coherence Between Attentional and Memory Biases in Sad and Formerly Depressed Individuals.</w:t>
      </w:r>
      <w:r>
        <w:t xml:space="preserve"> </w:t>
      </w:r>
      <w:r>
        <w:rPr>
          <w:i/>
        </w:rPr>
        <w:t xml:space="preserve">Cognitive Therapy and Research</w:t>
      </w:r>
      <w:r>
        <w:t xml:space="preserve">,</w:t>
      </w:r>
      <w:r>
        <w:t xml:space="preserve"> </w:t>
      </w:r>
      <w:r>
        <w:rPr>
          <w:i/>
        </w:rPr>
        <w:t xml:space="preserve">38</w:t>
      </w:r>
      <w:r>
        <w:t xml:space="preserve">, 334–342.</w:t>
      </w:r>
      <w:r>
        <w:t xml:space="preserve"> </w:t>
      </w:r>
      <w:hyperlink r:id="rId161">
        <w:r>
          <w:rPr>
            <w:rStyle w:val="Hyperlink"/>
          </w:rPr>
          <w:t xml:space="preserve">https://doi.org/10.1007/s10608-013-9590-8</w:t>
        </w:r>
      </w:hyperlink>
    </w:p>
    <w:bookmarkEnd w:id="162"/>
    <w:bookmarkStart w:id="164" w:name="ref-Wenzlaff1998"/>
    <w:p>
      <w:pPr>
        <w:pStyle w:val="Literaturverzeichnis"/>
      </w:pPr>
      <w:r>
        <w:t xml:space="preserve">Wenzlaff, R. M., &amp; Bates, D. E. (1998). Unmasking a cognitive vulnerability to depression: How lapses in mental control reveal depressive thinking.</w:t>
      </w:r>
      <w:r>
        <w:t xml:space="preserve"> </w:t>
      </w:r>
      <w:r>
        <w:rPr>
          <w:i/>
        </w:rPr>
        <w:t xml:space="preserve">Journal of Personality and Social Psychology</w:t>
      </w:r>
      <w:r>
        <w:t xml:space="preserve">,</w:t>
      </w:r>
      <w:r>
        <w:t xml:space="preserve"> </w:t>
      </w:r>
      <w:r>
        <w:rPr>
          <w:i/>
        </w:rPr>
        <w:t xml:space="preserve">75</w:t>
      </w:r>
      <w:r>
        <w:t xml:space="preserve">(6), 1559–1571.</w:t>
      </w:r>
      <w:r>
        <w:t xml:space="preserve"> </w:t>
      </w:r>
      <w:hyperlink r:id="rId163">
        <w:r>
          <w:rPr>
            <w:rStyle w:val="Hyperlink"/>
          </w:rPr>
          <w:t xml:space="preserve">https://doi.org/10.1037/0022-3514.75.6.1559</w:t>
        </w:r>
      </w:hyperlink>
    </w:p>
    <w:bookmarkEnd w:id="164"/>
    <w:bookmarkStart w:id="166" w:name="ref-Yiend2010"/>
    <w:p>
      <w:pPr>
        <w:pStyle w:val="Literaturverzeichnis"/>
      </w:pPr>
      <w:r>
        <w:t xml:space="preserve">Yiend, J. (2010). The effects of emotion on attention: A review of attentional processing of emotional information.</w:t>
      </w:r>
      <w:r>
        <w:t xml:space="preserve"> </w:t>
      </w:r>
      <w:r>
        <w:rPr>
          <w:i/>
        </w:rPr>
        <w:t xml:space="preserve">Cognition &amp; Emotion</w:t>
      </w:r>
      <w:r>
        <w:t xml:space="preserve">,</w:t>
      </w:r>
      <w:r>
        <w:t xml:space="preserve"> </w:t>
      </w:r>
      <w:r>
        <w:rPr>
          <w:i/>
        </w:rPr>
        <w:t xml:space="preserve">24</w:t>
      </w:r>
      <w:r>
        <w:t xml:space="preserve">(1), 3–47.</w:t>
      </w:r>
      <w:r>
        <w:t xml:space="preserve"> </w:t>
      </w:r>
      <w:hyperlink r:id="rId165">
        <w:r>
          <w:rPr>
            <w:rStyle w:val="Hyperlink"/>
          </w:rPr>
          <w:t xml:space="preserve">https://doi.org/10.1080/02699930903205698</w:t>
        </w:r>
      </w:hyperlink>
    </w:p>
    <w:bookmarkEnd w:id="166"/>
    <w:bookmarkEnd w:id="167"/>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unotentext"/>
      </w:pPr>
      <w:r>
        <w:rPr>
          <w:rStyle w:val="Funotenzeichen"/>
        </w:rPr>
        <w:footnoteRef/>
      </w:r>
      <w:r>
        <w:t xml:space="preserve"> </w:t>
      </w:r>
      <w:r>
        <w:t xml:space="preserve">We are grateful to Jonas Haslbeck for suggesting this approach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A moderated network of cognitive biases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A moderated network of cognitive biases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78" Target="http://arxiv.org/abs/1011.6640" TargetMode="External" /><Relationship Type="http://schemas.openxmlformats.org/officeDocument/2006/relationships/hyperlink" Id="rId98" Target="http://arxiv.org/abs/1510.06871v2" TargetMode="External" /><Relationship Type="http://schemas.openxmlformats.org/officeDocument/2006/relationships/hyperlink" Id="rId96" Target="http://arxiv.org/abs/1807.02877" TargetMode="External" /><Relationship Type="http://schemas.openxmlformats.org/officeDocument/2006/relationships/hyperlink" Id="rId66" Target="http://igraph.org" TargetMode="External" /><Relationship Type="http://schemas.openxmlformats.org/officeDocument/2006/relationships/hyperlink" Id="rId150" Target="http://mapageweb.umontreal.ca/gosselif/sroyetal_sub.pdf" TargetMode="External" /><Relationship Type="http://schemas.openxmlformats.org/officeDocument/2006/relationships/hyperlink" Id="rId157" Target="https://CRAN.R-project.org/package=NetworkComparisonTest" TargetMode="External" /><Relationship Type="http://schemas.openxmlformats.org/officeDocument/2006/relationships/hyperlink" Id="rId88" Target="https://CRAN.R-project.org/package=glasso" TargetMode="External" /><Relationship Type="http://schemas.openxmlformats.org/officeDocument/2006/relationships/hyperlink" Id="rId70" Target="https://arxiv.org/abs/1604.08462" TargetMode="External" /><Relationship Type="http://schemas.openxmlformats.org/officeDocument/2006/relationships/hyperlink" Id="rId55" Target="https://doi.org/10.1001/jamapsychiatry.2015.2079" TargetMode="External" /><Relationship Type="http://schemas.openxmlformats.org/officeDocument/2006/relationships/hyperlink" Id="rId122" Target="https://doi.org/10.1002/jclp.20741" TargetMode="External" /><Relationship Type="http://schemas.openxmlformats.org/officeDocument/2006/relationships/hyperlink" Id="rId82" Target="https://doi.org/10.1007/s00127-016-1319-z" TargetMode="External" /><Relationship Type="http://schemas.openxmlformats.org/officeDocument/2006/relationships/hyperlink" Id="rId159" Target="https://doi.org/10.1007/s10608-013-9563-y" TargetMode="External" /><Relationship Type="http://schemas.openxmlformats.org/officeDocument/2006/relationships/hyperlink" Id="rId161" Target="https://doi.org/10.1007/s10608-013-9590-8" TargetMode="External" /><Relationship Type="http://schemas.openxmlformats.org/officeDocument/2006/relationships/hyperlink" Id="rId154" Target="https://doi.org/10.1007/s10802-020-00694-9" TargetMode="External" /><Relationship Type="http://schemas.openxmlformats.org/officeDocument/2006/relationships/hyperlink" Id="rId94" Target="https://doi.org/10.1016/0022-0965(84)90079-1" TargetMode="External" /><Relationship Type="http://schemas.openxmlformats.org/officeDocument/2006/relationships/hyperlink" Id="rId106" Target="https://doi.org/10.1016/j.beth.2006.02.001" TargetMode="External" /><Relationship Type="http://schemas.openxmlformats.org/officeDocument/2006/relationships/hyperlink" Id="rId64" Target="https://doi.org/10.1016/j.cpr.2009.11.003" TargetMode="External" /><Relationship Type="http://schemas.openxmlformats.org/officeDocument/2006/relationships/hyperlink" Id="rId74" Target="https://doi.org/10.1016/j.cpr.2012.04.003" TargetMode="External" /><Relationship Type="http://schemas.openxmlformats.org/officeDocument/2006/relationships/hyperlink" Id="rId62" Target="https://doi.org/10.1016/j.cpr.2013.01.003" TargetMode="External" /><Relationship Type="http://schemas.openxmlformats.org/officeDocument/2006/relationships/hyperlink" Id="rId47" Target="https://doi.org/10.1016/j.jad.2014.02.020" TargetMode="External" /><Relationship Type="http://schemas.openxmlformats.org/officeDocument/2006/relationships/hyperlink" Id="rId134" Target="https://doi.org/10.1016/j.janxdis.2008.02.010" TargetMode="External" /><Relationship Type="http://schemas.openxmlformats.org/officeDocument/2006/relationships/hyperlink" Id="rId102" Target="https://doi.org/10.1016/j.janxdis.2016.06.009%200887-6185" TargetMode="External" /><Relationship Type="http://schemas.openxmlformats.org/officeDocument/2006/relationships/hyperlink" Id="rId152" Target="https://doi.org/10.1016/j.newideapsych.2011.02.007" TargetMode="External" /><Relationship Type="http://schemas.openxmlformats.org/officeDocument/2006/relationships/hyperlink" Id="rId90" Target="https://doi.org/10.1016/j.tics.2015.07.008" TargetMode="External" /><Relationship Type="http://schemas.openxmlformats.org/officeDocument/2006/relationships/hyperlink" Id="rId126" Target="https://doi.org/10.1037//0021-843X.95.1.15" TargetMode="External" /><Relationship Type="http://schemas.openxmlformats.org/officeDocument/2006/relationships/hyperlink" Id="rId112" Target="https://doi.org/10.1037/0022-006X.73.3.539" TargetMode="External" /><Relationship Type="http://schemas.openxmlformats.org/officeDocument/2006/relationships/hyperlink" Id="rId163" Target="https://doi.org/10.1037/0022-3514.75.6.1559" TargetMode="External" /><Relationship Type="http://schemas.openxmlformats.org/officeDocument/2006/relationships/hyperlink" Id="rId72" Target="https://doi.org/10.1037/a0035250" TargetMode="External" /><Relationship Type="http://schemas.openxmlformats.org/officeDocument/2006/relationships/hyperlink" Id="rId165" Target="https://doi.org/10.1080/02699930903205698" TargetMode="External" /><Relationship Type="http://schemas.openxmlformats.org/officeDocument/2006/relationships/hyperlink" Id="rId76" Target="https://doi.org/10.1080/02699931.2013.787972" TargetMode="External" /><Relationship Type="http://schemas.openxmlformats.org/officeDocument/2006/relationships/hyperlink" Id="rId144" Target="https://doi.org/10.1080/02699931.2015.1127215" TargetMode="External" /><Relationship Type="http://schemas.openxmlformats.org/officeDocument/2006/relationships/hyperlink" Id="rId120" Target="https://doi.org/10.1080/02699931.2017.1304359" TargetMode="External" /><Relationship Type="http://schemas.openxmlformats.org/officeDocument/2006/relationships/hyperlink" Id="rId116" Target="https://doi.org/10.1080/07448481.2011.608393" TargetMode="External" /><Relationship Type="http://schemas.openxmlformats.org/officeDocument/2006/relationships/hyperlink" Id="rId80" Target="https://doi.org/10.1080/17437199.2017.1306718" TargetMode="External" /><Relationship Type="http://schemas.openxmlformats.org/officeDocument/2006/relationships/hyperlink" Id="rId86" Target="https://doi.org/10.1093/biostatistics/kxm045" TargetMode="External" /><Relationship Type="http://schemas.openxmlformats.org/officeDocument/2006/relationships/hyperlink" Id="rId146" Target="https://doi.org/10.1103/PhysRevE.74.016110" TargetMode="External" /><Relationship Type="http://schemas.openxmlformats.org/officeDocument/2006/relationships/hyperlink" Id="rId136" Target="https://doi.org/10.1111/bjc.12184" TargetMode="External" /><Relationship Type="http://schemas.openxmlformats.org/officeDocument/2006/relationships/hyperlink" Id="rId124" Target="https://doi.org/10.1111/jcpp.12653" TargetMode="External" /><Relationship Type="http://schemas.openxmlformats.org/officeDocument/2006/relationships/hyperlink" Id="rId58" Target="https://doi.org/10.1146/annurev-clinpsy-050212-185608" TargetMode="External" /><Relationship Type="http://schemas.openxmlformats.org/officeDocument/2006/relationships/hyperlink" Id="rId130" Target="https://doi.org/10.1146/annurev.clinpsy.1.102803.143916" TargetMode="External" /><Relationship Type="http://schemas.openxmlformats.org/officeDocument/2006/relationships/hyperlink" Id="rId92" Target="https://doi.org/10.1146/annurev.clinpsy.121208.131305" TargetMode="External" /><Relationship Type="http://schemas.openxmlformats.org/officeDocument/2006/relationships/hyperlink" Id="rId128" Target="https://doi.org/10.1146/annurev.ps.45.020194.000325" TargetMode="External" /><Relationship Type="http://schemas.openxmlformats.org/officeDocument/2006/relationships/hyperlink" Id="rId104" Target="https://doi.org/10.1177/1745691611421205" TargetMode="External" /><Relationship Type="http://schemas.openxmlformats.org/officeDocument/2006/relationships/hyperlink" Id="rId108" Target="https://doi.org/10.1177/1745691619855637" TargetMode="External" /><Relationship Type="http://schemas.openxmlformats.org/officeDocument/2006/relationships/hyperlink" Id="rId132" Target="https://doi.org/10.1177/2167702614553230" TargetMode="External" /><Relationship Type="http://schemas.openxmlformats.org/officeDocument/2006/relationships/hyperlink" Id="rId49" Target="https://doi.org/10.1177/2167702617702717" TargetMode="External" /><Relationship Type="http://schemas.openxmlformats.org/officeDocument/2006/relationships/hyperlink" Id="rId142" Target="https://doi.org/10.1177/2515245919879695" TargetMode="External" /><Relationship Type="http://schemas.openxmlformats.org/officeDocument/2006/relationships/hyperlink" Id="rId53" Target="https://doi.org/10.1186/s40359-017-0210-3" TargetMode="External" /><Relationship Type="http://schemas.openxmlformats.org/officeDocument/2006/relationships/hyperlink" Id="rId60" Target="https://doi.org/10.1371/journal.pone.0027407" TargetMode="External" /><Relationship Type="http://schemas.openxmlformats.org/officeDocument/2006/relationships/hyperlink" Id="rId118" Target="https://doi.org/10.2105/AJPH.2012.300918" TargetMode="External" /><Relationship Type="http://schemas.openxmlformats.org/officeDocument/2006/relationships/hyperlink" Id="rId110" Target="https://doi.org/10.2307/3090197" TargetMode="External" /><Relationship Type="http://schemas.openxmlformats.org/officeDocument/2006/relationships/hyperlink" Id="rId68" Target="https://doi.org/10.31234/osf.io/8ha93" TargetMode="External" /><Relationship Type="http://schemas.openxmlformats.org/officeDocument/2006/relationships/hyperlink" Id="rId100" Target="https://doi.org/10.3758/s13428-017-0910-x" TargetMode="External" /><Relationship Type="http://schemas.openxmlformats.org/officeDocument/2006/relationships/hyperlink" Id="rId140" Target="https://doi.org/10.5127/jep.053415" TargetMode="External" /><Relationship Type="http://schemas.openxmlformats.org/officeDocument/2006/relationships/hyperlink" Id="rId138" Target="https://doi.org/10.6084/m9.figshare.5559175.v5" TargetMode="External" /><Relationship Type="http://schemas.openxmlformats.org/officeDocument/2006/relationships/hyperlink" Id="rId51" Target="https://doi.org/doi.org/10.1186/s40359-019-0342-8" TargetMode="External" /><Relationship Type="http://schemas.openxmlformats.org/officeDocument/2006/relationships/hyperlink" Id="rId148" Target="https://osf.io/r24q6/" TargetMode="External" /><Relationship Type="http://schemas.openxmlformats.org/officeDocument/2006/relationships/hyperlink" Id="rId114"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84" Target="osf.io/preprints/psyarxiv/mh3cf" TargetMode="External" /></Relationships>
</file>

<file path=word/_rels/footnotes.xml.rels><?xml version="1.0" encoding="UTF-8"?>
<Relationships xmlns="http://schemas.openxmlformats.org/package/2006/relationships"><Relationship Type="http://schemas.openxmlformats.org/officeDocument/2006/relationships/hyperlink" Id="rId78" Target="http://arxiv.org/abs/1011.6640" TargetMode="External" /><Relationship Type="http://schemas.openxmlformats.org/officeDocument/2006/relationships/hyperlink" Id="rId98" Target="http://arxiv.org/abs/1510.06871v2" TargetMode="External" /><Relationship Type="http://schemas.openxmlformats.org/officeDocument/2006/relationships/hyperlink" Id="rId96" Target="http://arxiv.org/abs/1807.02877" TargetMode="External" /><Relationship Type="http://schemas.openxmlformats.org/officeDocument/2006/relationships/hyperlink" Id="rId66" Target="http://igraph.org" TargetMode="External" /><Relationship Type="http://schemas.openxmlformats.org/officeDocument/2006/relationships/hyperlink" Id="rId150" Target="http://mapageweb.umontreal.ca/gosselif/sroyetal_sub.pdf" TargetMode="External" /><Relationship Type="http://schemas.openxmlformats.org/officeDocument/2006/relationships/hyperlink" Id="rId157" Target="https://CRAN.R-project.org/package=NetworkComparisonTest" TargetMode="External" /><Relationship Type="http://schemas.openxmlformats.org/officeDocument/2006/relationships/hyperlink" Id="rId88" Target="https://CRAN.R-project.org/package=glasso" TargetMode="External" /><Relationship Type="http://schemas.openxmlformats.org/officeDocument/2006/relationships/hyperlink" Id="rId70" Target="https://arxiv.org/abs/1604.08462" TargetMode="External" /><Relationship Type="http://schemas.openxmlformats.org/officeDocument/2006/relationships/hyperlink" Id="rId55" Target="https://doi.org/10.1001/jamapsychiatry.2015.2079" TargetMode="External" /><Relationship Type="http://schemas.openxmlformats.org/officeDocument/2006/relationships/hyperlink" Id="rId122" Target="https://doi.org/10.1002/jclp.20741" TargetMode="External" /><Relationship Type="http://schemas.openxmlformats.org/officeDocument/2006/relationships/hyperlink" Id="rId82" Target="https://doi.org/10.1007/s00127-016-1319-z" TargetMode="External" /><Relationship Type="http://schemas.openxmlformats.org/officeDocument/2006/relationships/hyperlink" Id="rId159" Target="https://doi.org/10.1007/s10608-013-9563-y" TargetMode="External" /><Relationship Type="http://schemas.openxmlformats.org/officeDocument/2006/relationships/hyperlink" Id="rId161" Target="https://doi.org/10.1007/s10608-013-9590-8" TargetMode="External" /><Relationship Type="http://schemas.openxmlformats.org/officeDocument/2006/relationships/hyperlink" Id="rId154" Target="https://doi.org/10.1007/s10802-020-00694-9" TargetMode="External" /><Relationship Type="http://schemas.openxmlformats.org/officeDocument/2006/relationships/hyperlink" Id="rId94" Target="https://doi.org/10.1016/0022-0965(84)90079-1" TargetMode="External" /><Relationship Type="http://schemas.openxmlformats.org/officeDocument/2006/relationships/hyperlink" Id="rId106" Target="https://doi.org/10.1016/j.beth.2006.02.001" TargetMode="External" /><Relationship Type="http://schemas.openxmlformats.org/officeDocument/2006/relationships/hyperlink" Id="rId64" Target="https://doi.org/10.1016/j.cpr.2009.11.003" TargetMode="External" /><Relationship Type="http://schemas.openxmlformats.org/officeDocument/2006/relationships/hyperlink" Id="rId74" Target="https://doi.org/10.1016/j.cpr.2012.04.003" TargetMode="External" /><Relationship Type="http://schemas.openxmlformats.org/officeDocument/2006/relationships/hyperlink" Id="rId62" Target="https://doi.org/10.1016/j.cpr.2013.01.003" TargetMode="External" /><Relationship Type="http://schemas.openxmlformats.org/officeDocument/2006/relationships/hyperlink" Id="rId47" Target="https://doi.org/10.1016/j.jad.2014.02.020" TargetMode="External" /><Relationship Type="http://schemas.openxmlformats.org/officeDocument/2006/relationships/hyperlink" Id="rId134" Target="https://doi.org/10.1016/j.janxdis.2008.02.010" TargetMode="External" /><Relationship Type="http://schemas.openxmlformats.org/officeDocument/2006/relationships/hyperlink" Id="rId102" Target="https://doi.org/10.1016/j.janxdis.2016.06.009%200887-6185" TargetMode="External" /><Relationship Type="http://schemas.openxmlformats.org/officeDocument/2006/relationships/hyperlink" Id="rId152" Target="https://doi.org/10.1016/j.newideapsych.2011.02.007" TargetMode="External" /><Relationship Type="http://schemas.openxmlformats.org/officeDocument/2006/relationships/hyperlink" Id="rId90" Target="https://doi.org/10.1016/j.tics.2015.07.008" TargetMode="External" /><Relationship Type="http://schemas.openxmlformats.org/officeDocument/2006/relationships/hyperlink" Id="rId126" Target="https://doi.org/10.1037//0021-843X.95.1.15" TargetMode="External" /><Relationship Type="http://schemas.openxmlformats.org/officeDocument/2006/relationships/hyperlink" Id="rId112" Target="https://doi.org/10.1037/0022-006X.73.3.539" TargetMode="External" /><Relationship Type="http://schemas.openxmlformats.org/officeDocument/2006/relationships/hyperlink" Id="rId163" Target="https://doi.org/10.1037/0022-3514.75.6.1559" TargetMode="External" /><Relationship Type="http://schemas.openxmlformats.org/officeDocument/2006/relationships/hyperlink" Id="rId72" Target="https://doi.org/10.1037/a0035250" TargetMode="External" /><Relationship Type="http://schemas.openxmlformats.org/officeDocument/2006/relationships/hyperlink" Id="rId165" Target="https://doi.org/10.1080/02699930903205698" TargetMode="External" /><Relationship Type="http://schemas.openxmlformats.org/officeDocument/2006/relationships/hyperlink" Id="rId76" Target="https://doi.org/10.1080/02699931.2013.787972" TargetMode="External" /><Relationship Type="http://schemas.openxmlformats.org/officeDocument/2006/relationships/hyperlink" Id="rId144" Target="https://doi.org/10.1080/02699931.2015.1127215" TargetMode="External" /><Relationship Type="http://schemas.openxmlformats.org/officeDocument/2006/relationships/hyperlink" Id="rId120" Target="https://doi.org/10.1080/02699931.2017.1304359" TargetMode="External" /><Relationship Type="http://schemas.openxmlformats.org/officeDocument/2006/relationships/hyperlink" Id="rId116" Target="https://doi.org/10.1080/07448481.2011.608393" TargetMode="External" /><Relationship Type="http://schemas.openxmlformats.org/officeDocument/2006/relationships/hyperlink" Id="rId80" Target="https://doi.org/10.1080/17437199.2017.1306718" TargetMode="External" /><Relationship Type="http://schemas.openxmlformats.org/officeDocument/2006/relationships/hyperlink" Id="rId86" Target="https://doi.org/10.1093/biostatistics/kxm045" TargetMode="External" /><Relationship Type="http://schemas.openxmlformats.org/officeDocument/2006/relationships/hyperlink" Id="rId146" Target="https://doi.org/10.1103/PhysRevE.74.016110" TargetMode="External" /><Relationship Type="http://schemas.openxmlformats.org/officeDocument/2006/relationships/hyperlink" Id="rId136" Target="https://doi.org/10.1111/bjc.12184" TargetMode="External" /><Relationship Type="http://schemas.openxmlformats.org/officeDocument/2006/relationships/hyperlink" Id="rId124" Target="https://doi.org/10.1111/jcpp.12653" TargetMode="External" /><Relationship Type="http://schemas.openxmlformats.org/officeDocument/2006/relationships/hyperlink" Id="rId58" Target="https://doi.org/10.1146/annurev-clinpsy-050212-185608" TargetMode="External" /><Relationship Type="http://schemas.openxmlformats.org/officeDocument/2006/relationships/hyperlink" Id="rId130" Target="https://doi.org/10.1146/annurev.clinpsy.1.102803.143916" TargetMode="External" /><Relationship Type="http://schemas.openxmlformats.org/officeDocument/2006/relationships/hyperlink" Id="rId92" Target="https://doi.org/10.1146/annurev.clinpsy.121208.131305" TargetMode="External" /><Relationship Type="http://schemas.openxmlformats.org/officeDocument/2006/relationships/hyperlink" Id="rId128" Target="https://doi.org/10.1146/annurev.ps.45.020194.000325" TargetMode="External" /><Relationship Type="http://schemas.openxmlformats.org/officeDocument/2006/relationships/hyperlink" Id="rId104" Target="https://doi.org/10.1177/1745691611421205" TargetMode="External" /><Relationship Type="http://schemas.openxmlformats.org/officeDocument/2006/relationships/hyperlink" Id="rId108" Target="https://doi.org/10.1177/1745691619855637" TargetMode="External" /><Relationship Type="http://schemas.openxmlformats.org/officeDocument/2006/relationships/hyperlink" Id="rId132" Target="https://doi.org/10.1177/2167702614553230" TargetMode="External" /><Relationship Type="http://schemas.openxmlformats.org/officeDocument/2006/relationships/hyperlink" Id="rId49" Target="https://doi.org/10.1177/2167702617702717" TargetMode="External" /><Relationship Type="http://schemas.openxmlformats.org/officeDocument/2006/relationships/hyperlink" Id="rId142" Target="https://doi.org/10.1177/2515245919879695" TargetMode="External" /><Relationship Type="http://schemas.openxmlformats.org/officeDocument/2006/relationships/hyperlink" Id="rId53" Target="https://doi.org/10.1186/s40359-017-0210-3" TargetMode="External" /><Relationship Type="http://schemas.openxmlformats.org/officeDocument/2006/relationships/hyperlink" Id="rId60" Target="https://doi.org/10.1371/journal.pone.0027407" TargetMode="External" /><Relationship Type="http://schemas.openxmlformats.org/officeDocument/2006/relationships/hyperlink" Id="rId118" Target="https://doi.org/10.2105/AJPH.2012.300918" TargetMode="External" /><Relationship Type="http://schemas.openxmlformats.org/officeDocument/2006/relationships/hyperlink" Id="rId110" Target="https://doi.org/10.2307/3090197" TargetMode="External" /><Relationship Type="http://schemas.openxmlformats.org/officeDocument/2006/relationships/hyperlink" Id="rId68" Target="https://doi.org/10.31234/osf.io/8ha93" TargetMode="External" /><Relationship Type="http://schemas.openxmlformats.org/officeDocument/2006/relationships/hyperlink" Id="rId100" Target="https://doi.org/10.3758/s13428-017-0910-x" TargetMode="External" /><Relationship Type="http://schemas.openxmlformats.org/officeDocument/2006/relationships/hyperlink" Id="rId140" Target="https://doi.org/10.5127/jep.053415" TargetMode="External" /><Relationship Type="http://schemas.openxmlformats.org/officeDocument/2006/relationships/hyperlink" Id="rId138" Target="https://doi.org/10.6084/m9.figshare.5559175.v5" TargetMode="External" /><Relationship Type="http://schemas.openxmlformats.org/officeDocument/2006/relationships/hyperlink" Id="rId51" Target="https://doi.org/doi.org/10.1186/s40359-019-0342-8" TargetMode="External" /><Relationship Type="http://schemas.openxmlformats.org/officeDocument/2006/relationships/hyperlink" Id="rId148" Target="https://osf.io/r24q6/" TargetMode="External" /><Relationship Type="http://schemas.openxmlformats.org/officeDocument/2006/relationships/hyperlink" Id="rId114"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84" Target="osf.io/preprints/psyarxiv/mh3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positive mental health in adolescence: A network analysis approach</dc:title>
  <dc:creator/>
  <cp:keywords/>
  <dcterms:created xsi:type="dcterms:W3CDTF">2021-01-27T09:57:24Z</dcterms:created>
  <dcterms:modified xsi:type="dcterms:W3CDTF">2021-01-27T09:57:24Z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conducted at the University of Oxford. At the time of submission AS has moved to the University of South Wales, Australia, and CB has moved to Imperial College London, UK.This work was supported by; the European Research Council (ERC) under the European Union’s Seventh Framework Programme (FP7/2007-2013)/ERC grant agreement no: [324176], and the Economic and Social Research Council [ES/R004285/1]We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shorttitle">
    <vt:lpwstr>A moderated network of cognitive biases</vt:lpwstr>
  </property>
  <property fmtid="{D5CDD505-2E9C-101B-9397-08002B2CF9AE}" pid="17" name="tablelist">
    <vt:lpwstr>no</vt:lpwstr>
  </property>
</Properties>
</file>