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6338"/>
          <w:sz w:val="32"/>
          <w:szCs w:val="32"/>
        </w:rPr>
        <w:t xml:space="preserve">PROGRAMACIÓN DIDÁCTICA DEL MÓDULO PROGRAMACIÓN</w:t>
      </w:r>
    </w:p>
    <w:p>
      <w:pPr>
        <w:spacing w:after="400"/>
        <w:jc w:val="center"/>
      </w:pPr>
      <w:r>
        <w:rPr>
          <w:b/>
          <w:bCs/>
          <w:color w:val="4C5B66"/>
          <w:sz w:val="24"/>
          <w:szCs w:val="24"/>
        </w:rPr>
        <w:t xml:space="preserve">(MODALIDAD SEMIPRESENCIAL) — VERSIÓN ACTUALIZADA</w:t>
      </w:r>
    </w:p>
    <w:p>
      <w:pPr>
        <w:pBdr>
          <w:left w:val="single" w:color="2D8A4E" w:sz="12" w:space="8"/>
        </w:pBdr>
        <w:spacing w:after="200" w:before="100"/>
        <w:ind w:left="200"/>
      </w:pPr>
      <w:r>
        <w:rPr>
          <w:i/>
          <w:iCs/>
          <w:color w:val="1F6338"/>
        </w:rPr>
        <w:t xml:space="preserve">Nota de versión (9 de septiembre de 2026): esta es una copia modificada de la programación didáctica original (Docs/programacion.docx), NO un reemplazo. Se actualizan tres bloques que habían quedado desactualizados respecto al currículo hoy vigente: (1) la estructura de unidades — de las 11 unidades del módulo monolítico de 256h (RD 450/2010) a las 14 unidades del módulo 0485 tal como lo reestructuran el RD 405/2023 y el Decreto 114/2025 de la Comunitat Valenciana; (2) la temporalización, con fechas reales del calendario escolar 2026-2027; y (3) el sistema de calificación, sustituido por el especificado para la presentación del módulo. El resto de apartados (contextualización, metodología, recursos, atención a la diversidad, plan de recuperación, fomento de la lectura) se mantiene igual que en el original salvo que se indique lo contrario.</w:t>
      </w:r>
    </w:p>
    <w:p>
      <w:pPr>
        <w:pStyle w:val="Heading1"/>
        <w:spacing w:after="200" w:before="400"/>
      </w:pPr>
      <w:r>
        <w:t xml:space="preserve">1. DATOS IDENTIFICATIVOS, MARCO NORMATIVO Y CONTEXTUALIZACIÓN</w:t>
      </w:r>
    </w:p>
    <w:p>
      <w:pPr>
        <w:pStyle w:val="Heading2"/>
        <w:spacing w:after="150" w:before="300"/>
      </w:pPr>
      <w:r>
        <w:t xml:space="preserve">Datos identificativos</w:t>
      </w:r>
    </w:p>
    <w:p>
      <w:pPr>
        <w:spacing w:after="120"/>
      </w:pPr>
      <w:r>
        <w:t xml:space="preserve">El módulo profesional "Programación" pertenece al ciclo formativo "Desarrollo de Aplicaciones Multiplataforma" de Formación Profesional de Grado Superior de la familia profesional "Informática y Comunicaciones". Sus datos identificativos:</w:t>
      </w:r>
    </w:p>
    <w:p>
      <w:pPr>
        <w:pStyle w:val="ListParagraph"/>
        <w:numPr>
          <w:ilvl w:val="0"/>
          <w:numId w:val="1"/>
        </w:numPr>
        <w:spacing w:after="60"/>
      </w:pPr>
      <w:r>
        <w:t xml:space="preserve">Código: 0485</w:t>
      </w:r>
    </w:p>
    <w:p>
      <w:pPr>
        <w:pStyle w:val="ListParagraph"/>
        <w:numPr>
          <w:ilvl w:val="0"/>
          <w:numId w:val="1"/>
        </w:numPr>
        <w:spacing w:after="60"/>
      </w:pPr>
      <w:r>
        <w:t xml:space="preserve">Denominación: Programación</w:t>
      </w:r>
    </w:p>
    <w:p>
      <w:pPr>
        <w:pStyle w:val="ListParagraph"/>
        <w:numPr>
          <w:ilvl w:val="0"/>
          <w:numId w:val="1"/>
        </w:numPr>
        <w:spacing w:after="60"/>
      </w:pPr>
      <w:r>
        <w:t xml:space="preserve">Equivalencia en créditos ECTS: 14</w:t>
      </w:r>
    </w:p>
    <w:p>
      <w:pPr>
        <w:pStyle w:val="ListParagraph"/>
        <w:numPr>
          <w:ilvl w:val="0"/>
          <w:numId w:val="1"/>
        </w:numPr>
        <w:spacing w:after="60"/>
      </w:pPr>
      <w:r>
        <w:t xml:space="preserve">Duración: 135 horas (mínimo estatal, RD 405/2023) — 266 horas a 8 h/semana según el Decreto 114/2025 de la Comunitat Valenciana, Anexo II [ACTUALIZADO — antes: 256 horas / 8 sesiones semanales, según el RD 450/2010]</w:t>
      </w:r>
    </w:p>
    <w:p>
      <w:pPr>
        <w:pStyle w:val="ListParagraph"/>
        <w:numPr>
          <w:ilvl w:val="0"/>
          <w:numId w:val="1"/>
        </w:numPr>
        <w:spacing w:after="60"/>
      </w:pPr>
      <w:r>
        <w:t xml:space="preserve">Familia profesional: Informática y Comunicaciones</w:t>
      </w:r>
    </w:p>
    <w:p>
      <w:pPr>
        <w:pStyle w:val="ListParagraph"/>
        <w:numPr>
          <w:ilvl w:val="0"/>
          <w:numId w:val="1"/>
        </w:numPr>
        <w:spacing w:after="60"/>
      </w:pPr>
      <w:r>
        <w:t xml:space="preserve">Ciclo formativo de grado superior: Desarrollo de Aplicaciones Multiplataforma</w:t>
      </w:r>
    </w:p>
    <w:p>
      <w:pPr>
        <w:pStyle w:val="ListParagraph"/>
        <w:numPr>
          <w:ilvl w:val="0"/>
          <w:numId w:val="1"/>
        </w:numPr>
        <w:spacing w:after="60"/>
      </w:pPr>
      <w:r>
        <w:t xml:space="preserve">Centro: IES Serra Perenxisa (Torrent, Valencia)</w:t>
      </w:r>
    </w:p>
    <w:p>
      <w:pPr>
        <w:pStyle w:val="ListParagraph"/>
        <w:numPr>
          <w:ilvl w:val="0"/>
          <w:numId w:val="1"/>
        </w:numPr>
        <w:spacing w:after="60"/>
      </w:pPr>
      <w:r>
        <w:t xml:space="preserve">Profesor: José Rosa Rodríguez</w:t>
      </w:r>
    </w:p>
    <w:p>
      <w:pPr>
        <w:pStyle w:val="ListParagraph"/>
        <w:numPr>
          <w:ilvl w:val="0"/>
          <w:numId w:val="1"/>
        </w:numPr>
        <w:spacing w:after="60"/>
      </w:pPr>
      <w:r>
        <w:t xml:space="preserve">Curso: 2025–2026</w:t>
      </w:r>
    </w:p>
    <w:p>
      <w:pPr>
        <w:pBdr>
          <w:left w:val="single" w:color="2D8A4E" w:sz="12" w:space="8"/>
        </w:pBdr>
        <w:spacing w:after="200" w:before="100"/>
        <w:ind w:left="200"/>
      </w:pPr>
      <w:r>
        <w:rPr>
          <w:i/>
          <w:iCs/>
          <w:color w:val="1F6338"/>
        </w:rPr>
        <w:t xml:space="preserve">Pendiente de confirmar: la cifra de "tutorías individuales/colectivas" del documento original no se ha podido verificar contra ninguna fuente disponible en esta actualización — se mantiene tal cual hasta que se confirme.</w:t>
      </w:r>
    </w:p>
    <w:p>
      <w:pPr>
        <w:pStyle w:val="Heading2"/>
        <w:spacing w:after="150" w:before="300"/>
      </w:pPr>
      <w:r>
        <w:t xml:space="preserve">Marco normativo [ACTUALIZADO]</w:t>
      </w:r>
    </w:p>
    <w:p>
      <w:pPr>
        <w:spacing w:after="120"/>
      </w:pPr>
      <w:r>
        <w:t xml:space="preserve">Se le aplica la normativa recogida en el PCFF de DAM:</w:t>
      </w:r>
    </w:p>
    <w:p>
      <w:pPr>
        <w:pStyle w:val="ListParagraph"/>
        <w:numPr>
          <w:ilvl w:val="0"/>
          <w:numId w:val="1"/>
        </w:numPr>
        <w:spacing w:after="60"/>
      </w:pPr>
      <w:r>
        <w:t xml:space="preserve">RD 659/2023, de 18 de julio</w:t>
      </w:r>
    </w:p>
    <w:p>
      <w:pPr>
        <w:pStyle w:val="ListParagraph"/>
        <w:numPr>
          <w:ilvl w:val="0"/>
          <w:numId w:val="1"/>
        </w:numPr>
        <w:spacing w:after="60"/>
      </w:pPr>
      <w:r>
        <w:t xml:space="preserve">LO 3/2022</w:t>
      </w:r>
    </w:p>
    <w:p>
      <w:pPr>
        <w:pStyle w:val="ListParagraph"/>
        <w:numPr>
          <w:ilvl w:val="0"/>
          <w:numId w:val="1"/>
        </w:numPr>
        <w:spacing w:after="60"/>
      </w:pPr>
      <w:r>
        <w:t xml:space="preserve">RD 500/2024, de 21 de mayo</w:t>
      </w:r>
    </w:p>
    <w:p>
      <w:pPr>
        <w:pStyle w:val="ListParagraph"/>
        <w:numPr>
          <w:ilvl w:val="0"/>
          <w:numId w:val="1"/>
        </w:numPr>
        <w:spacing w:after="60"/>
      </w:pPr>
      <w:r>
        <w:t xml:space="preserve">Decreto 114/2025, de 29 de julio, del Consell, por el que se establecen los currículos de los ciclos formativos de FP en la Comunitat Valenciana (DOGV núm. 10165, 4 agosto 2025) [sustituye a la "Propuesta Decreto Currículum GVA" del documento original, ya publicado en firme]</w:t>
      </w:r>
    </w:p>
    <w:p>
      <w:pPr>
        <w:pStyle w:val="ListParagraph"/>
        <w:numPr>
          <w:ilvl w:val="0"/>
          <w:numId w:val="1"/>
        </w:numPr>
        <w:spacing w:after="60"/>
      </w:pPr>
      <w:r>
        <w:t xml:space="preserve">RD 405/2023, de 29 de mayo, por el que se actualiza el título de DAM y se fijan sus enseñanzas mínimas</w:t>
      </w:r>
    </w:p>
    <w:p>
      <w:pPr>
        <w:pStyle w:val="ListParagraph"/>
        <w:numPr>
          <w:ilvl w:val="0"/>
          <w:numId w:val="1"/>
        </w:numPr>
        <w:spacing w:after="60"/>
      </w:pPr>
      <w:r>
        <w:t xml:space="preserve">Orden 8/2025, de 22 de abril (evaluación en ciclos formativos)</w:t>
      </w:r>
    </w:p>
    <w:p>
      <w:pPr>
        <w:pStyle w:val="ListParagraph"/>
        <w:numPr>
          <w:ilvl w:val="0"/>
          <w:numId w:val="1"/>
        </w:numPr>
        <w:spacing w:after="60"/>
      </w:pPr>
      <w:r>
        <w:t xml:space="preserve">Decreto 72/2021 y Orden 10/2023 (tutoría y orientación profesional)</w:t>
      </w:r>
    </w:p>
    <w:p>
      <w:pPr>
        <w:pBdr>
          <w:left w:val="single" w:color="2D8A4E" w:sz="12" w:space="8"/>
        </w:pBdr>
        <w:spacing w:after="200" w:before="100"/>
        <w:ind w:left="200"/>
      </w:pPr>
      <w:r>
        <w:rPr>
          <w:i/>
          <w:iCs/>
          <w:color w:val="1F6338"/>
        </w:rPr>
        <w:t xml:space="preserve">El RD 450/2010 y la ORDE 58/2012, citados en el documento original como marco normativo del módulo, quedan derogados en lo relativo a la estructura y duración de 0485 — se mantienen únicamente como antecedente histórico.</w:t>
      </w:r>
    </w:p>
    <w:p>
      <w:pPr>
        <w:pStyle w:val="Heading2"/>
        <w:spacing w:after="150" w:before="300"/>
      </w:pPr>
      <w:r>
        <w:t xml:space="preserve">Contextualización</w:t>
      </w:r>
    </w:p>
    <w:p>
      <w:pPr>
        <w:spacing w:after="120"/>
      </w:pPr>
      <w:r>
        <w:t xml:space="preserve">El módulo de programación se imparte en el primer curso del CFGS de Técnico Superior en Desarrollo de Aplicaciones Multiplataforma (DAM), en la comarca de l’Horta Sud, en el IES Serra Perenxisa (Torrent, Valencia). El centro presenta un entorno económico dinámico con presencia de pymes en comercio, hostelería, administración pública, logística, transporte y servicios sociales, con acceso a polos de innovación cercanos (Parc Tecnològic de Paterna, ecosistema emprendedor de Valencia). El alumnado procede mayoritariamente de municipios cercanos, en edad laboral, a menudo compaginando el ciclo con un empleo, y busca especializarse, actualizar o perfeccionar sus conocimientos.</w:t>
      </w:r>
    </w:p>
    <w:p>
      <w:r>
        <w:br w:type="page"/>
      </w:r>
    </w:p>
    <w:p>
      <w:pPr>
        <w:pStyle w:val="Heading1"/>
        <w:spacing w:after="200" w:before="400"/>
      </w:pPr>
      <w:r>
        <w:t xml:space="preserve">2. RESULTADOS DE APRENDIZAJE Y CRITERIOS DE EVALUACIÓN [ACTUALIZADO]</w:t>
      </w:r>
    </w:p>
    <w:p>
      <w:pPr>
        <w:spacing w:after="120"/>
      </w:pPr>
      <w:r>
        <w:t xml:space="preserve">Los 9 resultados de aprendizaje del módulo 0485, tal como los fija el RD 405/2023 (texto vigente, sin las variaciones del documento original en RA4 y RA9):</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8000"/>
      </w:tblGrid>
      <w:tr>
        <w:tc>
          <w:tcPr>
            <w:tcW w:type="dxa" w:w="1000"/>
            <w:shd w:fill="E3EFEE" w:val="clear"/>
          </w:tcPr>
          <w:p>
            <w:r>
              <w:rPr>
                <w:b/>
                <w:bCs/>
                <w:sz w:val="20"/>
                <w:szCs w:val="20"/>
              </w:rPr>
              <w:t xml:space="preserve">RA</w:t>
            </w:r>
          </w:p>
        </w:tc>
        <w:tc>
          <w:tcPr>
            <w:tcW w:type="dxa" w:w="8000"/>
            <w:shd w:fill="E3EFEE" w:val="clear"/>
          </w:tcPr>
          <w:p>
            <w:r>
              <w:rPr>
                <w:b/>
                <w:bCs/>
                <w:sz w:val="20"/>
                <w:szCs w:val="20"/>
              </w:rPr>
              <w:t xml:space="preserve">Descripción</w:t>
            </w:r>
          </w:p>
        </w:tc>
      </w:tr>
      <w:tr>
        <w:tc>
          <w:tcPr>
            <w:tcW w:type="dxa" w:w="1000"/>
          </w:tcPr>
          <w:p>
            <w:r>
              <w:rPr>
                <w:b w:val="false"/>
                <w:bCs w:val="false"/>
                <w:sz w:val="20"/>
                <w:szCs w:val="20"/>
              </w:rPr>
              <w:t xml:space="preserve">RA1</w:t>
            </w:r>
          </w:p>
        </w:tc>
        <w:tc>
          <w:tcPr>
            <w:tcW w:type="dxa" w:w="8000"/>
          </w:tcPr>
          <w:p>
            <w:r>
              <w:rPr>
                <w:b w:val="false"/>
                <w:bCs w:val="false"/>
                <w:sz w:val="20"/>
                <w:szCs w:val="20"/>
              </w:rPr>
              <w:t xml:space="preserve">Reconoce la estructura de un programa informático, identificando y relacionando los elementos propios del lenguaje de programación utilizado.</w:t>
            </w:r>
          </w:p>
        </w:tc>
      </w:tr>
      <w:tr>
        <w:tc>
          <w:tcPr>
            <w:tcW w:type="dxa" w:w="1000"/>
          </w:tcPr>
          <w:p>
            <w:r>
              <w:rPr>
                <w:b w:val="false"/>
                <w:bCs w:val="false"/>
                <w:sz w:val="20"/>
                <w:szCs w:val="20"/>
              </w:rPr>
              <w:t xml:space="preserve">RA2</w:t>
            </w:r>
          </w:p>
        </w:tc>
        <w:tc>
          <w:tcPr>
            <w:tcW w:type="dxa" w:w="8000"/>
          </w:tcPr>
          <w:p>
            <w:r>
              <w:rPr>
                <w:b w:val="false"/>
                <w:bCs w:val="false"/>
                <w:sz w:val="20"/>
                <w:szCs w:val="20"/>
              </w:rPr>
              <w:t xml:space="preserve">Escribe y prueba programas sencillos, reconociendo y aplicando los fundamentos de la programación orientada a objetos.</w:t>
            </w:r>
          </w:p>
        </w:tc>
      </w:tr>
      <w:tr>
        <w:tc>
          <w:tcPr>
            <w:tcW w:type="dxa" w:w="1000"/>
          </w:tcPr>
          <w:p>
            <w:r>
              <w:rPr>
                <w:b w:val="false"/>
                <w:bCs w:val="false"/>
                <w:sz w:val="20"/>
                <w:szCs w:val="20"/>
              </w:rPr>
              <w:t xml:space="preserve">RA3</w:t>
            </w:r>
          </w:p>
        </w:tc>
        <w:tc>
          <w:tcPr>
            <w:tcW w:type="dxa" w:w="8000"/>
          </w:tcPr>
          <w:p>
            <w:r>
              <w:rPr>
                <w:b w:val="false"/>
                <w:bCs w:val="false"/>
                <w:sz w:val="20"/>
                <w:szCs w:val="20"/>
              </w:rPr>
              <w:t xml:space="preserve">Escribe y depura código, analizando y utilizando las estructuras de control del lenguaje.</w:t>
            </w:r>
          </w:p>
        </w:tc>
      </w:tr>
      <w:tr>
        <w:tc>
          <w:tcPr>
            <w:tcW w:type="dxa" w:w="1000"/>
          </w:tcPr>
          <w:p>
            <w:r>
              <w:rPr>
                <w:b w:val="false"/>
                <w:bCs w:val="false"/>
                <w:sz w:val="20"/>
                <w:szCs w:val="20"/>
              </w:rPr>
              <w:t xml:space="preserve">RA4</w:t>
            </w:r>
          </w:p>
        </w:tc>
        <w:tc>
          <w:tcPr>
            <w:tcW w:type="dxa" w:w="8000"/>
          </w:tcPr>
          <w:p>
            <w:r>
              <w:rPr>
                <w:b w:val="false"/>
                <w:bCs w:val="false"/>
                <w:sz w:val="20"/>
                <w:szCs w:val="20"/>
              </w:rPr>
              <w:t xml:space="preserve">Desarrolla programas organizados en clases analizando y aplicando los principios de la programación orientada a objetos.</w:t>
            </w:r>
          </w:p>
        </w:tc>
      </w:tr>
      <w:tr>
        <w:tc>
          <w:tcPr>
            <w:tcW w:type="dxa" w:w="1000"/>
          </w:tcPr>
          <w:p>
            <w:r>
              <w:rPr>
                <w:b w:val="false"/>
                <w:bCs w:val="false"/>
                <w:sz w:val="20"/>
                <w:szCs w:val="20"/>
              </w:rPr>
              <w:t xml:space="preserve">RA5</w:t>
            </w:r>
          </w:p>
        </w:tc>
        <w:tc>
          <w:tcPr>
            <w:tcW w:type="dxa" w:w="8000"/>
          </w:tcPr>
          <w:p>
            <w:r>
              <w:rPr>
                <w:b w:val="false"/>
                <w:bCs w:val="false"/>
                <w:sz w:val="20"/>
                <w:szCs w:val="20"/>
              </w:rPr>
              <w:t xml:space="preserve">Realiza operaciones de entrada y salida de información, utilizando procedimientos específicos del lenguaje y librerías de clases.</w:t>
            </w:r>
          </w:p>
        </w:tc>
      </w:tr>
      <w:tr>
        <w:tc>
          <w:tcPr>
            <w:tcW w:type="dxa" w:w="1000"/>
          </w:tcPr>
          <w:p>
            <w:r>
              <w:rPr>
                <w:b w:val="false"/>
                <w:bCs w:val="false"/>
                <w:sz w:val="20"/>
                <w:szCs w:val="20"/>
              </w:rPr>
              <w:t xml:space="preserve">RA6</w:t>
            </w:r>
          </w:p>
        </w:tc>
        <w:tc>
          <w:tcPr>
            <w:tcW w:type="dxa" w:w="8000"/>
          </w:tcPr>
          <w:p>
            <w:r>
              <w:rPr>
                <w:b w:val="false"/>
                <w:bCs w:val="false"/>
                <w:sz w:val="20"/>
                <w:szCs w:val="20"/>
              </w:rPr>
              <w:t xml:space="preserve">Escribe programas que manipulen información seleccionando y utilizando tipos avanzados de datos.</w:t>
            </w:r>
          </w:p>
        </w:tc>
      </w:tr>
      <w:tr>
        <w:tc>
          <w:tcPr>
            <w:tcW w:type="dxa" w:w="1000"/>
          </w:tcPr>
          <w:p>
            <w:r>
              <w:rPr>
                <w:b w:val="false"/>
                <w:bCs w:val="false"/>
                <w:sz w:val="20"/>
                <w:szCs w:val="20"/>
              </w:rPr>
              <w:t xml:space="preserve">RA7</w:t>
            </w:r>
          </w:p>
        </w:tc>
        <w:tc>
          <w:tcPr>
            <w:tcW w:type="dxa" w:w="8000"/>
          </w:tcPr>
          <w:p>
            <w:r>
              <w:rPr>
                <w:b w:val="false"/>
                <w:bCs w:val="false"/>
                <w:sz w:val="20"/>
                <w:szCs w:val="20"/>
              </w:rPr>
              <w:t xml:space="preserve">Desarrolla programas aplicando características avanzadas de los lenguajes orientados a objetos y del entorno de programación.</w:t>
            </w:r>
          </w:p>
        </w:tc>
      </w:tr>
      <w:tr>
        <w:tc>
          <w:tcPr>
            <w:tcW w:type="dxa" w:w="1000"/>
          </w:tcPr>
          <w:p>
            <w:r>
              <w:rPr>
                <w:b w:val="false"/>
                <w:bCs w:val="false"/>
                <w:sz w:val="20"/>
                <w:szCs w:val="20"/>
              </w:rPr>
              <w:t xml:space="preserve">RA8</w:t>
            </w:r>
          </w:p>
        </w:tc>
        <w:tc>
          <w:tcPr>
            <w:tcW w:type="dxa" w:w="8000"/>
          </w:tcPr>
          <w:p>
            <w:r>
              <w:rPr>
                <w:b w:val="false"/>
                <w:bCs w:val="false"/>
                <w:sz w:val="20"/>
                <w:szCs w:val="20"/>
              </w:rPr>
              <w:t xml:space="preserve">Utiliza bases de datos orientadas a objetos, analizando sus características y aplicando técnicas para mantener la persistencia de la información.</w:t>
            </w:r>
          </w:p>
        </w:tc>
      </w:tr>
      <w:tr>
        <w:tc>
          <w:tcPr>
            <w:tcW w:type="dxa" w:w="1000"/>
          </w:tcPr>
          <w:p>
            <w:r>
              <w:rPr>
                <w:b w:val="false"/>
                <w:bCs w:val="false"/>
                <w:sz w:val="20"/>
                <w:szCs w:val="20"/>
              </w:rPr>
              <w:t xml:space="preserve">RA9</w:t>
            </w:r>
          </w:p>
        </w:tc>
        <w:tc>
          <w:tcPr>
            <w:tcW w:type="dxa" w:w="8000"/>
          </w:tcPr>
          <w:p>
            <w:r>
              <w:rPr>
                <w:b w:val="false"/>
                <w:bCs w:val="false"/>
                <w:sz w:val="20"/>
                <w:szCs w:val="20"/>
              </w:rPr>
              <w:t xml:space="preserve">Gestiona información almacenada en bases de datos manteniendo la integridad y consistencia de los datos.</w:t>
            </w:r>
          </w:p>
        </w:tc>
      </w:tr>
    </w:tbl>
    <w:p>
      <w:pPr>
        <w:pBdr>
          <w:left w:val="single" w:color="2D8A4E" w:sz="12" w:space="8"/>
        </w:pBdr>
        <w:spacing w:after="200" w:before="100"/>
        <w:ind w:left="200"/>
      </w:pPr>
      <w:r>
        <w:rPr>
          <w:i/>
          <w:iCs/>
          <w:color w:val="1F6338"/>
        </w:rPr>
        <w:t xml:space="preserve">Diferencias respecto al documento original: RA4 pasa de 10 a 9 criterios de evaluación (se retira el criterio "se han definido y utilizado interfaces", que no figura en el RD 405/2023 vigente para este RA — el uso de interfaces se sigue trabajando en RA7). El criterio g) de RA9 pasa de "se han creado aplicaciones que ejecuten consultas sobre bases de datos" a "se han creado aplicaciones que muestren la información almacenada en bases de datos", conforme a la redacción actual del RD 405/2023. El detalle letra por letra de cada criterio está en mapa-ra-ce.md, ya publicado en el repositorio del curso.</w:t>
      </w:r>
    </w:p>
    <w:p>
      <w:pPr>
        <w:pStyle w:val="Heading1"/>
        <w:spacing w:after="200" w:before="400"/>
      </w:pPr>
      <w:r>
        <w:t xml:space="preserve">3. UNIDADES DIDÁCTICAS [ACTUALIZADO]</w:t>
      </w:r>
    </w:p>
    <w:p>
      <w:pPr>
        <w:spacing w:after="120"/>
      </w:pPr>
      <w:r>
        <w:t xml:space="preserve">Sustituyen a las 11 unidades del documento original. Las 14 unidades siguientes cubren íntegramente los 9 RA del módulo 0485 vigente, con la relación RA→CE detallada en mapa-ra-ce.md.</w:t>
      </w:r>
    </w:p>
    <w:p>
      <w:pPr>
        <w:pStyle w:val="Heading2"/>
        <w:spacing w:after="150" w:before="300"/>
      </w:pPr>
      <w:r>
        <w:t xml:space="preserve">Unidad 1. Introducción a la algorítmica y pseudocódigo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RA1</w:t>
            </w:r>
          </w:p>
        </w:tc>
        <w:tc>
          <w:tcPr>
            <w:tcW w:type="dxa" w:w="3500"/>
          </w:tcPr>
          <w:p>
            <w:r>
              <w:rPr>
                <w:b w:val="false"/>
                <w:bCs w:val="false"/>
                <w:sz w:val="20"/>
                <w:szCs w:val="20"/>
              </w:rPr>
              <w:t xml:space="preserve">a, b, c</w:t>
            </w:r>
          </w:p>
        </w:tc>
        <w:tc>
          <w:tcPr>
            <w:tcW w:type="dxa" w:w="2600"/>
          </w:tcPr>
          <w:p>
            <w:r>
              <w:rPr>
                <w:b w:val="false"/>
                <w:bCs w:val="false"/>
                <w:sz w:val="20"/>
                <w:szCs w:val="20"/>
              </w:rPr>
              <w:t xml:space="preserve">9–18 sept 2026</w:t>
            </w:r>
          </w:p>
        </w:tc>
        <w:tc>
          <w:tcPr>
            <w:tcW w:type="dxa" w:w="1600"/>
          </w:tcPr>
          <w:p>
            <w:r>
              <w:rPr>
                <w:b w:val="false"/>
                <w:bCs w:val="false"/>
                <w:sz w:val="20"/>
                <w:szCs w:val="20"/>
              </w:rPr>
              <w:t xml:space="preserve">~1 sem</w:t>
            </w:r>
          </w:p>
        </w:tc>
      </w:tr>
    </w:tbl>
    <w:p>
      <w:pPr>
        <w:spacing w:after="120"/>
      </w:pPr>
      <w:r>
        <w:t xml:space="preserve">Contenidos: Concepto de algoritmo y sus cinco propiedades. Pseudocódigo y diagramas de flujo. Los tres bloques estructurales (secuencia, selección, iteración). Entorno de desarrollo IntelliJ IDEA y creación de proyectos.</w:t>
      </w:r>
    </w:p>
    <w:p>
      <w:pPr>
        <w:pStyle w:val="Heading2"/>
        <w:spacing w:after="150" w:before="300"/>
      </w:pPr>
      <w:r>
        <w:t xml:space="preserve">Unidad 2. Primeros pasos en Java: sintaxis y tipos de datos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RA1, RA2</w:t>
            </w:r>
          </w:p>
        </w:tc>
        <w:tc>
          <w:tcPr>
            <w:tcW w:type="dxa" w:w="3500"/>
          </w:tcPr>
          <w:p>
            <w:r>
              <w:rPr>
                <w:b w:val="false"/>
                <w:bCs w:val="false"/>
                <w:sz w:val="20"/>
                <w:szCs w:val="20"/>
              </w:rPr>
              <w:t xml:space="preserve">RA1: d, e, f, g, h, i · RA2: c, i</w:t>
            </w:r>
          </w:p>
        </w:tc>
        <w:tc>
          <w:tcPr>
            <w:tcW w:type="dxa" w:w="2600"/>
          </w:tcPr>
          <w:p>
            <w:r>
              <w:rPr>
                <w:b w:val="false"/>
                <w:bCs w:val="false"/>
                <w:sz w:val="20"/>
                <w:szCs w:val="20"/>
              </w:rPr>
              <w:t xml:space="preserve">14–25 sept 2026</w:t>
            </w:r>
          </w:p>
        </w:tc>
        <w:tc>
          <w:tcPr>
            <w:tcW w:type="dxa" w:w="1600"/>
          </w:tcPr>
          <w:p>
            <w:r>
              <w:rPr>
                <w:b w:val="false"/>
                <w:bCs w:val="false"/>
                <w:sz w:val="20"/>
                <w:szCs w:val="20"/>
              </w:rPr>
              <w:t xml:space="preserve">2 sem</w:t>
            </w:r>
          </w:p>
        </w:tc>
      </w:tr>
    </w:tbl>
    <w:p>
      <w:pPr>
        <w:spacing w:after="120"/>
      </w:pPr>
      <w:r>
        <w:t xml:space="preserve">Contenidos: Estructura de un programa Java. Tipos de datos primitivos. Literales y constantes. Operadores. Conversiones de tipo. Comentarios. Instanciación de objetos predefinidos (String, Scanner).</w:t>
      </w:r>
    </w:p>
    <w:p>
      <w:pPr>
        <w:pStyle w:val="Heading2"/>
        <w:spacing w:after="150" w:before="300"/>
      </w:pPr>
      <w:r>
        <w:t xml:space="preserve">Unidad 3. Estructuras de control de flujo y excepciones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RA3</w:t>
            </w:r>
          </w:p>
        </w:tc>
        <w:tc>
          <w:tcPr>
            <w:tcW w:type="dxa" w:w="3500"/>
          </w:tcPr>
          <w:p>
            <w:r>
              <w:rPr>
                <w:b w:val="false"/>
                <w:bCs w:val="false"/>
                <w:sz w:val="20"/>
                <w:szCs w:val="20"/>
              </w:rPr>
              <w:t xml:space="preserve">a, b, c, d, f, g</w:t>
            </w:r>
          </w:p>
        </w:tc>
        <w:tc>
          <w:tcPr>
            <w:tcW w:type="dxa" w:w="2600"/>
          </w:tcPr>
          <w:p>
            <w:r>
              <w:rPr>
                <w:b w:val="false"/>
                <w:bCs w:val="false"/>
                <w:sz w:val="20"/>
                <w:szCs w:val="20"/>
              </w:rPr>
              <w:t xml:space="preserve">28 sept–9 oct 2026</w:t>
            </w:r>
          </w:p>
        </w:tc>
        <w:tc>
          <w:tcPr>
            <w:tcW w:type="dxa" w:w="1600"/>
          </w:tcPr>
          <w:p>
            <w:r>
              <w:rPr>
                <w:b w:val="false"/>
                <w:bCs w:val="false"/>
                <w:sz w:val="20"/>
                <w:szCs w:val="20"/>
              </w:rPr>
              <w:t xml:space="preserve">2 sem</w:t>
            </w:r>
          </w:p>
        </w:tc>
      </w:tr>
    </w:tbl>
    <w:p>
      <w:pPr>
        <w:spacing w:after="120"/>
      </w:pPr>
      <w:r>
        <w:t xml:space="preserve">Contenidos: Estructuras de selección y repetición. Sentencias de salto. Control de excepciones. Prueba y depuración de programas.</w:t>
      </w:r>
    </w:p>
    <w:p>
      <w:pPr>
        <w:pStyle w:val="Heading2"/>
        <w:spacing w:after="150" w:before="300"/>
      </w:pPr>
      <w:r>
        <w:t xml:space="preserve">Unidad 4. Métodos y recursividad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RA2, RA3</w:t>
            </w:r>
          </w:p>
        </w:tc>
        <w:tc>
          <w:tcPr>
            <w:tcW w:type="dxa" w:w="3500"/>
          </w:tcPr>
          <w:p>
            <w:r>
              <w:rPr>
                <w:b w:val="false"/>
                <w:bCs w:val="false"/>
                <w:sz w:val="20"/>
                <w:szCs w:val="20"/>
              </w:rPr>
              <w:t xml:space="preserve">RA2: e, f · RA3: e, h, i</w:t>
            </w:r>
          </w:p>
        </w:tc>
        <w:tc>
          <w:tcPr>
            <w:tcW w:type="dxa" w:w="2600"/>
          </w:tcPr>
          <w:p>
            <w:r>
              <w:rPr>
                <w:b w:val="false"/>
                <w:bCs w:val="false"/>
                <w:sz w:val="20"/>
                <w:szCs w:val="20"/>
              </w:rPr>
              <w:t xml:space="preserve">12–23 oct 2026</w:t>
            </w:r>
          </w:p>
        </w:tc>
        <w:tc>
          <w:tcPr>
            <w:tcW w:type="dxa" w:w="1600"/>
          </w:tcPr>
          <w:p>
            <w:r>
              <w:rPr>
                <w:b w:val="false"/>
                <w:bCs w:val="false"/>
                <w:sz w:val="20"/>
                <w:szCs w:val="20"/>
              </w:rPr>
              <w:t xml:space="preserve">2 sem</w:t>
            </w:r>
          </w:p>
        </w:tc>
      </w:tr>
    </w:tbl>
    <w:p>
      <w:pPr>
        <w:spacing w:after="120"/>
      </w:pPr>
      <w:r>
        <w:t xml:space="preserve">Contenidos: Métodos estáticos y parámetros. Recursividad. Creación de excepciones y aserciones.</w:t>
      </w:r>
    </w:p>
    <w:p>
      <w:pPr>
        <w:pStyle w:val="Heading2"/>
        <w:spacing w:after="150" w:before="300"/>
      </w:pPr>
      <w:r>
        <w:t xml:space="preserve">Unidad 5. Programación orientada a objetos: clases y objetos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RA2, RA4</w:t>
            </w:r>
          </w:p>
        </w:tc>
        <w:tc>
          <w:tcPr>
            <w:tcW w:type="dxa" w:w="3500"/>
          </w:tcPr>
          <w:p>
            <w:r>
              <w:rPr>
                <w:b w:val="false"/>
                <w:bCs w:val="false"/>
                <w:sz w:val="20"/>
                <w:szCs w:val="20"/>
              </w:rPr>
              <w:t xml:space="preserve">RA2: a, b, d, g, h · RA4: a, b, c, d, e</w:t>
            </w:r>
          </w:p>
        </w:tc>
        <w:tc>
          <w:tcPr>
            <w:tcW w:type="dxa" w:w="2600"/>
          </w:tcPr>
          <w:p>
            <w:r>
              <w:rPr>
                <w:b w:val="false"/>
                <w:bCs w:val="false"/>
                <w:sz w:val="20"/>
                <w:szCs w:val="20"/>
              </w:rPr>
              <w:t xml:space="preserve">26 oct–6 nov 2026</w:t>
            </w:r>
          </w:p>
        </w:tc>
        <w:tc>
          <w:tcPr>
            <w:tcW w:type="dxa" w:w="1600"/>
          </w:tcPr>
          <w:p>
            <w:r>
              <w:rPr>
                <w:b w:val="false"/>
                <w:bCs w:val="false"/>
                <w:sz w:val="20"/>
                <w:szCs w:val="20"/>
              </w:rPr>
              <w:t xml:space="preserve">2 sem</w:t>
            </w:r>
          </w:p>
        </w:tc>
      </w:tr>
    </w:tbl>
    <w:p>
      <w:pPr>
        <w:spacing w:after="120"/>
      </w:pPr>
      <w:r>
        <w:t xml:space="preserve">Contenidos: Fundamentos de la POO. Definición de clases, propiedades y métodos. Constructores. Instanciación y uso de objetos propios.</w:t>
      </w:r>
    </w:p>
    <w:p>
      <w:pPr>
        <w:pStyle w:val="Heading2"/>
        <w:spacing w:after="150" w:before="300"/>
      </w:pPr>
      <w:r>
        <w:t xml:space="preserve">Unidad 6. Encapsulación, visibilidad y miembros static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RA4</w:t>
            </w:r>
          </w:p>
        </w:tc>
        <w:tc>
          <w:tcPr>
            <w:tcW w:type="dxa" w:w="3500"/>
          </w:tcPr>
          <w:p>
            <w:r>
              <w:rPr>
                <w:b w:val="false"/>
                <w:bCs w:val="false"/>
                <w:sz w:val="20"/>
                <w:szCs w:val="20"/>
              </w:rPr>
              <w:t xml:space="preserve">f, h, i</w:t>
            </w:r>
          </w:p>
        </w:tc>
        <w:tc>
          <w:tcPr>
            <w:tcW w:type="dxa" w:w="2600"/>
          </w:tcPr>
          <w:p>
            <w:r>
              <w:rPr>
                <w:b w:val="false"/>
                <w:bCs w:val="false"/>
                <w:sz w:val="20"/>
                <w:szCs w:val="20"/>
              </w:rPr>
              <w:t xml:space="preserve">9–13 nov 2026</w:t>
            </w:r>
          </w:p>
        </w:tc>
        <w:tc>
          <w:tcPr>
            <w:tcW w:type="dxa" w:w="1600"/>
          </w:tcPr>
          <w:p>
            <w:r>
              <w:rPr>
                <w:b w:val="false"/>
                <w:bCs w:val="false"/>
                <w:sz w:val="20"/>
                <w:szCs w:val="20"/>
              </w:rPr>
              <w:t xml:space="preserve">1 sem</w:t>
            </w:r>
          </w:p>
        </w:tc>
      </w:tr>
    </w:tbl>
    <w:p>
      <w:pPr>
        <w:spacing w:after="120"/>
      </w:pPr>
      <w:r>
        <w:t xml:space="preserve">Contenidos: Control de visibilidad de clases y miembros. Métodos estáticos. Conjuntos y librerías de clases.</w:t>
      </w:r>
    </w:p>
    <w:p>
      <w:pPr>
        <w:pStyle w:val="Heading2"/>
        <w:spacing w:after="150" w:before="300"/>
      </w:pPr>
      <w:r>
        <w:t xml:space="preserve">Unidad 7. Herencia, polimorfismo e interfaces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RA4, RA7</w:t>
            </w:r>
          </w:p>
        </w:tc>
        <w:tc>
          <w:tcPr>
            <w:tcW w:type="dxa" w:w="3500"/>
          </w:tcPr>
          <w:p>
            <w:r>
              <w:rPr>
                <w:b w:val="false"/>
                <w:bCs w:val="false"/>
                <w:sz w:val="20"/>
                <w:szCs w:val="20"/>
              </w:rPr>
              <w:t xml:space="preserve">RA4: g · RA7: a–j</w:t>
            </w:r>
          </w:p>
        </w:tc>
        <w:tc>
          <w:tcPr>
            <w:tcW w:type="dxa" w:w="2600"/>
          </w:tcPr>
          <w:p>
            <w:r>
              <w:rPr>
                <w:b w:val="false"/>
                <w:bCs w:val="false"/>
                <w:sz w:val="20"/>
                <w:szCs w:val="20"/>
              </w:rPr>
              <w:t xml:space="preserve">23 nov–21 dic 2026</w:t>
            </w:r>
          </w:p>
        </w:tc>
        <w:tc>
          <w:tcPr>
            <w:tcW w:type="dxa" w:w="1600"/>
          </w:tcPr>
          <w:p>
            <w:r>
              <w:rPr>
                <w:b w:val="false"/>
                <w:bCs w:val="false"/>
                <w:sz w:val="20"/>
                <w:szCs w:val="20"/>
              </w:rPr>
              <w:t xml:space="preserve">~4 sem</w:t>
            </w:r>
          </w:p>
        </w:tc>
      </w:tr>
    </w:tbl>
    <w:p>
      <w:pPr>
        <w:spacing w:after="120"/>
      </w:pPr>
      <w:r>
        <w:t xml:space="preserve">Contenidos: Herencia, superclase y subclase. Sobrescritura de métodos. Jerarquías de clases. Interfaces. Escenarios de uso de herencia y composición.</w:t>
      </w:r>
    </w:p>
    <w:p>
      <w:pPr>
        <w:pStyle w:val="Heading2"/>
        <w:spacing w:after="150" w:before="300"/>
      </w:pPr>
      <w:r>
        <w:t xml:space="preserve">Unidad 8. Arrays y colecciones lineales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RA6</w:t>
            </w:r>
          </w:p>
        </w:tc>
        <w:tc>
          <w:tcPr>
            <w:tcW w:type="dxa" w:w="3500"/>
          </w:tcPr>
          <w:p>
            <w:r>
              <w:rPr>
                <w:b w:val="false"/>
                <w:bCs w:val="false"/>
                <w:sz w:val="20"/>
                <w:szCs w:val="20"/>
              </w:rPr>
              <w:t xml:space="preserve">a, b, c, d</w:t>
            </w:r>
          </w:p>
        </w:tc>
        <w:tc>
          <w:tcPr>
            <w:tcW w:type="dxa" w:w="2600"/>
          </w:tcPr>
          <w:p>
            <w:r>
              <w:rPr>
                <w:b w:val="false"/>
                <w:bCs w:val="false"/>
                <w:sz w:val="20"/>
                <w:szCs w:val="20"/>
              </w:rPr>
              <w:t xml:space="preserve">7–15 ene 2027</w:t>
            </w:r>
          </w:p>
        </w:tc>
        <w:tc>
          <w:tcPr>
            <w:tcW w:type="dxa" w:w="1600"/>
          </w:tcPr>
          <w:p>
            <w:r>
              <w:rPr>
                <w:b w:val="false"/>
                <w:bCs w:val="false"/>
                <w:sz w:val="20"/>
                <w:szCs w:val="20"/>
              </w:rPr>
              <w:t xml:space="preserve">~1,5 sem</w:t>
            </w:r>
          </w:p>
        </w:tc>
      </w:tr>
    </w:tbl>
    <w:p>
      <w:pPr>
        <w:spacing w:after="120"/>
      </w:pPr>
      <w:r>
        <w:t xml:space="preserve">Contenidos: Arrays. Librerías de tipos de datos avanzados. Listas. Iteradores.</w:t>
      </w:r>
    </w:p>
    <w:p>
      <w:pPr>
        <w:pStyle w:val="Heading2"/>
        <w:spacing w:after="150" w:before="300"/>
      </w:pPr>
      <w:r>
        <w:t xml:space="preserve">Unidad 9. Genéricos y mapas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RA6</w:t>
            </w:r>
          </w:p>
        </w:tc>
        <w:tc>
          <w:tcPr>
            <w:tcW w:type="dxa" w:w="3500"/>
          </w:tcPr>
          <w:p>
            <w:r>
              <w:rPr>
                <w:b w:val="false"/>
                <w:bCs w:val="false"/>
                <w:sz w:val="20"/>
                <w:szCs w:val="20"/>
              </w:rPr>
              <w:t xml:space="preserve">e, f</w:t>
            </w:r>
          </w:p>
        </w:tc>
        <w:tc>
          <w:tcPr>
            <w:tcW w:type="dxa" w:w="2600"/>
          </w:tcPr>
          <w:p>
            <w:r>
              <w:rPr>
                <w:b w:val="false"/>
                <w:bCs w:val="false"/>
                <w:sz w:val="20"/>
                <w:szCs w:val="20"/>
              </w:rPr>
              <w:t xml:space="preserve">18–22 ene 2027</w:t>
            </w:r>
          </w:p>
        </w:tc>
        <w:tc>
          <w:tcPr>
            <w:tcW w:type="dxa" w:w="1600"/>
          </w:tcPr>
          <w:p>
            <w:r>
              <w:rPr>
                <w:b w:val="false"/>
                <w:bCs w:val="false"/>
                <w:sz w:val="20"/>
                <w:szCs w:val="20"/>
              </w:rPr>
              <w:t xml:space="preserve">1 sem</w:t>
            </w:r>
          </w:p>
        </w:tc>
      </w:tr>
    </w:tbl>
    <w:p>
      <w:pPr>
        <w:spacing w:after="120"/>
      </w:pPr>
      <w:r>
        <w:t xml:space="preserve">Contenidos: Características y ventajas de las colecciones disponibles. Clases y métodos genéricos.</w:t>
      </w:r>
    </w:p>
    <w:p>
      <w:pPr>
        <w:pStyle w:val="Heading2"/>
        <w:spacing w:after="150" w:before="300"/>
      </w:pPr>
      <w:r>
        <w:t xml:space="preserve">Unidad 10. Programación funcional y la API Streams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RA6</w:t>
            </w:r>
          </w:p>
        </w:tc>
        <w:tc>
          <w:tcPr>
            <w:tcW w:type="dxa" w:w="3500"/>
          </w:tcPr>
          <w:p>
            <w:r>
              <w:rPr>
                <w:b w:val="false"/>
                <w:bCs w:val="false"/>
                <w:sz w:val="20"/>
                <w:szCs w:val="20"/>
              </w:rPr>
              <w:t xml:space="preserve">j</w:t>
            </w:r>
          </w:p>
        </w:tc>
        <w:tc>
          <w:tcPr>
            <w:tcW w:type="dxa" w:w="2600"/>
          </w:tcPr>
          <w:p>
            <w:r>
              <w:rPr>
                <w:b w:val="false"/>
                <w:bCs w:val="false"/>
                <w:sz w:val="20"/>
                <w:szCs w:val="20"/>
              </w:rPr>
              <w:t xml:space="preserve">25–29 ene 2027</w:t>
            </w:r>
          </w:p>
        </w:tc>
        <w:tc>
          <w:tcPr>
            <w:tcW w:type="dxa" w:w="1600"/>
          </w:tcPr>
          <w:p>
            <w:r>
              <w:rPr>
                <w:b w:val="false"/>
                <w:bCs w:val="false"/>
                <w:sz w:val="20"/>
                <w:szCs w:val="20"/>
              </w:rPr>
              <w:t xml:space="preserve">1 sem</w:t>
            </w:r>
          </w:p>
        </w:tc>
      </w:tr>
    </w:tbl>
    <w:p>
      <w:pPr>
        <w:spacing w:after="120"/>
      </w:pPr>
      <w:r>
        <w:t xml:space="preserve">Contenidos: Operaciones agregadas para el manejo de información en colecciones (filtrado, reducción, recolección).</w:t>
      </w:r>
    </w:p>
    <w:p>
      <w:pPr>
        <w:pStyle w:val="Heading2"/>
        <w:spacing w:after="150" w:before="300"/>
      </w:pPr>
      <w:r>
        <w:t xml:space="preserve">Unidad 11. Consola, ficheros, directorios y expresiones regulares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RA5, RA6</w:t>
            </w:r>
          </w:p>
        </w:tc>
        <w:tc>
          <w:tcPr>
            <w:tcW w:type="dxa" w:w="3500"/>
          </w:tcPr>
          <w:p>
            <w:r>
              <w:rPr>
                <w:b w:val="false"/>
                <w:bCs w:val="false"/>
                <w:sz w:val="20"/>
                <w:szCs w:val="20"/>
              </w:rPr>
              <w:t xml:space="preserve">RA5: a, b, c, d, e · RA6: g, h, i</w:t>
            </w:r>
          </w:p>
        </w:tc>
        <w:tc>
          <w:tcPr>
            <w:tcW w:type="dxa" w:w="2600"/>
          </w:tcPr>
          <w:p>
            <w:r>
              <w:rPr>
                <w:b w:val="false"/>
                <w:bCs w:val="false"/>
                <w:sz w:val="20"/>
                <w:szCs w:val="20"/>
              </w:rPr>
              <w:t xml:space="preserve">1–19 feb 2027</w:t>
            </w:r>
          </w:p>
        </w:tc>
        <w:tc>
          <w:tcPr>
            <w:tcW w:type="dxa" w:w="1600"/>
          </w:tcPr>
          <w:p>
            <w:r>
              <w:rPr>
                <w:b w:val="false"/>
                <w:bCs w:val="false"/>
                <w:sz w:val="20"/>
                <w:szCs w:val="20"/>
              </w:rPr>
              <w:t xml:space="preserve">3 sem</w:t>
            </w:r>
          </w:p>
        </w:tc>
      </w:tr>
    </w:tbl>
    <w:p>
      <w:pPr>
        <w:spacing w:after="120"/>
      </w:pPr>
      <w:r>
        <w:t xml:space="preserve">Contenidos: Entrada/salida por consola. Ficheros: almacenamiento y recuperación de información. Expresiones regulares. Documentos en lenguajes de intercambio de datos (XML/JSON).</w:t>
      </w:r>
    </w:p>
    <w:p>
      <w:pPr>
        <w:pStyle w:val="Heading2"/>
        <w:spacing w:after="150" w:before="300"/>
      </w:pPr>
      <w:r>
        <w:t xml:space="preserve">Unidad 12. Programación por eventos y GUI (Swing/AWT)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RA5</w:t>
            </w:r>
          </w:p>
        </w:tc>
        <w:tc>
          <w:tcPr>
            <w:tcW w:type="dxa" w:w="3500"/>
          </w:tcPr>
          <w:p>
            <w:r>
              <w:rPr>
                <w:b w:val="false"/>
                <w:bCs w:val="false"/>
                <w:sz w:val="20"/>
                <w:szCs w:val="20"/>
              </w:rPr>
              <w:t xml:space="preserve">f, g, h</w:t>
            </w:r>
          </w:p>
        </w:tc>
        <w:tc>
          <w:tcPr>
            <w:tcW w:type="dxa" w:w="2600"/>
          </w:tcPr>
          <w:p>
            <w:r>
              <w:rPr>
                <w:b w:val="false"/>
                <w:bCs w:val="false"/>
                <w:sz w:val="20"/>
                <w:szCs w:val="20"/>
              </w:rPr>
              <w:t xml:space="preserve">1–12 mar 2027</w:t>
            </w:r>
          </w:p>
        </w:tc>
        <w:tc>
          <w:tcPr>
            <w:tcW w:type="dxa" w:w="1600"/>
          </w:tcPr>
          <w:p>
            <w:r>
              <w:rPr>
                <w:b w:val="false"/>
                <w:bCs w:val="false"/>
                <w:sz w:val="20"/>
                <w:szCs w:val="20"/>
              </w:rPr>
              <w:t xml:space="preserve">2 sem</w:t>
            </w:r>
          </w:p>
        </w:tc>
      </w:tr>
    </w:tbl>
    <w:p>
      <w:pPr>
        <w:spacing w:after="120"/>
      </w:pPr>
      <w:r>
        <w:t xml:space="preserve">Contenidos: Herramientas del entorno de desarrollo para interfaces gráficas simples. Controladores de eventos. Programas con interfaz gráfica para entrada/salida.</w:t>
      </w:r>
    </w:p>
    <w:p>
      <w:pPr>
        <w:pStyle w:val="Heading2"/>
        <w:spacing w:after="150" w:before="300"/>
      </w:pPr>
      <w:r>
        <w:t xml:space="preserve">Unidad 13. JDBC, persistencia de objetos y NoSQL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RA8, RA9</w:t>
            </w:r>
          </w:p>
        </w:tc>
        <w:tc>
          <w:tcPr>
            <w:tcW w:type="dxa" w:w="3500"/>
          </w:tcPr>
          <w:p>
            <w:r>
              <w:rPr>
                <w:b w:val="false"/>
                <w:bCs w:val="false"/>
                <w:sz w:val="20"/>
                <w:szCs w:val="20"/>
              </w:rPr>
              <w:t xml:space="preserve">RA8: a–h · RA9: a, b, c, d, e, f</w:t>
            </w:r>
          </w:p>
        </w:tc>
        <w:tc>
          <w:tcPr>
            <w:tcW w:type="dxa" w:w="2600"/>
          </w:tcPr>
          <w:p>
            <w:r>
              <w:rPr>
                <w:b w:val="false"/>
                <w:bCs w:val="false"/>
                <w:sz w:val="20"/>
                <w:szCs w:val="20"/>
              </w:rPr>
              <w:t xml:space="preserve">15–24 mar 2027</w:t>
            </w:r>
          </w:p>
        </w:tc>
        <w:tc>
          <w:tcPr>
            <w:tcW w:type="dxa" w:w="1600"/>
          </w:tcPr>
          <w:p>
            <w:r>
              <w:rPr>
                <w:b w:val="false"/>
                <w:bCs w:val="false"/>
                <w:sz w:val="20"/>
                <w:szCs w:val="20"/>
              </w:rPr>
              <w:t xml:space="preserve">~1,5 sem</w:t>
            </w:r>
          </w:p>
        </w:tc>
      </w:tr>
    </w:tbl>
    <w:p>
      <w:pPr>
        <w:spacing w:after="120"/>
      </w:pPr>
      <w:r>
        <w:t xml:space="preserve">Contenidos: Bases de datos orientadas a objetos y persistencia. Conexión con bases de datos relacionales desde el programa. Introducción a NoSQL (ampliación, sin CE propio en este módulo).</w:t>
      </w:r>
    </w:p>
    <w:p>
      <w:pPr>
        <w:pStyle w:val="Heading2"/>
        <w:spacing w:after="150" w:before="300"/>
      </w:pPr>
      <w:r>
        <w:t xml:space="preserve">Unidad 14. Proyecto final integrador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2600"/>
        <w:gridCol w:w="1600"/>
      </w:tblGrid>
      <w:tr>
        <w:tc>
          <w:tcPr>
            <w:tcW w:type="dxa" w:w="1300"/>
            <w:shd w:fill="E3EFEE" w:val="clear"/>
          </w:tcPr>
          <w:p>
            <w:r>
              <w:rPr>
                <w:b/>
                <w:bCs/>
                <w:sz w:val="20"/>
                <w:szCs w:val="20"/>
              </w:rPr>
              <w:t xml:space="preserve">RA</w:t>
            </w:r>
          </w:p>
        </w:tc>
        <w:tc>
          <w:tcPr>
            <w:tcW w:type="dxa" w:w="3500"/>
            <w:shd w:fill="E3EFEE" w:val="clear"/>
          </w:tcPr>
          <w:p>
            <w:r>
              <w:rPr>
                <w:b/>
                <w:bCs/>
                <w:sz w:val="20"/>
                <w:szCs w:val="20"/>
              </w:rPr>
              <w:t xml:space="preserve">CE</w:t>
            </w:r>
          </w:p>
        </w:tc>
        <w:tc>
          <w:tcPr>
            <w:tcW w:type="dxa" w:w="2600"/>
            <w:shd w:fill="E3EFEE" w:val="clear"/>
          </w:tcPr>
          <w:p>
            <w:r>
              <w:rPr>
                <w:b/>
                <w:bCs/>
                <w:sz w:val="20"/>
                <w:szCs w:val="20"/>
              </w:rPr>
              <w:t xml:space="preserve">Fechas</w:t>
            </w:r>
          </w:p>
        </w:tc>
        <w:tc>
          <w:tcPr>
            <w:tcW w:type="dxa" w:w="1600"/>
            <w:shd w:fill="E3EFEE" w:val="clear"/>
          </w:tcPr>
          <w:p>
            <w:r>
              <w:rPr>
                <w:b/>
                <w:bCs/>
                <w:sz w:val="20"/>
                <w:szCs w:val="20"/>
              </w:rPr>
              <w:t xml:space="preserve">Duración</w:t>
            </w:r>
          </w:p>
        </w:tc>
      </w:tr>
      <w:tr>
        <w:tc>
          <w:tcPr>
            <w:tcW w:type="dxa" w:w="1300"/>
          </w:tcPr>
          <w:p>
            <w:r>
              <w:rPr>
                <w:b w:val="false"/>
                <w:bCs w:val="false"/>
                <w:sz w:val="20"/>
                <w:szCs w:val="20"/>
              </w:rPr>
              <w:t xml:space="preserve">RA5, RA6, RA9</w:t>
            </w:r>
          </w:p>
        </w:tc>
        <w:tc>
          <w:tcPr>
            <w:tcW w:type="dxa" w:w="3500"/>
          </w:tcPr>
          <w:p>
            <w:r>
              <w:rPr>
                <w:b w:val="false"/>
                <w:bCs w:val="false"/>
                <w:sz w:val="20"/>
                <w:szCs w:val="20"/>
              </w:rPr>
              <w:t xml:space="preserve">RA9: g (consolida RA5 y RA6)</w:t>
            </w:r>
          </w:p>
        </w:tc>
        <w:tc>
          <w:tcPr>
            <w:tcW w:type="dxa" w:w="2600"/>
          </w:tcPr>
          <w:p>
            <w:r>
              <w:rPr>
                <w:b w:val="false"/>
                <w:bCs w:val="false"/>
                <w:sz w:val="20"/>
                <w:szCs w:val="20"/>
              </w:rPr>
              <w:t xml:space="preserve">6–30 abr 2027</w:t>
            </w:r>
          </w:p>
        </w:tc>
        <w:tc>
          <w:tcPr>
            <w:tcW w:type="dxa" w:w="1600"/>
          </w:tcPr>
          <w:p>
            <w:r>
              <w:rPr>
                <w:b w:val="false"/>
                <w:bCs w:val="false"/>
                <w:sz w:val="20"/>
                <w:szCs w:val="20"/>
              </w:rPr>
              <w:t xml:space="preserve">~3,5 sem</w:t>
            </w:r>
          </w:p>
        </w:tc>
      </w:tr>
    </w:tbl>
    <w:p>
      <w:pPr>
        <w:spacing w:after="120"/>
      </w:pPr>
      <w:r>
        <w:t xml:space="preserve">Contenidos: Proyecto integrador que aplica y consolida los resultados de aprendizaje trabajados durante el curso.</w:t>
      </w:r>
    </w:p>
    <w:p>
      <w:pPr>
        <w:pBdr>
          <w:left w:val="single" w:color="2D8A4E" w:sz="12" w:space="8"/>
        </w:pBdr>
        <w:spacing w:after="200" w:before="100"/>
        <w:ind w:left="200"/>
      </w:pPr>
      <w:r>
        <w:rPr>
          <w:i/>
          <w:iCs/>
          <w:color w:val="1F6338"/>
        </w:rPr>
        <w:t xml:space="preserve">Herramientas y tecnología, transversal a todas las unidades: Java (última versión LTS) e IntelliJ IDEA Community Edition como IDE oficial del curso.</w:t>
      </w:r>
    </w:p>
    <w:p>
      <w:pPr>
        <w:pBdr>
          <w:left w:val="single" w:color="2D8A4E" w:sz="12" w:space="8"/>
        </w:pBdr>
        <w:spacing w:after="200" w:before="100"/>
        <w:ind w:left="200"/>
      </w:pPr>
      <w:r>
        <w:rPr>
          <w:i/>
          <w:iCs/>
          <w:color w:val="1F6338"/>
        </w:rPr>
        <w:t xml:space="preserve">Fuente de la temporalización: calendario escolar 2026-2027 (Resolución DOGV núm. 10355, 5 mayo 2026) y Decreto 114/2025 (266 h a 8 h/semana, confinadas a 9 sept–30 abr en este centro). Detalle completo en temporalizacion-2026-2027.md.</w:t>
      </w:r>
    </w:p>
    <w:p>
      <w:r>
        <w:br w:type="page"/>
      </w:r>
    </w:p>
    <w:p>
      <w:pPr>
        <w:pStyle w:val="Heading1"/>
        <w:spacing w:after="200" w:before="400"/>
      </w:pPr>
      <w:r>
        <w:t xml:space="preserve">4. METODOLOGÍA DEL PROCESO DE ENSEÑANZA-APRENDIZAJE</w:t>
      </w:r>
    </w:p>
    <w:p>
      <w:pPr>
        <w:spacing w:after="120"/>
      </w:pPr>
      <w:r>
        <w:t xml:space="preserve">(Sin cambios respecto al documento original.)</w:t>
      </w:r>
    </w:p>
    <w:p>
      <w:pPr>
        <w:spacing w:after="120"/>
      </w:pPr>
      <w:r>
        <w:t xml:space="preserve">Las líneas de actuación del proceso de enseñanza-aprendizaje versan sobre: la interpretación y aplicación de los principios de la programación orientada a objetos; la evaluación, selección y utilización de herramientas y lenguajes de programación orientados a objetos; la utilización de las características específicas de lenguajes y entornos de programación; la identificación de las funcionalidades de los sistemas gestores de bases de datos; y la prueba, depuración y documentación de las aplicaciones desarrolladas.</w:t>
      </w:r>
    </w:p>
    <w:p>
      <w:pPr>
        <w:spacing w:after="120"/>
      </w:pPr>
      <w:r>
        <w:t xml:space="preserve">El curso, en modalidad semipresencial, combina: pautas y estrategias explicadas por el profesor; materiales dosificados según avanza el curso; avisos semanales de ritmo de progreso; tutorías individuales y colectivas (presenciales o por Microsoft Teams); foros por unidad para dudas colaborativas; enfoque de clase invertida cuando es posible; material multimedia de refuerzo; y retroacción en todas las actividades para fomentar el autoaprendizaje. Las actividades en grupo se descartan por las características del alumnado.</w:t>
      </w:r>
    </w:p>
    <w:p>
      <w:pPr>
        <w:pStyle w:val="Heading1"/>
        <w:spacing w:after="200" w:before="400"/>
      </w:pPr>
      <w:r>
        <w:t xml:space="preserve">5. RECURSOS</w:t>
      </w:r>
    </w:p>
    <w:p>
      <w:pPr>
        <w:spacing w:after="120"/>
      </w:pPr>
      <w:r>
        <w:t xml:space="preserve">(Sin cambios respecto al documento original.)</w:t>
      </w:r>
    </w:p>
    <w:p>
      <w:pPr>
        <w:pStyle w:val="ListParagraph"/>
        <w:numPr>
          <w:ilvl w:val="0"/>
          <w:numId w:val="1"/>
        </w:numPr>
        <w:spacing w:after="60"/>
      </w:pPr>
      <w:r>
        <w:t xml:space="preserve">Aula virtual (Aules)</w:t>
      </w:r>
    </w:p>
    <w:p>
      <w:pPr>
        <w:pStyle w:val="ListParagraph"/>
        <w:numPr>
          <w:ilvl w:val="0"/>
          <w:numId w:val="1"/>
        </w:numPr>
        <w:spacing w:after="60"/>
      </w:pPr>
      <w:r>
        <w:t xml:space="preserve">Documentación y apuntes proporcionados por el profesor</w:t>
      </w:r>
    </w:p>
    <w:p>
      <w:pPr>
        <w:pStyle w:val="ListParagraph"/>
        <w:numPr>
          <w:ilvl w:val="0"/>
          <w:numId w:val="1"/>
        </w:numPr>
        <w:spacing w:after="60"/>
      </w:pPr>
      <w:r>
        <w:t xml:space="preserve">Ejemplos y ejercicios relacionados con los contenidos</w:t>
      </w:r>
    </w:p>
    <w:p>
      <w:pPr>
        <w:pStyle w:val="ListParagraph"/>
        <w:numPr>
          <w:ilvl w:val="0"/>
          <w:numId w:val="1"/>
        </w:numPr>
        <w:spacing w:after="60"/>
      </w:pPr>
      <w:r>
        <w:t xml:space="preserve">Entornos y plataformas de desarrollo (IDE’s)</w:t>
      </w:r>
    </w:p>
    <w:p>
      <w:pPr>
        <w:pStyle w:val="ListParagraph"/>
        <w:numPr>
          <w:ilvl w:val="0"/>
          <w:numId w:val="1"/>
        </w:numPr>
        <w:spacing w:after="60"/>
      </w:pPr>
      <w:r>
        <w:t xml:space="preserve">Foros de dudas para trabajo colaborativo</w:t>
      </w:r>
    </w:p>
    <w:p>
      <w:pPr>
        <w:pStyle w:val="ListParagraph"/>
        <w:numPr>
          <w:ilvl w:val="0"/>
          <w:numId w:val="1"/>
        </w:numPr>
        <w:spacing w:after="60"/>
      </w:pPr>
      <w:r>
        <w:t xml:space="preserve">Cuestionarios interactivos, ejercicios con solucionario, prácticas tipo reto</w:t>
      </w:r>
    </w:p>
    <w:p>
      <w:pPr>
        <w:pStyle w:val="ListParagraph"/>
        <w:numPr>
          <w:ilvl w:val="0"/>
          <w:numId w:val="1"/>
        </w:numPr>
        <w:spacing w:after="60"/>
      </w:pPr>
      <w:r>
        <w:t xml:space="preserve">Documentación web y vídeos explicativos</w:t>
      </w:r>
    </w:p>
    <w:p>
      <w:pPr>
        <w:pStyle w:val="ListParagraph"/>
        <w:numPr>
          <w:ilvl w:val="0"/>
          <w:numId w:val="1"/>
        </w:numPr>
        <w:spacing w:after="60"/>
      </w:pPr>
      <w:r>
        <w:t xml:space="preserve">Microsoft Teams para tele-aprendizaje si es necesario</w:t>
      </w:r>
    </w:p>
    <w:p>
      <w:pPr>
        <w:pStyle w:val="ListParagraph"/>
        <w:numPr>
          <w:ilvl w:val="0"/>
          <w:numId w:val="1"/>
        </w:numPr>
        <w:spacing w:after="60"/>
      </w:pPr>
      <w:r>
        <w:t xml:space="preserve">Sitios de práctica externos: AceptaElReto, CodeWars, entre otros</w:t>
      </w:r>
    </w:p>
    <w:p>
      <w:pPr>
        <w:pStyle w:val="Heading1"/>
        <w:spacing w:after="200" w:before="400"/>
      </w:pPr>
      <w:r>
        <w:t xml:space="preserve">6. EVALUACIÓN DEL APRENDIZAJE [ACTUALIZADO]</w:t>
      </w:r>
    </w:p>
    <w:p>
      <w:pPr>
        <w:pBdr>
          <w:left w:val="single" w:color="2D8A4E" w:sz="12" w:space="8"/>
        </w:pBdr>
        <w:spacing w:after="200" w:before="100"/>
        <w:ind w:left="200"/>
      </w:pPr>
      <w:r>
        <w:rPr>
          <w:i/>
          <w:iCs/>
          <w:color w:val="1F6338"/>
        </w:rPr>
        <w:t xml:space="preserve">Sustituye por completo el sistema de calificación del documento original (75% controles + 15% proyectos + 5% test + 5% problemas). Este es el sistema definido para la presentación de inicio de curso y para esta actualización de la programación didáctica.</w:t>
      </w:r>
    </w:p>
    <w:p>
      <w:pPr>
        <w:pStyle w:val="Heading2"/>
        <w:spacing w:after="150" w:before="300"/>
      </w:pPr>
      <w:r>
        <w:t xml:space="preserve">Estructura de las tres evaluaciones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E3EFEE" w:val="clear"/>
          </w:tcPr>
          <w:p>
            <w:r>
              <w:rPr>
                <w:b/>
                <w:bCs/>
                <w:sz w:val="20"/>
                <w:szCs w:val="20"/>
              </w:rPr>
              <w:t xml:space="preserve">Evaluación</w:t>
            </w:r>
          </w:p>
        </w:tc>
        <w:tc>
          <w:tcPr>
            <w:tcW w:type="dxa" w:w="6000"/>
            <w:shd w:fill="E3EFEE" w:val="clear"/>
          </w:tcPr>
          <w:p>
            <w:r>
              <w:rPr>
                <w:b/>
                <w:bCs/>
                <w:sz w:val="20"/>
                <w:szCs w:val="20"/>
              </w:rPr>
              <w:t xml:space="preserve">Instrumento</w:t>
            </w:r>
          </w:p>
        </w:tc>
      </w:tr>
      <w:tr>
        <w:tc>
          <w:tcPr>
            <w:tcW w:type="dxa" w:w="3000"/>
          </w:tcPr>
          <w:p>
            <w:r>
              <w:rPr>
                <w:b w:val="false"/>
                <w:bCs w:val="false"/>
                <w:sz w:val="20"/>
                <w:szCs w:val="20"/>
              </w:rPr>
              <w:t xml:space="preserve">1.ª evaluación</w:t>
            </w:r>
          </w:p>
        </w:tc>
        <w:tc>
          <w:tcPr>
            <w:tcW w:type="dxa" w:w="6000"/>
          </w:tcPr>
          <w:p>
            <w:r>
              <w:rPr>
                <w:b w:val="false"/>
                <w:bCs w:val="false"/>
                <w:sz w:val="20"/>
                <w:szCs w:val="20"/>
              </w:rPr>
              <w:t xml:space="preserve">100 % examen teórico/práctico</w:t>
            </w:r>
          </w:p>
        </w:tc>
      </w:tr>
      <w:tr>
        <w:tc>
          <w:tcPr>
            <w:tcW w:type="dxa" w:w="3000"/>
          </w:tcPr>
          <w:p>
            <w:r>
              <w:rPr>
                <w:b w:val="false"/>
                <w:bCs w:val="false"/>
                <w:sz w:val="20"/>
                <w:szCs w:val="20"/>
              </w:rPr>
              <w:t xml:space="preserve">2.ª evaluación</w:t>
            </w:r>
          </w:p>
        </w:tc>
        <w:tc>
          <w:tcPr>
            <w:tcW w:type="dxa" w:w="6000"/>
          </w:tcPr>
          <w:p>
            <w:r>
              <w:rPr>
                <w:b w:val="false"/>
                <w:bCs w:val="false"/>
                <w:sz w:val="20"/>
                <w:szCs w:val="20"/>
              </w:rPr>
              <w:t xml:space="preserve">100 % examen teórico/práctico</w:t>
            </w:r>
          </w:p>
        </w:tc>
      </w:tr>
      <w:tr>
        <w:tc>
          <w:tcPr>
            <w:tcW w:type="dxa" w:w="3000"/>
          </w:tcPr>
          <w:p>
            <w:r>
              <w:rPr>
                <w:b w:val="false"/>
                <w:bCs w:val="false"/>
                <w:sz w:val="20"/>
                <w:szCs w:val="20"/>
              </w:rPr>
              <w:t xml:space="preserve">3.ª evaluación</w:t>
            </w:r>
          </w:p>
        </w:tc>
        <w:tc>
          <w:tcPr>
            <w:tcW w:type="dxa" w:w="6000"/>
          </w:tcPr>
          <w:p>
            <w:r>
              <w:rPr>
                <w:b w:val="false"/>
                <w:bCs w:val="false"/>
                <w:sz w:val="20"/>
                <w:szCs w:val="20"/>
              </w:rPr>
              <w:t xml:space="preserve">50 % proyecto + 50 % examen</w:t>
            </w:r>
          </w:p>
        </w:tc>
      </w:tr>
    </w:tbl>
    <w:p>
      <w:pPr>
        <w:pStyle w:val="Heading2"/>
        <w:spacing w:after="150" w:before="300"/>
      </w:pPr>
      <w:r>
        <w:t xml:space="preserve">Peso de las evaluaciones y condiciones</w:t>
      </w:r>
    </w:p>
    <w:p>
      <w:pPr>
        <w:spacing w:after="120"/>
      </w:pPr>
      <w:r>
        <w:t xml:space="preserve">Cada evaluación tiene el mismo peso en la nota final: 1/3 + 1/3 + 1/3.</w:t>
      </w:r>
    </w:p>
    <w:p>
      <w:pPr>
        <w:pStyle w:val="ListParagraph"/>
        <w:numPr>
          <w:ilvl w:val="0"/>
          <w:numId w:val="1"/>
        </w:numPr>
        <w:spacing w:after="60"/>
      </w:pPr>
      <w:r>
        <w:t xml:space="preserve">Cada parte evaluable se supera con ≥ 5 puntos sobre 10.</w:t>
      </w:r>
    </w:p>
    <w:p>
      <w:pPr>
        <w:pStyle w:val="ListParagraph"/>
        <w:numPr>
          <w:ilvl w:val="0"/>
          <w:numId w:val="1"/>
        </w:numPr>
        <w:spacing w:after="60"/>
      </w:pPr>
      <w:r>
        <w:t xml:space="preserve">Para poder realizar la media entre partes de una misma evaluación, cada parte necesita ≥ 4,5 puntos.</w:t>
      </w:r>
    </w:p>
    <w:p>
      <w:pPr>
        <w:pStyle w:val="ListParagraph"/>
        <w:numPr>
          <w:ilvl w:val="0"/>
          <w:numId w:val="1"/>
        </w:numPr>
        <w:spacing w:after="60"/>
      </w:pPr>
      <w:r>
        <w:t xml:space="preserve">La calificación final necesaria para considerar superado el módulo es ≥ 5 puntos sobre 10.</w:t>
      </w:r>
    </w:p>
    <w:p>
      <w:pPr>
        <w:pStyle w:val="Heading2"/>
        <w:spacing w:after="150" w:before="300"/>
      </w:pPr>
      <w:r>
        <w:t xml:space="preserve">Evaluación extraordinaria</w:t>
      </w:r>
    </w:p>
    <w:p>
      <w:pPr>
        <w:spacing w:after="120"/>
      </w:pPr>
      <w:r>
        <w:t xml:space="preserve">Se recuperan las evaluaciones que no hayan sido superadas.</w:t>
      </w:r>
    </w:p>
    <w:p>
      <w:pPr>
        <w:pStyle w:val="Heading2"/>
        <w:spacing w:after="150" w:before="300"/>
      </w:pPr>
      <w:r>
        <w:t xml:space="preserve">Ejercicios y prácticas</w:t>
      </w:r>
    </w:p>
    <w:p>
      <w:pPr>
        <w:spacing w:after="120"/>
      </w:pPr>
      <w:r>
        <w:t xml:space="preserve">Se realizan durante el desarrollo de las unidades, se corrigen y se comentan. No tienen peso directo en la calificación, pero son muy recomendables: son fundamentales para aprender y practicar programación, y para preparar las pruebas evaluables.</w:t>
      </w:r>
    </w:p>
    <w:p>
      <w:pPr>
        <w:pStyle w:val="Heading1"/>
        <w:spacing w:after="200" w:before="400"/>
      </w:pPr>
      <w:r>
        <w:t xml:space="preserve">7. PLAN DE RECUPERACIÓN</w:t>
      </w:r>
    </w:p>
    <w:p>
      <w:pPr>
        <w:spacing w:after="120"/>
      </w:pPr>
      <w:r>
        <w:t xml:space="preserve">(Sin cambios respecto al documento original, salvo que las "unidades" y "RA asociados" referidos ahora son los de la sección 3 de este documento.)</w:t>
      </w:r>
    </w:p>
    <w:p>
      <w:pPr>
        <w:pStyle w:val="ListParagraph"/>
        <w:numPr>
          <w:ilvl w:val="0"/>
          <w:numId w:val="1"/>
        </w:numPr>
        <w:spacing w:after="60"/>
      </w:pPr>
      <w:r>
        <w:t xml:space="preserve">El alumnado repetidor puede seguir la evaluación continua igual que el resto, o recuperar únicamente los RA pendientes presentándose a los controles de esos contenidos.</w:t>
      </w:r>
    </w:p>
    <w:p>
      <w:pPr>
        <w:pStyle w:val="ListParagraph"/>
        <w:numPr>
          <w:ilvl w:val="0"/>
          <w:numId w:val="1"/>
        </w:numPr>
        <w:spacing w:after="60"/>
      </w:pPr>
      <w:r>
        <w:t xml:space="preserve">También puede optar por presentarse directamente a la convocatoria ordinaria o extraordinaria.</w:t>
      </w:r>
    </w:p>
    <w:p>
      <w:pPr>
        <w:pStyle w:val="ListParagraph"/>
        <w:numPr>
          <w:ilvl w:val="0"/>
          <w:numId w:val="1"/>
        </w:numPr>
        <w:spacing w:after="60"/>
      </w:pPr>
      <w:r>
        <w:t xml:space="preserve">Al comenzar la FCT, se ofrece a quienes tengan el módulo pendiente un plan de repaso de aproximadamente 26 sesiones (10% de las horas del módulo): repaso de conceptos, resolución de dudas, ejercicios y prácticas.</w:t>
      </w:r>
    </w:p>
    <w:p>
      <w:pPr>
        <w:pStyle w:val="Heading1"/>
        <w:spacing w:after="200" w:before="400"/>
      </w:pPr>
      <w:r>
        <w:t xml:space="preserve">8. PROYECTO INTERMODULAR</w:t>
      </w:r>
    </w:p>
    <w:p>
      <w:pPr>
        <w:spacing w:after="120"/>
      </w:pPr>
      <w:r>
        <w:t xml:space="preserve">El RA2 ("Escribe y prueba programas sencillos, reconociendo y aplicando los fundamentos de la programación orientada a objetos") se trabaja también en el proyecto intermodular, tal como recoge el documento original.</w:t>
      </w:r>
    </w:p>
    <w:p>
      <w:pPr>
        <w:pStyle w:val="Heading1"/>
        <w:spacing w:after="200" w:before="400"/>
      </w:pPr>
      <w:r>
        <w:t xml:space="preserve">9. PENDIENTE DE REVISIÓN (no resuelto en esta actualización)</w:t>
      </w:r>
    </w:p>
    <w:p>
      <w:pPr>
        <w:spacing w:after="120"/>
      </w:pPr>
      <w:r>
        <w:t xml:space="preserve">Se ha detectado, sin corregirlo, un problema que no formaba parte del encargo de esta actualización:</w:t>
      </w:r>
    </w:p>
    <w:p>
      <w:pPr>
        <w:pStyle w:val="ListParagraph"/>
        <w:numPr>
          <w:ilvl w:val="0"/>
          <w:numId w:val="1"/>
        </w:numPr>
        <w:spacing w:after="60"/>
      </w:pPr>
      <w:r>
        <w:t xml:space="preserve">La tabla "Contribución de los RA a las Competencias Generales" del documento original (apartado 3) describe 6 resultados de aprendizaje con una numeración y una redacción que no coinciden con los 9 RA reales del módulo (p. ej., su "RA6" dice "Documenta programas..." cuando el RA6 real trata de arrays y colecciones). Parece contenido de otra plantilla. Queda pendiente de que confirmes si se debe reescribir.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2026-09-09T21:06:51.623Z</dcterms:created>
  <dcterms:modified xsi:type="dcterms:W3CDTF">2026-09-09T21:06:51.623Z</dcterms:modified>
</cp:coreProperties>
</file>

<file path=docProps/custom.xml><?xml version="1.0" encoding="utf-8"?>
<Properties xmlns="http://schemas.openxmlformats.org/officeDocument/2006/custom-properties" xmlns:vt="http://schemas.openxmlformats.org/officeDocument/2006/docPropsVTypes"/>
</file>