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2.4 한중 어업협정의 제도적 설계</w:t>
      </w:r>
    </w:p>
    <w:p>
      <w:pPr>
        <w:pStyle w:val="Normal"/>
      </w:pPr>
      <w:r>
        <w:t xml:space="preserve">2000년 협정은 모든 해역 사안을 하나의 제도에 포괄하려 하지 않았다. 이 협정은 수역을 구분하여 서로 다른 관리관계를 설정하고, 공동위원회를 통해 연례 협의를 유지한 다음, 양국의 주관기관이 각각 허가와 행정관리를 실시하도록 하였다.</w:t>
      </w:r>
      <w:r>
        <w:rPr>
          <w:rStyle w:val="FootnoteReference"/>
        </w:rPr>
        <w:footnoteReference w:id="1"/>
      </w:r>
      <w:r>
        <w:t xml:space="preserve"> 이러한 설계는 양측이 이미 형성한 제한적 합의를 어업 분야에 고정하였다. 분석의 초점은 공간, 권한 및 절차가 어떻게 서로 연결되는지, 그리고 이러한 연결이 어떠한 사안에서 중단되는지에 있다.</w:t>
      </w:r>
    </w:p>
    <w:p>
      <w:pPr>
        <w:pStyle w:val="Heading2"/>
      </w:pPr>
      <w:r>
        <w:t xml:space="preserve">2.4.1 세 가지 수역의 법리적 구조 : 협정 수역, 잠정조치 수역, 과도 수역</w:t>
      </w:r>
    </w:p>
    <w:p>
      <w:pPr>
        <w:pStyle w:val="Normal"/>
      </w:pPr>
      <w:r>
        <w:t xml:space="preserve">제1조는 중국의 배타적경제수역과 한국의 배타적경제수역을 ‘협정수역’으로 정의하고, 제6조는 그 가운데 제7조, 제8조 및 제9조가 규정한 수역을 제외한 부분에 제2조부터 제5조까지의 일반 입어규칙을 적용한다. 잠정조치수역과 양측 각자의 과도수역은 전체 협정수역 안에 위치하지만 특별규칙의 적용을 받으며, 제9조는 그 밖의 관련 수역에 대해서도 양측이 별도로 합의하지 않은 경우 현행 어업활동을 유지하도록 정한다.</w:t>
      </w:r>
      <w:r>
        <w:rPr>
          <w:rStyle w:val="FootnoteReference"/>
        </w:rPr>
        <w:footnoteReference w:id="2"/>
      </w:r>
      <w:r>
        <w:t xml:space="preserve"> 이러한 공간적 배치가 제도적 구분을 이루는 이유는 관리관계가 서로 다르기 때문이다. 일반수역에서는 연안측이 상대방의 국민과 어선에 입어를 허가하고, 잠정조치수역에서는 공동위원회의 결정에 따라 공동 보존조치와 양적 관리조치를 취하는 동시에 양측이 각각 자국의 국민과 어선을 관리한다. 과도수역에서는 자국의 허가증 발급, 명부 교환, 공동 보존조치 및 가능한 공동 감독·검사를 통해 기존 조업을 일반 입어규칙에 점진적으로 편입한다.</w:t>
      </w:r>
      <w:r>
        <w:rPr>
          <w:rStyle w:val="FootnoteReference"/>
        </w:rPr>
        <w:footnoteReference w:id="3"/>
      </w:r>
      <w:r>
        <w:t xml:space="preserve"> 협정수역은 전체 범위를 구성하며, 잠정조치수역, 과도수역 및 제9조 관련 수역에는 각각 서로 다른 권한과 책임이 배분된다. 따라서 세 가지 주요 수역은 공식적 설계를 이해하는 기본 단위이지만, 모든 공간 관련 조항을 망라하지는 않는다.</w:t>
      </w:r>
    </w:p>
    <w:p>
      <w:pPr>
        <w:pStyle w:val="Normal"/>
      </w:pPr>
      <w:r>
        <w:t xml:space="preserve">제8조는 과도수역의 특별규칙을 협정 발효 후 4년으로 한정하고, 기간이 만료된 후에는 제2조부터 제5조까지를 적용하도록 규정한다. 제9조 관련 수역은 양측이 달리 합의할 때까지 특정한 약정을 계속 유지한다.</w:t>
      </w:r>
      <w:r>
        <w:rPr>
          <w:rStyle w:val="FootnoteReference"/>
        </w:rPr>
        <w:footnoteReference w:id="4"/>
      </w:r>
      <w:r>
        <w:t xml:space="preserve"> 4년이라는 기간은 문서가 규칙의 전환을 예정하였음을 보여 줄 뿐, 기간 만료 후의 실제 조업, 허가 또는 단속 상태를 입증하지는 않는다. 제14조는 동시에 해양법 문제에 관한 양측의 입장을 유보한다. 따라서 이러한 수역과 좌표는 협정 내부에서만 어업관리상의 의미를 가지며, 최종 배타적경제수역 경계선, 해양경계 또는 주권선이 되지 않는다. 공간 구분의 법적 의미는 기간 설정과 입장 유보에 의해 함께 한정된다.</w:t>
      </w:r>
    </w:p>
    <w:p>
      <w:pPr>
        <w:pStyle w:val="Heading2"/>
      </w:pPr>
      <w:r>
        <w:t xml:space="preserve">2.4.2 한중 어업공동위원회와 연례 입어 조건 메커니즘</w:t>
      </w:r>
    </w:p>
    <w:p>
      <w:pPr>
        <w:pStyle w:val="Normal"/>
      </w:pPr>
      <w:r>
        <w:t xml:space="preserve">협정의 관리절차에 관한 배치는 수역 구분에 그치지 않는다. 제2조부터 제5조까지는 일반 입어의 허가 및 규칙 준수 관계를 규정하고, 잠정조치수역에서는 자국 어선에 대한 각자의 관리와 상호 통보를 강조하며, 과도수역에서는 자국의 허가증 발급, 명부 교환 및 가능한 공동 감독·검사를 추가한다. 부속서 Ⅰ은 서면신청, 허가증 발급, 어선 표지, 조업일지 및 통계자료를 일반 입어절차에 포함한다.</w:t>
      </w:r>
      <w:r>
        <w:rPr>
          <w:rStyle w:val="FootnoteReference"/>
        </w:rPr>
        <w:footnoteReference w:id="5"/>
      </w:r>
      <w:r>
        <w:t xml:space="preserve"> 이러한 양자 규칙은 다시 국내 행정체계에 들어가야 한다. 중국 농업농촌부의 시행방법은 서로 다른 단계의 주관기관 사이에 신청 심사, 자격 심사, 허가증, 명부, 일지, 통계 및 선박 표지 등의 업무를 배분한다. 한국 해양수산부의 2025년도 어업인 참고자료는 한국 어선이 중국의 배타적경제수역에 들어갈 때의 신청 전달, 수역 입·출역 통보, 일지 취합, 표지 및 준수사항 안내를 설명한다.</w:t>
      </w:r>
      <w:r>
        <w:rPr>
          <w:rStyle w:val="FootnoteReference"/>
        </w:rPr>
        <w:footnoteReference w:id="6"/>
      </w:r>
      <w:r>
        <w:t xml:space="preserve"> 두 자료는 대상과 시기가 상호 대칭적이지 않으므로, 양측이 공동규칙을 어떻게 이어받는지를 각각 설명할 수 있을 뿐, 하나의 동일한 제도적 사실로 합칠 수 없으며, 관련 절차가 실제로 집행되었음을 입증할 수도 없다.</w:t>
      </w:r>
    </w:p>
    <w:p>
      <w:pPr>
        <w:pStyle w:val="Normal"/>
      </w:pPr>
      <w:r>
        <w:t xml:space="preserve">공동위원회는 양자 협의와 국가 집행을 연결하는 상설 조정기구이다. 제13조는 위원회가 양측의 대표와 위원으로 구성되고, 필요한 경우 전문분과위원회를 설치할 수 있다고 규정한다. 위원회는 어획가능어종, 할당량, 조업조건, 조업질서, 자원 보존 및 어업협력에 관하여 협의하고 권고하며, 제7조와 제8조 수역에 관련된 사안에 대해서만 협의하고 결정한다. 모든 권고와 결정은 양측 대표의 합의에 의해서만 이루어진다.</w:t>
      </w:r>
      <w:r>
        <w:rPr>
          <w:rStyle w:val="FootnoteReference"/>
        </w:rPr>
        <w:footnoteReference w:id="7"/>
      </w:r>
      <w:r>
        <w:t xml:space="preserve"> 제3조는 연례 어획가능어종, 할당량, 기간, 수역 및 그 밖의 조건에 관한 결정과 통보를 각 당사자에게 맡기며, 각 당사자는 이를 결정할 때 관련 요소를 고려하고 위원회의 협의 결과를 존중하여야 한다.</w:t>
      </w:r>
      <w:r>
        <w:rPr>
          <w:rStyle w:val="FootnoteReference"/>
        </w:rPr>
        <w:footnoteReference w:id="8"/>
      </w:r>
      <w:r>
        <w:t xml:space="preserve"> 따라서 위원회는 양국의 주관기관을 대체하지 않고 양측의 연례 협의를 유지하며, 이후 각국 기관이 협의 결과를 자국의 허가와 조업규모 배분으로 전환한다. 완전한 서명을 갖춘 회의록과 상호 대응하는 연례 문서를 아직 확보하지 못하였기 때문에, 특정 연도의 공동 어선 수, 할당량 및 협의과정을 완전하게 복원하기는 어렵다. 공식적 약정만을 보면, 위원회의 협의 결과는 여전히 각 당사자의 연례 통보와 국내 허가절차를 거쳐야 실제 관리에 들어갈 수 있다.</w:t>
      </w:r>
    </w:p>
    <w:p>
      <w:pPr>
        <w:pStyle w:val="Heading2"/>
      </w:pPr>
      <w:r>
        <w:t xml:space="preserve">2.4.3 어업 규칙의 정밀성과 비어업 공간 이용의 규칙 공백</w:t>
      </w:r>
    </w:p>
    <w:p>
      <w:pPr>
        <w:pStyle w:val="Normal"/>
      </w:pPr>
      <w:r>
        <w:t xml:space="preserve">제1조부터 부속서 Ⅰ에 이르기까지 협정은 어업관리를 적용수역, 국민과 어선, 허가주체, 어획가능어종, 할당량, 조업기간과 수역, 자원 보존, 조업질서, 억류 후의 통보와 석방, 그리고 공동위원회 절차까지 점차 구체화한다. 서면신청, 허가증 발급, 통계자료, 어선 표지 및 조업일지는 이러한 요구를 다시 실무 절차에 구체화한다.</w:t>
      </w:r>
      <w:r>
        <w:rPr>
          <w:rStyle w:val="FootnoteReference"/>
        </w:rPr>
        <w:footnoteReference w:id="9"/>
      </w:r>
      <w:r>
        <w:t xml:space="preserve"> 관리대상, 권한, 조건, 절차 및 기한은 서로 연계되므로, 공식 문서는 누가 어떠한 수역에서 어떠한 조건에 따라 어떠한 기관을 통하여 어업활동을 수행하는지에 답할 수 있다. 여기서의 구체성은 규칙을 식별할 수 있음을 의미할 뿐, 허가, 일지, 통계 및 단속이 이미 효과적으로 운영되고 있음을 입증하지는 않는다.</w:t>
      </w:r>
    </w:p>
    <w:p>
      <w:pPr>
        <w:pStyle w:val="Normal"/>
      </w:pPr>
      <w:r>
        <w:t xml:space="preserve">제10조는 항행 및 조업의 안전, 해상 조업질서와 사고처리를 다루고, 제11조는 해난구조, 긴급피난 및 통보를 규정한다. 부속서 Ⅱ는 연락부서, 연락방법 및 선박정보를 열거하며, 제12조는 해양생물자원의 보존과 합리적 이용에 관한 과학연구 협력을 양측에 요구한다.</w:t>
      </w:r>
      <w:r>
        <w:rPr>
          <w:rStyle w:val="FootnoteReference"/>
        </w:rPr>
        <w:footnoteReference w:id="10"/>
      </w:r>
      <w:r>
        <w:t xml:space="preserve"> 이러한 조항은 안전, 피난 및 생물자원 연구를 위한 제한적인 접점을 남겨 둔다. 그러나 고정시설의 설치, 일반적인 해양과학조사, 항행 또는 진입 통제에는 어업허가, 할당량 및 자원 보존과 동등하게 구체적인 규칙이 마련되어 있지 않다. 따라서 협정은 명확한 사안의 경계를 형성한다. 협정은 어업 및 제한된 인접 사안에는 비교적 구체적인 규칙을 배치하지만, 이를 근거로 일반적인 해역 거버넌스 제도를 수립하지는 않는다. 이 경계는 협정이 형성될 당시 이미 이루어진 선택이며, 그 이유는 당시의 법적 공간, 관리 압력 및 정치적 수용 조건과 결부하여 이해해야 한다.</w:t>
      </w:r>
    </w:p>
    <w:sectPr>
      <w:footnotePr>
        <w:numFmt w:val="decimal"/>
        <w:numStart w:val="51"/>
        <w:numRestart w:val="continuous"/>
      </w:footnotePr>
      <w:pgSz w:w="11906" w:h="16838"/>
      <w:pgMar w:top="1440" w:right="1440" w:bottom="1440" w:left="1440" w:header="720" w:footer="720" w:gutter="0"/>
      <w:cols w:space="720"/>
      <w:docGrid w:type="lines" w:linePitch="360"/>
    </w:sectPr>
  </w:body>
</w:document>
</file>

<file path=word/fontTable.xml><?xml version="1.0" encoding="utf-8"?>
<w:fonts xmlns:w="http://schemas.openxmlformats.org/wordprocessingml/2006/main">
  <w:font w:name="Batang">
    <w:charset w:val="81"/>
    <w:family w:val="roman"/>
    <w:pitch w:val="variable"/>
  </w:font>
  <w:font w:name="바탕">
    <w:charset w:val="81"/>
    <w:family w:val="roman"/>
    <w:pitch w:val="variable"/>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《中华人民共和国政府和大韩民国政府渔业协定》, 2000년 8월 3일, 전문, 제1조, 제14–16조 및 서명란.</w:t>
      </w:r>
    </w:p>
  </w:footnote>
  <w:footnote w:id="2">
    <w:p>
      <w:pPr>
        <w:pStyle w:val="FootnoteText"/>
      </w:pPr>
      <w:r>
        <w:rPr>
          <w:rStyle w:val="FootnoteReference"/>
        </w:rPr>
        <w:footnoteRef/>
      </w:r>
      <w:r>
        <w:t xml:space="preserve"> 《中华人民共和国政府和大韩民国政府渔业协定》, 제1조, 제6–9조 및 제14조; 대한민국 정부와 중화인민공화국 정부간의 어업에 관한 협정, 제1조, 제6–9조 및 제14조(한국어 자료에서 확인 가능한 조문에 근거하여 용어만 대조함).</w:t>
      </w:r>
    </w:p>
  </w:footnote>
  <w:footnote w:id="3">
    <w:p>
      <w:pPr>
        <w:pStyle w:val="FootnoteText"/>
      </w:pPr>
      <w:r>
        <w:rPr>
          <w:rStyle w:val="FootnoteReference"/>
        </w:rPr>
        <w:footnoteRef/>
      </w:r>
      <w:r>
        <w:t xml:space="preserve"> 《中华人民共和国政府和大韩民国政府渔业协定》, 제2–8조.</w:t>
      </w:r>
    </w:p>
  </w:footnote>
  <w:footnote w:id="4">
    <w:p>
      <w:pPr>
        <w:pStyle w:val="FootnoteText"/>
      </w:pPr>
      <w:r>
        <w:rPr>
          <w:rStyle w:val="FootnoteReference"/>
        </w:rPr>
        <w:footnoteRef/>
      </w:r>
      <w:r>
        <w:t xml:space="preserve"> 《中华人民共和国政府和大韩民国政府渔业协定》, 제8조 제1항·제5항, 제9조 및 제14조.</w:t>
      </w:r>
    </w:p>
  </w:footnote>
  <w:footnote w:id="5">
    <w:p>
      <w:pPr>
        <w:pStyle w:val="FootnoteText"/>
      </w:pPr>
      <w:r>
        <w:rPr>
          <w:rStyle w:val="FootnoteReference"/>
        </w:rPr>
        <w:footnoteRef/>
      </w:r>
      <w:r>
        <w:t xml:space="preserve"> 《中华人民共和国政府和大韩民国政府渔业协定》, 제2–8조 및 부속서 Ⅰ.</w:t>
      </w:r>
    </w:p>
  </w:footnote>
  <w:footnote w:id="6">
    <w:p>
      <w:pPr>
        <w:pStyle w:val="FootnoteText"/>
      </w:pPr>
      <w:r>
        <w:rPr>
          <w:rStyle w:val="FootnoteReference"/>
        </w:rPr>
        <w:footnoteRef/>
      </w:r>
      <w:r>
        <w:t xml:space="preserve"> 中华人民共和国农业农村部, 《中韩渔业协定暂定措施水域和过渡水域管理办法》(2001년 2월 16일 농업부령 제47호로 공포, 2022년 1월 7일 농업농촌부령 2022년 제1호로 개정), 제2–3조 및 제5–12조; 대한민국 해양수산부 편, 『중화인민공화국 배타적경제수역에서 대한민국 어선의 조업조건 및 입어절차』(어업인 참고용), 2025, Ⅱ 「중화인민공화국 배타적경제수역에서의 대한민국 어선의 입어에 관한 절차규칙」 제1·2·6–8·10조 및 Ⅲ 참고자료 2.</w:t>
      </w:r>
    </w:p>
  </w:footnote>
  <w:footnote w:id="7">
    <w:p>
      <w:pPr>
        <w:pStyle w:val="FootnoteText"/>
      </w:pPr>
      <w:r>
        <w:rPr>
          <w:rStyle w:val="FootnoteReference"/>
        </w:rPr>
        <w:footnoteRef/>
      </w:r>
      <w:r>
        <w:t xml:space="preserve"> 《中华人民共和国政府和大韩民国政府渔业协定》, 제13조; 대한민국 정부와 중화인민공화국 정부간의 어업에 관한 협정, 제13조(한국어 자료에서 확인 가능한 조문에 근거하여 용어만 대조함).</w:t>
      </w:r>
    </w:p>
  </w:footnote>
  <w:footnote w:id="8">
    <w:p>
      <w:pPr>
        <w:pStyle w:val="FootnoteText"/>
      </w:pPr>
      <w:r>
        <w:rPr>
          <w:rStyle w:val="FootnoteReference"/>
        </w:rPr>
        <w:footnoteRef/>
      </w:r>
      <w:r>
        <w:t xml:space="preserve"> 《中华人民共和国政府和大韩民国政府渔业协定》, 제3조, 제13조 및 부속서 Ⅰ; 中华人民共和国农业农村部, 《中韩渔业协定暂定措施水域和过渡水域管理办法》, 제4조; 대한민국 해양수산부 편, 『중화인민공화국 배타적경제수역에서 대한민국 어선의 조업조건 및 입어절차』(어업인 참고용), 2025, Ⅰ 및 Ⅲ 참고자료 1.</w:t>
      </w:r>
    </w:p>
  </w:footnote>
  <w:footnote w:id="9">
    <w:p>
      <w:pPr>
        <w:pStyle w:val="FootnoteText"/>
      </w:pPr>
      <w:r>
        <w:rPr>
          <w:rStyle w:val="FootnoteReference"/>
        </w:rPr>
        <w:footnoteRef/>
      </w:r>
      <w:r>
        <w:t xml:space="preserve"> 《中华人民共和国政府和大韩民国政府渔业协定》, 전문, 제1–13조 및 부속서 Ⅰ.</w:t>
      </w:r>
    </w:p>
  </w:footnote>
  <w:footnote w:id="10">
    <w:p>
      <w:pPr>
        <w:pStyle w:val="FootnoteText"/>
      </w:pPr>
      <w:r>
        <w:rPr>
          <w:rStyle w:val="FootnoteReference"/>
        </w:rPr>
        <w:footnoteRef/>
      </w:r>
      <w:r>
        <w:t xml:space="preserve"> 《中华人民共和国政府和大韩民国政府渔业协定》, 제10–12조 및 부속서 Ⅱ; 대한민국 정부와 중화인민공화국 정부간의 어업에 관한 협정, 제10–12조 및 부속서 Ⅱ(한국어 자료에서 확인 가능한 문구에 근거하여 용어만 대조하였으며, 훼손된 부분은 보완하여 기재하지 않음).</w:t>
      </w:r>
    </w:p>
  </w:footnote>
</w:footnotes>
</file>

<file path=word/settings.xml><?xml version="1.0" encoding="utf-8"?>
<w:settings xmlns:w="http://schemas.openxmlformats.org/wordprocessingml/2006/main">
  <w:zoom w:percent="100"/>
  <w:defaultTabStop w:val="720"/>
  <w:characterSpacingControl w:val="doNotCompress"/>
  <w:footnotePr>
    <w:numFmt w:val="decimal"/>
    <w:numStart w:val="51"/>
    <w:numRestart w:val="continuous"/>
    <w:footnote w:id="-1"/>
    <w:footnote w:id="0"/>
  </w:foot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Batang" w:hAnsi="Batang" w:eastAsia="바탕" w:cs="Times New Roman"/>
        <w:sz w:val="21"/>
        <w:szCs w:val="21"/>
        <w:lang w:val="ko-KR" w:eastAsia="ko-KR"/>
      </w:rPr>
    </w:rPrDefault>
    <w:pPrDefault>
      <w:pPr>
        <w:spacing w:after="0"/>
      </w:pPr>
    </w:pPrDefault>
  </w:docDefaults>
  <w:style w:type="paragraph" w:default="1" w:styleId="Normal">
    <w:name w:val="Normal"/>
    <w:qFormat/>
    <w:pPr>
      <w:widowControl/>
      <w:jc w:val="both"/>
      <w:ind w:firstLine="420"/>
      <w:spacing w:before="0" w:after="0" w:line="360" w:lineRule="auto"/>
    </w:pPr>
    <w:rPr>
      <w:rFonts w:ascii="Batang" w:hAnsi="Batang" w:eastAsia="바탕" w:cs="Times New Roman"/>
      <w:sz w:val="21"/>
      <w:szCs w:val="21"/>
      <w:lang w:val="ko-KR" w:eastAsia="ko-KR"/>
    </w:rPr>
  </w:style>
  <w:style w:type="paragraph" w:styleId="Heading1">
    <w:name w:val="heading 1"/>
    <w:basedOn w:val="Normal"/>
    <w:next w:val="Normal"/>
    <w:uiPriority w:val="9"/>
    <w:qFormat/>
    <w:pPr>
      <w:keepNext/>
      <w:keepLines/>
      <w:spacing w:before="240" w:after="160"/>
      <w:ind w:firstLine="0"/>
      <w:jc w:val="left"/>
    </w:pPr>
    <w:rPr>
      <w:rFonts w:ascii="Batang" w:hAnsi="Batang" w:eastAsia="바탕"/>
      <w:b/>
      <w:sz w:val="24"/>
      <w:szCs w:val="24"/>
      <w:lang w:val="ko-KR" w:eastAsia="ko-KR"/>
    </w:rPr>
  </w:style>
  <w:style w:type="paragraph" w:styleId="Heading2">
    <w:name w:val="heading 2"/>
    <w:basedOn w:val="Normal"/>
    <w:next w:val="Normal"/>
    <w:uiPriority w:val="9"/>
    <w:qFormat/>
    <w:pPr>
      <w:keepNext/>
      <w:keepLines/>
      <w:spacing w:before="200" w:after="120"/>
      <w:ind w:firstLine="0"/>
      <w:jc w:val="left"/>
    </w:pPr>
    <w:rPr>
      <w:rFonts w:ascii="Batang" w:hAnsi="Batang" w:eastAsia="바탕"/>
      <w:b/>
      <w:sz w:val="22"/>
      <w:szCs w:val="22"/>
      <w:lang w:val="ko-KR" w:eastAsia="ko-KR"/>
    </w:rPr>
  </w:style>
  <w:style w:type="character" w:default="1" w:styleId="DefaultParagraphFont">
    <w:name w:val="Default Paragraph Font"/>
    <w:uiPriority w:val="1"/>
    <w:semiHidden/>
    <w:unhideWhenUsed/>
  </w:style>
  <w:style w:type="paragraph" w:styleId="FootnoteText">
    <w:name w:val="footnote text"/>
    <w:basedOn w:val="Normal"/>
    <w:link w:val="FootnoteTextChar"/>
    <w:uiPriority w:val="99"/>
    <w:semiHidden/>
    <w:unhideWhenUsed/>
    <w:pPr>
      <w:spacing w:before="0" w:after="0" w:line="240" w:lineRule="auto"/>
      <w:ind w:firstLine="0"/>
      <w:jc w:val="both"/>
    </w:pPr>
    <w:rPr>
      <w:rFonts w:ascii="Batang" w:hAnsi="Batang" w:eastAsia="바탕"/>
      <w:sz w:val="18"/>
      <w:szCs w:val="18"/>
      <w:lang w:val="ko-KR" w:eastAsia="ko-KR"/>
    </w:rPr>
  </w:style>
  <w:style w:type="character" w:styleId="FootnoteTextChar">
    <w:name w:val="Footnote Text Char"/>
    <w:basedOn w:val="DefaultParagraphFont"/>
    <w:link w:val="FootnoteText"/>
    <w:uiPriority w:val="99"/>
    <w:semiHidden/>
    <w:unhideWhenUsed/>
    <w:rPr>
      <w:rFonts w:ascii="Batang" w:hAnsi="Batang" w:eastAsia="바탕"/>
      <w:sz w:val="18"/>
      <w:szCs w:val="18"/>
    </w:rPr>
  </w:style>
  <w:style w:type="character" w:styleId="FootnoteReference">
    <w:name w:val="footnote reference"/>
    <w:basedOn w:val="DefaultParagraphFont"/>
    <w:uiPriority w:val="99"/>
    <w:semiHidden/>
    <w:unhideWhenUsed/>
    <w:rPr>
      <w:vertAlign w:val="superscript"/>
      <w:sz w:val="16"/>
      <w:szCs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제2장 2.4 한국어 충실 번역문</dc:title>
  <dc:subject>한중 어업협정의 제도적 설계</dc:subject>
  <dc:creator>OpenAI</dc:creator>
  <cp:lastModifiedBy>OpenAI</cp:lastModifiedBy>
  <dc:language>ko-KR</dc:language>
  <dcterms:created xsi:type="dcterms:W3CDTF">2026-08-11T00:00:00Z</dcterms:created>
  <dcterms:modified xsi:type="dcterms:W3CDTF">2026-08-11T00:00:00Z</dcterms:modified>
</cp:coreProperties>
</file>