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keepNext/>
        <w:keepLines/>
        <w:spacing w:before="0" w:after="240" w:line="384" w:lineRule="auto"/>
        <w:jc w:val="left"/>
      </w:pPr>
      <w:r>
        <w:rPr>
          <w:b/>
          <w:bCs/>
          <w:sz w:val="24"/>
          <w:szCs w:val="24"/>
        </w:rPr>
        <w:t xml:space="preserve">2.5 협정 형성의 가능성 조건</w:t>
      </w:r>
    </w:p>
    <w:p>
      <w:pPr>
        <w:widowControl/>
        <w:jc w:val="both"/>
        <w:ind w:firstLine="420" w:firstLineChars="200"/>
        <w:spacing w:before="0" w:after="0" w:line="384" w:lineRule="auto"/>
      </w:pPr>
      <w:r>
        <w:t xml:space="preserve">한중 양국이 최종 경계에 관한 돌파구를 마련하지 못한 상황에서 어업협정을 체결하였다는 사실은 양국이 모든 분쟁이 해결된 뒤에야 협력하려고 한 것이 아님을 보여 준다. 협상 과정에서 분리된 것은 두 유형의 문제였다. 하나는 공간, 자원 및 관할권의 최종적 배분에 관한 문제이고, 다른 하나는 장기간 유보할 수 없는 어업 관리의 문제이다. 협정의 성립은 이러한 분리가 법적으로 가능하고 현실적으로 필요하며 정치적으로 수용될 수 있다는 데 의존하였다. 인접 해역에 이미 존재하던 어업 약정은 이러한 선택을 보다 쉽게 식별할 수 있게 하였지만, 양국 자체의 협상을 대체하지는 않았다.</w:t>
      </w:r>
    </w:p>
    <w:p>
      <w:pPr>
        <w:widowControl/>
        <w:jc w:val="both"/>
        <w:ind w:firstLine="420" w:firstLineChars="200"/>
        <w:spacing w:before="0" w:after="0" w:line="384" w:lineRule="auto"/>
      </w:pPr>
      <w:r>
        <w:t xml:space="preserve">UNCLOS 제74조 제3항과 제83조 제3항은 관련국이 최종 경계획정을 해하지 않는 범위에서 실질적인 잠정약정을 체결할 수 있도록 하고, 최종 합의를 위태롭게 하지 않도록 요구한다.</w:t>
      </w:r>
      <w:r>
        <w:rPr>
          <w:rStyle w:val="FootnoteReference"/>
        </w:rPr>
        <w:footnoteReference w:id="1"/>
      </w:r>
      <w:r>
        <w:t xml:space="preserve"> 한중 협정 제14조는 해양법 문제에 관한 양국의 입장을 유보한다.</w:t>
      </w:r>
      <w:r>
        <w:rPr>
          <w:rStyle w:val="FootnoteReference"/>
        </w:rPr>
        <w:footnoteReference w:id="2"/>
      </w:r>
      <w:r>
        <w:t xml:space="preserve"> 협정의 나머지 조항은 규율 대상을 어업 관계에 집중시키고, 입어, 자원 보존, 조업 질서, 잠정조치수역 및 공동위원회를 중심으로 규칙을 설정한다.</w:t>
      </w:r>
      <w:r>
        <w:rPr>
          <w:rStyle w:val="FootnoteReference"/>
        </w:rPr>
        <w:footnoteReference w:id="3"/>
      </w:r>
      <w:r>
        <w:t xml:space="preserve"> 중국 측도 협정 서명 후 공개한 설명에서 이 협정을 배타적경제수역 경계획정 이전의 잠정적인 어업 약정으로 이해하였다.</w:t>
      </w:r>
      <w:r>
        <w:rPr>
          <w:rStyle w:val="FootnoteReference"/>
        </w:rPr>
        <w:footnoteReference w:id="4"/>
      </w:r>
      <w:r>
        <w:t xml:space="preserve"> 이러한 자료는 제한적 협력을 위해 어느 일방도 최종적인 권리 주장을 먼저 포기할 필요가 없었음을 보여 준다. 국제법이 협정을 직접 만들어 낸 것은 아니지만, ‘먼저 경계를 획정해야만 협력할 수 있다’는 제도적 장애를 제거하였다.</w:t>
      </w:r>
    </w:p>
    <w:p>
      <w:pPr>
        <w:widowControl/>
        <w:jc w:val="both"/>
        <w:ind w:firstLine="420" w:firstLineChars="200"/>
        <w:spacing w:before="0" w:after="0" w:line="384" w:lineRule="auto"/>
      </w:pPr>
      <w:r>
        <w:t xml:space="preserve">한국의 공식 통계는 2000년 전후의 어가인구, 어가 및 등록어선 현황을 기록하고 있으며, 중국 국가통계국 역시 1995년부터 1999년까지의 해양 어획생산량과 황해 구역별 자료를 연속적으로 발표하였다.</w:t>
      </w:r>
      <w:r>
        <w:rPr>
          <w:rStyle w:val="FootnoteReference"/>
        </w:rPr>
        <w:footnoteReference w:id="5"/>
      </w:r>
      <w:r>
        <w:rPr>
          <w:rStyle w:val="FootnoteReference"/>
        </w:rPr>
        <w:footnoteReference w:id="6"/>
      </w:r>
      <w:r>
        <w:t xml:space="preserve"> 두 통계는 단위와 범위가 서로 다르므로 양측의 압력을 비교하는 데 사용할 수 없고, 자원이 이미 고갈되었다는 점을 입증할 수도 없다. 이들 자료가 뒷받침할 수 있는 판단은 어업활동이 협정 형성 전후에 줄곧 현실적인 관리대상이었다는 것이다. 한국 외교통상부 장관은 비준 절차에서 해양경계가 획정되지 않은 상태에서 일방적으로 관할권을 행사할 경우 충돌이 발생할 수 있으며, 한국 정부는 협정을 통하여 해양생물자원을 보존하고 어업질서를 확립하고자 한다고 지적하였다.</w:t>
      </w:r>
      <w:r>
        <w:rPr>
          <w:rStyle w:val="FootnoteReference"/>
        </w:rPr>
        <w:footnoteReference w:id="7"/>
      </w:r>
      <w:r>
        <w:t xml:space="preserve"> 이 발언은 한국 측의 입장만을 나타내지만, 공동 문서에 규정된 자원 보존 및 정상적인 조업질서의 목표와 상응한다. 최종 경계획정 협상은 계속될 수 있었지만 일상적인 조업, 법집행 및 자원관리는 장기간 기다릴 수 없었으며, 이는 제한적 약정의 현실적 필요성을 구성하였다.</w:t>
      </w:r>
    </w:p>
    <w:p>
      <w:pPr>
        <w:widowControl/>
        <w:jc w:val="both"/>
        <w:ind w:firstLine="420" w:firstLineChars="200"/>
        <w:spacing w:before="0" w:after="0" w:line="384" w:lineRule="auto"/>
      </w:pPr>
      <w:r>
        <w:t xml:space="preserve">박재영과 최종화는 2000년의 연구에서 1997년 중일 어업 약정 이후의 방안 변화, 한중 어업협상 및 해양경계획정 회담의 분리 진행을 서로 연계하였다.</w:t>
      </w:r>
      <w:r>
        <w:rPr>
          <w:rStyle w:val="FootnoteReference"/>
        </w:rPr>
        <w:footnoteReference w:id="8"/>
      </w:r>
      <w:r>
        <w:t xml:space="preserve"> 이는 현실적인 어업 거버넌스를 최종 경계획정과 분리하여 처리하는 방식이 당시 이미 관찰 가능한 지역적 경험이었음을 보여 준다. 그러나 참조할 수 있는 모델 자체가 협정의 수용 가능성을 결정하는 것은 아니다. Putnam은 국제협상의 결과가 여전히 국내적으로 수용 가능한 범위에 들어가야 하며, 수용 가능한 방안의 교집합이 작을수록 협정의 형성이 어려워진다고 지적한다.</w:t>
      </w:r>
      <w:r>
        <w:rPr>
          <w:rStyle w:val="FootnoteReference"/>
        </w:rPr>
        <w:footnoteReference w:id="9"/>
      </w:r>
      <w:r>
        <w:t xml:space="preserve"> 최종 경계는 공간, 자원 및 관할권의 장기적인 배분과 관련되는 반면, 제한적인 어업협정은 최종 입장을 유보한 채 현실적인 어업 사안만을 처리하므로 요구되는 정치적 약속이 상대적으로 제한적이다. 지역적 경험은 분리 처리 방안을 식별 가능한 선택으로 만들었고, 낮은 수준의 정치적 약속은 그 방안이 수용될 가능성을 높였다.</w:t>
      </w:r>
    </w:p>
    <w:p>
      <w:pPr>
        <w:widowControl/>
        <w:jc w:val="both"/>
        <w:ind w:firstLine="420" w:firstLineChars="200"/>
        <w:spacing w:before="0" w:after="0" w:line="384" w:lineRule="auto"/>
      </w:pPr>
      <w:r>
        <w:t xml:space="preserve">제2조부터 제9조까지, 제13조 및 부속서 I은 양국의 합의를 차별화된 수역 관리, 연례 입어 조건, 공동위원회의 협의 및 양국 주무기관의 개별적 집행으로 구체화하였다.</w:t>
      </w:r>
      <w:r>
        <w:rPr>
          <w:rStyle w:val="FootnoteReference"/>
        </w:rPr>
        <w:footnoteReference w:id="10"/>
      </w:r>
      <w:r>
        <w:t xml:space="preserve"> 수역별 관리는 하나의 문서 안에서 최종 경계를 처리하는 것을 피하게 하고, 연례 조건은 관련 수치를 조정할 수 있는 여지를 남기며, 국내의 개별 집행은 각국의 행정적 통제를 유지한다. 여기서는 형성 조건과 제도적 결과를 구분할 필요가 있다. 앞서 살펴본 법적·거버넌스적·정치적 조건은 협정이 왜 형성될 수 있었는지를 설명하고, 이들 조항은 협정이 성립한 이후 어떠한 구조를 채택하였는지를 보여 준다. 따라서 제도 설계 자체를 거꾸로 형성 원인으로 간주해서는 안 된다.</w:t>
      </w:r>
    </w:p>
    <w:p>
      <w:pPr>
        <w:widowControl/>
        <w:jc w:val="both"/>
        <w:ind w:firstLine="420" w:firstLineChars="200"/>
        <w:spacing w:before="0" w:after="0" w:line="384" w:lineRule="auto"/>
      </w:pPr>
      <w:r>
        <w:t xml:space="preserve">협정 제3조, 제8조, 제13조, 제14조 및 제16조는 UNCLOS의 잠정약정 규칙과 함께 연례 협의, 과도기간, 입장 유보 및 발효기간을 하나의 제도 안에 배치한다.</w:t>
      </w:r>
      <w:r>
        <w:rPr>
          <w:rStyle w:val="FootnoteReference"/>
        </w:rPr>
        <w:footnoteReference w:id="11"/>
      </w:r>
      <w:r>
        <w:t xml:space="preserve"> 이에 따라 양국은 최종적인 해양 권리에 관하여 양보하지 않으면서도 최소한의 어업관리 질서를 확보하였다. 이러한 결과는 단계적 균형으로 이해할 수 있다. 그 균형이 유지될 수 있었던 것은 어업 의제가 연례 협의를 통하여 계속 조정될 수 있었기 때문이며, 그 균형의 취약성 역시 동일한 조건에서 비롯된다. 최종 경계는 여전히 해결되지 않았고, 협력 대상은 어업에 집중되어 있으며, 고정시설, 일반적인 해양과학조사, 통항 및 진입 통제 등의 문제에는 동일하게 명확한 규칙과 권한이 부여되지 않았다. 현재의 자료는 이러한 구조적 경계만을 지적할 수 있을 뿐, 이를 근거로 제도가 이미 기능을 상실하였다고 단정할 수는 없다. 새로운 의제가 등장할 때 제도가 정체되는지 여부는 실제 운영과 국가 간 상호작용을 결합하여 판단할 필요가 있다.</w:t>
      </w:r>
    </w:p>
    <w:sectPr>
      <w:footnotePr>
        <w:numFmt w:val="decimal"/>
        <w:numStart w:val="61"/>
        <w:numRestart w:val="continuous"/>
        <w:pos w:val="pageBottom"/>
      </w:footnotePr>
      <w:pgSz w:w="11906" w:h="16838"/>
      <w:pgMar w:top="1417" w:right="1701" w:bottom="1417" w:left="1701" w:header="708" w:footer="708" w:gutter="0"/>
      <w:cols w:space="708"/>
      <w:docGrid w:linePitch="312"/>
    </w:sectPr>
  </w:body>
</w:document>
</file>

<file path=word/fontTable.xml><?xml version="1.0" encoding="utf-8"?>
<w:fonts xmlns:w="http://schemas.openxmlformats.org/wordprocessingml/2006/main">
  <w:font w:name="Batang">
    <w:charset w:val="81"/>
    <w:family w:val="roman"/>
    <w:pitch w:val="variable"/>
  </w:font>
  <w:font w:name="바탕">
    <w:charset w:val="81"/>
    <w:family w:val="roman"/>
    <w:pitch w:val="variable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jc w:val="both"/>
        <w:spacing w:before="0" w:after="0" w:line="240" w:lineRule="auto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 United Nations Convention on the Law of the Sea, 1982, Arts. 74(3), 83(3); 《联合国海洋法公约》, 제74조 제3항 및 제83조 제3항.</w:t>
      </w:r>
    </w:p>
  </w:footnote>
  <w:footnote w:id="2">
    <w:p>
      <w:pPr>
        <w:pStyle w:val="FootnoteText"/>
        <w:jc w:val="both"/>
        <w:spacing w:before="0" w:after="0" w:line="240" w:lineRule="auto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 《中华人民共和国政府和大韩民国政府渔业协定》, 2000년 8월 3일, 제14조; 대한민국 정부와 중화인민공화국 정부간의 어업에 관한 협정, 제14조(한국어 정본은 동일 조항의 정본 용어를 대조하는 데에만 사용함).</w:t>
      </w:r>
    </w:p>
  </w:footnote>
  <w:footnote w:id="3">
    <w:p>
      <w:pPr>
        <w:pStyle w:val="FootnoteText"/>
        <w:jc w:val="both"/>
        <w:spacing w:before="0" w:after="0" w:line="240" w:lineRule="auto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 《中华人民共和国政府和大韩民国政府渔业协定》, 전문, 제1—3조 및 제7—14조.</w:t>
      </w:r>
    </w:p>
  </w:footnote>
  <w:footnote w:id="4">
    <w:p>
      <w:pPr>
        <w:pStyle w:val="FootnoteText"/>
        <w:jc w:val="both"/>
        <w:spacing w:before="0" w:after="0" w:line="240" w:lineRule="auto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 Ministry of Foreign Affairs of the People’s Republic of China, “China and ROK Signed A Fishery Agreement,” updated 15 November 2000, p. 1(중국 측의 서명 후 일방적 설명).</w:t>
      </w:r>
    </w:p>
  </w:footnote>
  <w:footnote w:id="5">
    <w:p>
      <w:pPr>
        <w:pStyle w:val="FootnoteText"/>
        <w:jc w:val="both"/>
        <w:spacing w:before="0" w:after="0" w:line="240" w:lineRule="auto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 호남지방통계청 목포사무소, 「지난 50년간(1970년~2019년) 전남 어업구조 변화상」, 2020, 5, 9쪽.</w:t>
      </w:r>
    </w:p>
  </w:footnote>
  <w:footnote w:id="6">
    <w:p>
      <w:pPr>
        <w:pStyle w:val="FootnoteText"/>
        <w:jc w:val="both"/>
        <w:spacing w:before="0" w:after="0" w:line="240" w:lineRule="auto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 国家统计局, 『海洋水产生产情况（1999年）』, 1999年12月15日.</w:t>
      </w:r>
    </w:p>
  </w:footnote>
  <w:footnote w:id="7">
    <w:p>
      <w:pPr>
        <w:pStyle w:val="FootnoteText"/>
        <w:jc w:val="both"/>
        <w:spacing w:before="0" w:after="0" w:line="240" w:lineRule="auto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 대한민국 국회, 제218회 국회 통일외교통상위원회 제1차 회의록, 2001년 2월 16일, 42쪽.</w:t>
      </w:r>
    </w:p>
  </w:footnote>
  <w:footnote w:id="8">
    <w:p>
      <w:pPr>
        <w:pStyle w:val="FootnoteText"/>
        <w:jc w:val="both"/>
        <w:spacing w:before="0" w:after="0" w:line="240" w:lineRule="auto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 박재영·최종화, 「한·중어업협정의 평가 및 향후과제」, 『수산경영론집』, 제31권 제2호, 2000, 69—70, 76—77, 79—83쪽.</w:t>
      </w:r>
    </w:p>
  </w:footnote>
  <w:footnote w:id="9">
    <w:p>
      <w:pPr>
        <w:pStyle w:val="FootnoteText"/>
        <w:jc w:val="both"/>
        <w:spacing w:before="0" w:after="0" w:line="240" w:lineRule="auto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 Robert D. Putnam, “Diplomacy and Domestic Politics: The Logic of Two-Level Games,” International Organization, Vol. 42, No. 3, 1988, pp. 435—438.</w:t>
      </w:r>
    </w:p>
  </w:footnote>
  <w:footnote w:id="10">
    <w:p>
      <w:pPr>
        <w:pStyle w:val="FootnoteText"/>
        <w:jc w:val="both"/>
        <w:spacing w:before="0" w:after="0" w:line="240" w:lineRule="auto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 《中华人民共和国政府和大韩民国政府渔业协定》, 제2—9조, 제13조 및 부속서 I; 대한민국 정부와 중화인민공화국 정부간의 어업에 관한 협정, 제2—9조, 제13조 및 부속서 I(한국어 정본은 독립적인 사건 가중치를 추가하지 않음).</w:t>
      </w:r>
    </w:p>
  </w:footnote>
  <w:footnote w:id="11">
    <w:p>
      <w:pPr>
        <w:pStyle w:val="FootnoteText"/>
        <w:jc w:val="both"/>
        <w:spacing w:before="0" w:after="0" w:line="240" w:lineRule="auto"/>
      </w:pPr>
      <w:r>
        <w:rPr>
          <w:rStyle w:val="FootnoteReference"/>
        </w:rPr>
        <w:footnoteRef/>
      </w:r>
      <w:r>
        <w:rPr>
          <w:sz w:val="18"/>
          <w:szCs w:val="18"/>
        </w:rPr>
        <w:t xml:space="preserve"> 《中华人民共和国政府和大韩民国政府渔业协定》, 제3조, 제8조, 제13조, 제14조 및 제16조; United Nations Convention on the Law of the Sea, Arts. 74(3), 83(3).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footnotePr>
    <w:numFmt w:val="decimal"/>
    <w:numStart w:val="61"/>
    <w:numRestart w:val="continuous"/>
    <w:pos w:val="pageBottom"/>
  </w:footnotePr>
  <w:compat>
    <w:compatSetting w:name="compatibilityMode" w:uri="http://schemas.microsoft.com/office/word" w:val="15"/>
  </w:compat>
  <w:doNotTrackMoves/>
  <w:doNotTrackFormatting/>
</w:settings>
</file>

<file path=word/styles.xml><?xml version="1.0" encoding="utf-8"?>
<w:styles xmlns:w="http://schemas.openxmlformats.org/wordprocessingml/2006/main">
  <w:docDefaults>
    <w:rPrDefault>
      <w:rPr>
        <w:rFonts w:ascii="Batang" w:hAnsi="Batang" w:eastAsia="바탕" w:cs="Batang"/>
        <w:sz w:val="21"/>
        <w:szCs w:val="21"/>
        <w:lang w:val="ko-KR" w:eastAsia="ko-KR"/>
      </w:rPr>
    </w:rPrDefault>
    <w:pPrDefault>
      <w:pPr>
        <w:spacing w:line="384" w:lineRule="auto"/>
      </w:pPr>
    </w:pPrDefault>
  </w:docDefaults>
  <w:style w:type="paragraph" w:default="1" w:styleId="Normal">
    <w:name w:val="Normal"/>
    <w:qFormat/>
    <w:pPr>
      <w:widowControl/>
      <w:jc w:val="both"/>
      <w:spacing w:line="384" w:lineRule="auto"/>
    </w:pPr>
    <w:rPr>
      <w:rFonts w:ascii="Batang" w:hAnsi="Batang" w:eastAsia="바탕" w:cs="Batang"/>
      <w:sz w:val="21"/>
      <w:szCs w:val="21"/>
      <w:lang w:val="ko-KR" w:eastAsia="ko-KR"/>
    </w:rPr>
  </w:style>
  <w:style w:type="character" w:default="1" w:styleId="DefaultParagraphFont">
    <w:name w:val="Default Paragraph Font"/>
    <w:semiHidden/>
    <w:unhideWhenUsed/>
  </w:style>
  <w:style w:type="character" w:styleId="FootnoteReference">
    <w:name w:val="footnote reference"/>
    <w:basedOn w:val="DefaultParagraphFont"/>
    <w:semiHidden/>
    <w:unhideWhenUsed/>
    <w:rPr>
      <w:vertAlign w:val="superscript"/>
    </w:rPr>
  </w:style>
  <w:style w:type="paragraph" w:styleId="FootnoteText">
    <w:name w:val="footnote text"/>
    <w:basedOn w:val="Normal"/>
    <w:semiHidden/>
    <w:unhideWhenUsed/>
    <w:pPr>
      <w:spacing w:line="240" w:lineRule="auto"/>
    </w:pPr>
    <w:rPr>
      <w:rFonts w:ascii="Batang" w:hAnsi="Batang" w:eastAsia="바탕" w:cs="Batang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footnotes" Target="footnot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2.5 협정 형성의 가능성 조건</dc:title>
  <dc:subject>Master's thesis Korean translation</dc:subject>
  <dc:creator>OpenAI</dc:creator>
  <cp:keywords>2.5; Korean translation; thesis</cp:keywords>
  <dc:description>Faithful Korean translation of thesis section 2.5</dc:description>
  <cp:lastModifiedBy>OpenAI</cp:lastModifiedBy>
  <dcterms:created xsi:type="dcterms:W3CDTF">2026-08-11T15:04:14Z</dcterms:created>
  <dcterms:modified xsi:type="dcterms:W3CDTF">2026-08-11T15:04:14Z</dcterms:modified>
</cp:coreProperties>
</file>