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B5D1" w14:textId="77777777" w:rsidR="008375F8" w:rsidRDefault="00125C73" w:rsidP="008375F8">
      <w:pPr>
        <w:pStyle w:val="Heading3"/>
        <w:tabs>
          <w:tab w:val="left" w:pos="2579"/>
        </w:tabs>
        <w:jc w:val="center"/>
        <w:rPr>
          <w:i w:val="0"/>
        </w:rPr>
      </w:pPr>
      <w:r w:rsidRPr="00125C73">
        <w:rPr>
          <w:i w:val="0"/>
        </w:rPr>
        <w:t>Steven D Seney Jr</w:t>
      </w:r>
    </w:p>
    <w:p w14:paraId="2067E4C0" w14:textId="45DC21DA" w:rsidR="008375F8" w:rsidRPr="008375F8" w:rsidRDefault="00077C03" w:rsidP="008375F8">
      <w:pPr>
        <w:jc w:val="center"/>
        <w:rPr>
          <w:sz w:val="24"/>
        </w:rPr>
      </w:pPr>
      <w:r>
        <w:rPr>
          <w:sz w:val="24"/>
        </w:rPr>
        <w:t>Springfield, NH</w:t>
      </w:r>
    </w:p>
    <w:p w14:paraId="4CBF5AB6" w14:textId="77777777" w:rsidR="008375F8" w:rsidRPr="008375F8" w:rsidRDefault="008375F8" w:rsidP="008375F8">
      <w:pPr>
        <w:jc w:val="center"/>
        <w:rPr>
          <w:rStyle w:val="vanity-namedisplay-name"/>
          <w:rFonts w:cs="Arial"/>
          <w:sz w:val="24"/>
          <w:u w:val="thick"/>
          <w:bdr w:val="none" w:sz="0" w:space="0" w:color="auto" w:frame="1"/>
          <w:shd w:val="clear" w:color="auto" w:fill="FFFFFF"/>
        </w:rPr>
      </w:pPr>
      <w:r w:rsidRPr="008375F8">
        <w:rPr>
          <w:rFonts w:cs="Arial"/>
          <w:sz w:val="24"/>
          <w:u w:val="thick"/>
        </w:rPr>
        <w:t xml:space="preserve">904-710-1545; </w:t>
      </w:r>
      <w:r w:rsidR="00D00688" w:rsidRPr="008375F8">
        <w:rPr>
          <w:rFonts w:cs="Arial"/>
          <w:sz w:val="24"/>
          <w:u w:val="thick"/>
        </w:rPr>
        <w:t>sdseney508@gmail.com;</w:t>
      </w:r>
      <w:r w:rsidRPr="008375F8">
        <w:rPr>
          <w:rFonts w:cs="Arial"/>
          <w:sz w:val="24"/>
          <w:u w:val="thick"/>
        </w:rPr>
        <w:t xml:space="preserve"> </w:t>
      </w:r>
      <w:r w:rsidRPr="008375F8">
        <w:rPr>
          <w:rStyle w:val="vanity-namedomain"/>
          <w:rFonts w:cs="Arial"/>
          <w:sz w:val="24"/>
          <w:u w:val="thick"/>
          <w:bdr w:val="none" w:sz="0" w:space="0" w:color="auto" w:frame="1"/>
          <w:shd w:val="clear" w:color="auto" w:fill="FFFFFF"/>
        </w:rPr>
        <w:t>www.linkedin.com/in/stevenseney</w:t>
      </w:r>
      <w:r>
        <w:rPr>
          <w:rStyle w:val="vanity-namedomain"/>
          <w:rFonts w:cs="Arial"/>
          <w:sz w:val="24"/>
          <w:u w:val="thick"/>
          <w:bdr w:val="none" w:sz="0" w:space="0" w:color="auto" w:frame="1"/>
          <w:shd w:val="clear" w:color="auto" w:fill="FFFFFF"/>
        </w:rPr>
        <w:t xml:space="preserve">         </w:t>
      </w:r>
    </w:p>
    <w:p w14:paraId="6407E476" w14:textId="77777777" w:rsidR="008375F8" w:rsidRPr="008375F8" w:rsidRDefault="008375F8" w:rsidP="008375F8">
      <w:r>
        <w:t xml:space="preserve">                                                                                                                                                                             </w:t>
      </w:r>
    </w:p>
    <w:p w14:paraId="1DD475BC" w14:textId="77777777" w:rsidR="00125C73" w:rsidRPr="00125C73" w:rsidRDefault="00125C73" w:rsidP="00125C73"/>
    <w:tbl>
      <w:tblPr>
        <w:tblW w:w="0" w:type="auto"/>
        <w:tblLook w:val="01E0" w:firstRow="1" w:lastRow="1" w:firstColumn="1" w:lastColumn="1" w:noHBand="0" w:noVBand="0"/>
      </w:tblPr>
      <w:tblGrid>
        <w:gridCol w:w="1390"/>
        <w:gridCol w:w="4170"/>
        <w:gridCol w:w="3800"/>
      </w:tblGrid>
      <w:tr w:rsidR="001D232F" w14:paraId="068016F0" w14:textId="77777777">
        <w:trPr>
          <w:trHeight w:val="840"/>
        </w:trPr>
        <w:tc>
          <w:tcPr>
            <w:tcW w:w="1390" w:type="dxa"/>
          </w:tcPr>
          <w:p w14:paraId="7AB5723A" w14:textId="77777777" w:rsidR="001D232F" w:rsidRDefault="001D232F">
            <w:pPr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O</w:t>
            </w:r>
            <w:r w:rsidR="00125C73">
              <w:rPr>
                <w:rFonts w:cs="Arial"/>
                <w:b/>
                <w:sz w:val="24"/>
              </w:rPr>
              <w:t>bj</w:t>
            </w:r>
            <w:r>
              <w:rPr>
                <w:rFonts w:cs="Arial"/>
                <w:b/>
                <w:sz w:val="24"/>
              </w:rPr>
              <w:t>ective</w:t>
            </w:r>
          </w:p>
        </w:tc>
        <w:tc>
          <w:tcPr>
            <w:tcW w:w="8186" w:type="dxa"/>
            <w:gridSpan w:val="2"/>
          </w:tcPr>
          <w:p w14:paraId="1DEC1F79" w14:textId="77777777" w:rsidR="001D232F" w:rsidRPr="00125C73" w:rsidRDefault="00125C73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Senior Program Manager developing SW applications for the aerospace industry </w:t>
            </w:r>
          </w:p>
        </w:tc>
      </w:tr>
      <w:tr w:rsidR="001D232F" w14:paraId="1F4B29CA" w14:textId="77777777">
        <w:tblPrEx>
          <w:tblLook w:val="0000" w:firstRow="0" w:lastRow="0" w:firstColumn="0" w:lastColumn="0" w:noHBand="0" w:noVBand="0"/>
        </w:tblPrEx>
        <w:trPr>
          <w:trHeight w:val="1400"/>
        </w:trPr>
        <w:tc>
          <w:tcPr>
            <w:tcW w:w="1390" w:type="dxa"/>
          </w:tcPr>
          <w:p w14:paraId="7AFCAE94" w14:textId="77777777" w:rsidR="001D232F" w:rsidRDefault="001D232F">
            <w:pPr>
              <w:tabs>
                <w:tab w:val="left" w:pos="720"/>
                <w:tab w:val="left" w:pos="5040"/>
              </w:tabs>
              <w:rPr>
                <w:rFonts w:cs="Arial"/>
                <w:b/>
                <w:sz w:val="24"/>
              </w:rPr>
            </w:pPr>
            <w:r>
              <w:rPr>
                <w:rFonts w:cs="Arial"/>
                <w:b/>
                <w:sz w:val="24"/>
              </w:rPr>
              <w:t>Summary</w:t>
            </w:r>
          </w:p>
        </w:tc>
        <w:tc>
          <w:tcPr>
            <w:tcW w:w="8186" w:type="dxa"/>
            <w:gridSpan w:val="2"/>
          </w:tcPr>
          <w:p w14:paraId="4AC26936" w14:textId="77777777" w:rsidR="001D232F" w:rsidRPr="00F60B04" w:rsidRDefault="00F60B04">
            <w:pPr>
              <w:tabs>
                <w:tab w:val="left" w:pos="720"/>
                <w:tab w:val="left" w:pos="5040"/>
              </w:tabs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Extensive experience in the development and management of complex aerospace SW and systems.</w:t>
            </w:r>
            <w:r w:rsidR="00841A60">
              <w:rPr>
                <w:rFonts w:cs="Arial"/>
                <w:sz w:val="24"/>
              </w:rPr>
              <w:t xml:space="preserve">  An experienced manager and communicator with proven technical, administrative, financial management and people strengths.  Engineering and management experience includes:</w:t>
            </w:r>
          </w:p>
        </w:tc>
      </w:tr>
      <w:tr w:rsidR="001D232F" w14:paraId="6D87E832" w14:textId="77777777">
        <w:tblPrEx>
          <w:tblLook w:val="0000" w:firstRow="0" w:lastRow="0" w:firstColumn="0" w:lastColumn="0" w:noHBand="0" w:noVBand="0"/>
        </w:tblPrEx>
        <w:tc>
          <w:tcPr>
            <w:tcW w:w="5688" w:type="dxa"/>
            <w:gridSpan w:val="2"/>
          </w:tcPr>
          <w:p w14:paraId="218EF6D0" w14:textId="77777777" w:rsidR="001D232F" w:rsidRPr="00B01469" w:rsidRDefault="00B01469" w:rsidP="002338F3">
            <w:pPr>
              <w:pStyle w:val="Heading1"/>
              <w:numPr>
                <w:ilvl w:val="0"/>
                <w:numId w:val="4"/>
              </w:numPr>
              <w:ind w:left="1800"/>
              <w:rPr>
                <w:rFonts w:cs="Arial"/>
                <w:i w:val="0"/>
                <w:sz w:val="24"/>
              </w:rPr>
            </w:pPr>
            <w:r w:rsidRPr="00B01469">
              <w:rPr>
                <w:rFonts w:cs="Arial"/>
                <w:i w:val="0"/>
                <w:sz w:val="24"/>
              </w:rPr>
              <w:t>SW Development Management</w:t>
            </w:r>
          </w:p>
        </w:tc>
        <w:tc>
          <w:tcPr>
            <w:tcW w:w="3888" w:type="dxa"/>
          </w:tcPr>
          <w:p w14:paraId="049F4788" w14:textId="77777777" w:rsidR="001D232F" w:rsidRPr="00B01469" w:rsidRDefault="00841A60">
            <w:pPr>
              <w:numPr>
                <w:ilvl w:val="0"/>
                <w:numId w:val="3"/>
              </w:numPr>
              <w:rPr>
                <w:rFonts w:cs="Arial"/>
                <w:sz w:val="24"/>
              </w:rPr>
            </w:pPr>
            <w:r w:rsidRPr="00B01469">
              <w:rPr>
                <w:rFonts w:cs="Arial"/>
                <w:sz w:val="24"/>
              </w:rPr>
              <w:t>Schedules Integration</w:t>
            </w:r>
          </w:p>
        </w:tc>
      </w:tr>
      <w:tr w:rsidR="001D232F" w14:paraId="2E1CD165" w14:textId="77777777">
        <w:tblPrEx>
          <w:tblLook w:val="0000" w:firstRow="0" w:lastRow="0" w:firstColumn="0" w:lastColumn="0" w:noHBand="0" w:noVBand="0"/>
        </w:tblPrEx>
        <w:tc>
          <w:tcPr>
            <w:tcW w:w="5688" w:type="dxa"/>
            <w:gridSpan w:val="2"/>
          </w:tcPr>
          <w:p w14:paraId="11E3C46C" w14:textId="77777777" w:rsidR="001D232F" w:rsidRDefault="00B01469" w:rsidP="002338F3">
            <w:pPr>
              <w:numPr>
                <w:ilvl w:val="0"/>
                <w:numId w:val="3"/>
              </w:numPr>
              <w:tabs>
                <w:tab w:val="clear" w:pos="720"/>
                <w:tab w:val="num" w:pos="1800"/>
              </w:tabs>
              <w:ind w:left="180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Systems Integration</w:t>
            </w:r>
          </w:p>
        </w:tc>
        <w:tc>
          <w:tcPr>
            <w:tcW w:w="3888" w:type="dxa"/>
          </w:tcPr>
          <w:p w14:paraId="69F31941" w14:textId="77777777" w:rsidR="001D232F" w:rsidRDefault="00841A60">
            <w:pPr>
              <w:numPr>
                <w:ilvl w:val="0"/>
                <w:numId w:val="3"/>
              </w:num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Metrics Development</w:t>
            </w:r>
          </w:p>
        </w:tc>
      </w:tr>
      <w:tr w:rsidR="001D232F" w14:paraId="1109ADD5" w14:textId="77777777">
        <w:tblPrEx>
          <w:tblLook w:val="0000" w:firstRow="0" w:lastRow="0" w:firstColumn="0" w:lastColumn="0" w:noHBand="0" w:noVBand="0"/>
        </w:tblPrEx>
        <w:tc>
          <w:tcPr>
            <w:tcW w:w="5688" w:type="dxa"/>
            <w:gridSpan w:val="2"/>
          </w:tcPr>
          <w:p w14:paraId="2299D00F" w14:textId="77777777" w:rsidR="001D232F" w:rsidRDefault="00841A60" w:rsidP="002338F3">
            <w:pPr>
              <w:numPr>
                <w:ilvl w:val="0"/>
                <w:numId w:val="3"/>
              </w:numPr>
              <w:tabs>
                <w:tab w:val="clear" w:pos="720"/>
                <w:tab w:val="left" w:pos="1800"/>
              </w:tabs>
              <w:ind w:left="180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Systems Evaluation</w:t>
            </w:r>
          </w:p>
        </w:tc>
        <w:tc>
          <w:tcPr>
            <w:tcW w:w="3888" w:type="dxa"/>
          </w:tcPr>
          <w:p w14:paraId="01CF840E" w14:textId="77777777" w:rsidR="001D232F" w:rsidRDefault="00C1605F">
            <w:pPr>
              <w:numPr>
                <w:ilvl w:val="0"/>
                <w:numId w:val="3"/>
              </w:num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SW Tools </w:t>
            </w:r>
            <w:r w:rsidR="00D00688">
              <w:rPr>
                <w:rFonts w:cs="Arial"/>
                <w:sz w:val="24"/>
              </w:rPr>
              <w:t>Development</w:t>
            </w:r>
          </w:p>
        </w:tc>
      </w:tr>
    </w:tbl>
    <w:p w14:paraId="3B5E8652" w14:textId="77777777" w:rsidR="001D232F" w:rsidRDefault="001D232F">
      <w:pPr>
        <w:rPr>
          <w:rFonts w:cs="Arial"/>
          <w:sz w:val="24"/>
        </w:rPr>
      </w:pPr>
    </w:p>
    <w:p w14:paraId="3453BC46" w14:textId="77777777" w:rsidR="001D232F" w:rsidRDefault="001D232F">
      <w:pPr>
        <w:pStyle w:val="Heading2"/>
        <w:rPr>
          <w:rFonts w:cs="Arial"/>
          <w:sz w:val="24"/>
        </w:rPr>
      </w:pPr>
      <w:r>
        <w:rPr>
          <w:rFonts w:cs="Arial"/>
          <w:sz w:val="24"/>
        </w:rPr>
        <w:t>Accomplishments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24"/>
        <w:gridCol w:w="7636"/>
      </w:tblGrid>
      <w:tr w:rsidR="001D232F" w:rsidRPr="00841A60" w14:paraId="7F53D1F4" w14:textId="77777777" w:rsidTr="00C1605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631" w:type="dxa"/>
          </w:tcPr>
          <w:p w14:paraId="0B6AA406" w14:textId="77777777" w:rsidR="001D232F" w:rsidRPr="008375F8" w:rsidRDefault="00B01469">
            <w:pPr>
              <w:pStyle w:val="Heading1"/>
              <w:rPr>
                <w:rFonts w:cs="Arial"/>
                <w:b/>
                <w:i w:val="0"/>
                <w:sz w:val="24"/>
              </w:rPr>
            </w:pPr>
            <w:r w:rsidRPr="008375F8">
              <w:rPr>
                <w:rFonts w:cs="Arial"/>
                <w:b/>
                <w:i w:val="0"/>
                <w:sz w:val="24"/>
              </w:rPr>
              <w:t>SW Development Management</w:t>
            </w:r>
          </w:p>
        </w:tc>
        <w:tc>
          <w:tcPr>
            <w:tcW w:w="7945" w:type="dxa"/>
          </w:tcPr>
          <w:p w14:paraId="15231E73" w14:textId="290B8688" w:rsidR="001D232F" w:rsidRPr="00841A60" w:rsidRDefault="00B01469" w:rsidP="009B3B0D">
            <w:pPr>
              <w:pStyle w:val="Heading1"/>
              <w:rPr>
                <w:rFonts w:cs="Arial"/>
                <w:i w:val="0"/>
                <w:sz w:val="24"/>
              </w:rPr>
            </w:pPr>
            <w:r>
              <w:rPr>
                <w:rFonts w:cs="Arial"/>
                <w:i w:val="0"/>
                <w:sz w:val="24"/>
              </w:rPr>
              <w:t>Managed the development of over 20 different SW baselines in both traditional and AGILE SW develo</w:t>
            </w:r>
            <w:r w:rsidR="009B3B0D">
              <w:rPr>
                <w:rFonts w:cs="Arial"/>
                <w:i w:val="0"/>
                <w:sz w:val="24"/>
              </w:rPr>
              <w:t>pment environments.  Developed new</w:t>
            </w:r>
            <w:r>
              <w:rPr>
                <w:rFonts w:cs="Arial"/>
                <w:i w:val="0"/>
                <w:sz w:val="24"/>
              </w:rPr>
              <w:t xml:space="preserve"> SW development environment reducing the development, integration, and fielding timelines of new applications from</w:t>
            </w:r>
            <w:r w:rsidR="00077C03">
              <w:rPr>
                <w:rFonts w:cs="Arial"/>
                <w:i w:val="0"/>
                <w:sz w:val="24"/>
              </w:rPr>
              <w:t xml:space="preserve"> </w:t>
            </w:r>
            <w:r>
              <w:rPr>
                <w:rFonts w:cs="Arial"/>
                <w:i w:val="0"/>
                <w:sz w:val="24"/>
              </w:rPr>
              <w:t>18 months to 6 months.</w:t>
            </w:r>
          </w:p>
        </w:tc>
      </w:tr>
      <w:tr w:rsidR="001D232F" w:rsidRPr="00841A60" w14:paraId="10E624B1" w14:textId="77777777" w:rsidTr="00C1605F">
        <w:tblPrEx>
          <w:tblCellMar>
            <w:top w:w="0" w:type="dxa"/>
            <w:bottom w:w="0" w:type="dxa"/>
          </w:tblCellMar>
        </w:tblPrEx>
        <w:tc>
          <w:tcPr>
            <w:tcW w:w="1631" w:type="dxa"/>
          </w:tcPr>
          <w:p w14:paraId="4DAA75FA" w14:textId="77777777" w:rsidR="001D232F" w:rsidRPr="00841A60" w:rsidRDefault="001D232F">
            <w:pPr>
              <w:rPr>
                <w:rFonts w:cs="Arial"/>
                <w:sz w:val="24"/>
              </w:rPr>
            </w:pPr>
          </w:p>
        </w:tc>
        <w:tc>
          <w:tcPr>
            <w:tcW w:w="7945" w:type="dxa"/>
          </w:tcPr>
          <w:p w14:paraId="1F7CC6DF" w14:textId="77777777" w:rsidR="001D232F" w:rsidRPr="00841A60" w:rsidRDefault="001D232F">
            <w:pPr>
              <w:rPr>
                <w:rFonts w:cs="Arial"/>
                <w:sz w:val="24"/>
              </w:rPr>
            </w:pPr>
          </w:p>
        </w:tc>
      </w:tr>
      <w:tr w:rsidR="001D232F" w:rsidRPr="00841A60" w14:paraId="34BD5389" w14:textId="77777777" w:rsidTr="00C1605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631" w:type="dxa"/>
          </w:tcPr>
          <w:p w14:paraId="681A5F4F" w14:textId="77777777" w:rsidR="001D232F" w:rsidRPr="008375F8" w:rsidRDefault="00B01469">
            <w:pPr>
              <w:rPr>
                <w:rFonts w:cs="Arial"/>
                <w:b/>
                <w:sz w:val="24"/>
              </w:rPr>
            </w:pPr>
            <w:r w:rsidRPr="008375F8">
              <w:rPr>
                <w:rFonts w:cs="Arial"/>
                <w:b/>
                <w:sz w:val="24"/>
              </w:rPr>
              <w:t>Systems Integration</w:t>
            </w:r>
          </w:p>
        </w:tc>
        <w:tc>
          <w:tcPr>
            <w:tcW w:w="7945" w:type="dxa"/>
          </w:tcPr>
          <w:p w14:paraId="56C73EB4" w14:textId="77777777" w:rsidR="001D232F" w:rsidRPr="00841A60" w:rsidRDefault="009B3B0D" w:rsidP="009B3B0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</w:t>
            </w:r>
            <w:r w:rsidR="00B01469">
              <w:rPr>
                <w:rFonts w:cs="Arial"/>
                <w:sz w:val="24"/>
              </w:rPr>
              <w:t>anaged two integration labs and 5 development labs to concurrently develop and integrate complex SW systems.  Developed an integrated SW Baseline tool to track all development and defects, reducing defect correction time by 15</w:t>
            </w:r>
            <w:r>
              <w:rPr>
                <w:rFonts w:cs="Arial"/>
                <w:sz w:val="24"/>
              </w:rPr>
              <w:t>%.</w:t>
            </w:r>
          </w:p>
        </w:tc>
      </w:tr>
      <w:tr w:rsidR="001D232F" w:rsidRPr="00841A60" w14:paraId="208F4258" w14:textId="77777777" w:rsidTr="00C1605F">
        <w:tblPrEx>
          <w:tblCellMar>
            <w:top w:w="0" w:type="dxa"/>
            <w:bottom w:w="0" w:type="dxa"/>
          </w:tblCellMar>
        </w:tblPrEx>
        <w:tc>
          <w:tcPr>
            <w:tcW w:w="1631" w:type="dxa"/>
          </w:tcPr>
          <w:p w14:paraId="5E3A87EF" w14:textId="77777777" w:rsidR="001D232F" w:rsidRPr="00841A60" w:rsidRDefault="001D232F">
            <w:pPr>
              <w:rPr>
                <w:rFonts w:cs="Arial"/>
                <w:sz w:val="24"/>
              </w:rPr>
            </w:pPr>
          </w:p>
        </w:tc>
        <w:tc>
          <w:tcPr>
            <w:tcW w:w="7945" w:type="dxa"/>
          </w:tcPr>
          <w:p w14:paraId="067DBB83" w14:textId="77777777" w:rsidR="001D232F" w:rsidRPr="00841A60" w:rsidRDefault="001D232F">
            <w:pPr>
              <w:rPr>
                <w:rFonts w:cs="Arial"/>
                <w:sz w:val="24"/>
              </w:rPr>
            </w:pPr>
          </w:p>
        </w:tc>
      </w:tr>
      <w:tr w:rsidR="001D232F" w:rsidRPr="00841A60" w14:paraId="004EA346" w14:textId="77777777" w:rsidTr="00C1605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631" w:type="dxa"/>
          </w:tcPr>
          <w:p w14:paraId="32F0F4D3" w14:textId="77777777" w:rsidR="001D232F" w:rsidRPr="008375F8" w:rsidRDefault="00C843F7">
            <w:pPr>
              <w:rPr>
                <w:rFonts w:cs="Arial"/>
                <w:b/>
                <w:sz w:val="24"/>
              </w:rPr>
            </w:pPr>
            <w:r w:rsidRPr="008375F8">
              <w:rPr>
                <w:rFonts w:cs="Arial"/>
                <w:b/>
                <w:sz w:val="24"/>
              </w:rPr>
              <w:t>Systems Evaluation</w:t>
            </w:r>
          </w:p>
        </w:tc>
        <w:tc>
          <w:tcPr>
            <w:tcW w:w="7945" w:type="dxa"/>
          </w:tcPr>
          <w:p w14:paraId="60ED07BC" w14:textId="004B99F2" w:rsidR="001D232F" w:rsidRPr="00841A60" w:rsidRDefault="00852BE6" w:rsidP="00852BE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Hands on experience evaluating complex systems and technical requirements to develop the most </w:t>
            </w:r>
            <w:proofErr w:type="gramStart"/>
            <w:r>
              <w:rPr>
                <w:rFonts w:cs="Arial"/>
                <w:sz w:val="24"/>
              </w:rPr>
              <w:t>cost effective</w:t>
            </w:r>
            <w:proofErr w:type="gramEnd"/>
            <w:r>
              <w:rPr>
                <w:rFonts w:cs="Arial"/>
                <w:sz w:val="24"/>
              </w:rPr>
              <w:t xml:space="preserve"> solutions.  Developed the concept for a new</w:t>
            </w:r>
            <w:r w:rsidR="00077C03">
              <w:rPr>
                <w:rFonts w:cs="Arial"/>
                <w:sz w:val="24"/>
              </w:rPr>
              <w:t xml:space="preserve"> RF</w:t>
            </w:r>
            <w:r>
              <w:rPr>
                <w:rFonts w:cs="Arial"/>
                <w:sz w:val="24"/>
              </w:rPr>
              <w:t xml:space="preserve"> countermeasures pod; creating a solution that was developed for 20% of the normal acquisition costs </w:t>
            </w:r>
            <w:r w:rsidR="00C1605F">
              <w:rPr>
                <w:rFonts w:cs="Arial"/>
                <w:sz w:val="24"/>
              </w:rPr>
              <w:t>and capable of being fielded without needing another SW integration effort.</w:t>
            </w:r>
          </w:p>
        </w:tc>
      </w:tr>
      <w:tr w:rsidR="001D232F" w:rsidRPr="00841A60" w14:paraId="1B1648BE" w14:textId="77777777" w:rsidTr="00C1605F">
        <w:tblPrEx>
          <w:tblCellMar>
            <w:top w:w="0" w:type="dxa"/>
            <w:bottom w:w="0" w:type="dxa"/>
          </w:tblCellMar>
        </w:tblPrEx>
        <w:tc>
          <w:tcPr>
            <w:tcW w:w="1631" w:type="dxa"/>
          </w:tcPr>
          <w:p w14:paraId="63DA5E17" w14:textId="77777777" w:rsidR="001D232F" w:rsidRPr="00841A60" w:rsidRDefault="001D232F">
            <w:pPr>
              <w:rPr>
                <w:rFonts w:cs="Arial"/>
                <w:sz w:val="24"/>
              </w:rPr>
            </w:pPr>
          </w:p>
        </w:tc>
        <w:tc>
          <w:tcPr>
            <w:tcW w:w="7945" w:type="dxa"/>
          </w:tcPr>
          <w:p w14:paraId="4B5871E5" w14:textId="77777777" w:rsidR="001D232F" w:rsidRPr="00841A60" w:rsidRDefault="001D232F">
            <w:pPr>
              <w:rPr>
                <w:rFonts w:cs="Arial"/>
                <w:sz w:val="24"/>
              </w:rPr>
            </w:pPr>
          </w:p>
        </w:tc>
      </w:tr>
      <w:tr w:rsidR="001D232F" w:rsidRPr="00841A60" w14:paraId="277470FA" w14:textId="77777777" w:rsidTr="00C1605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631" w:type="dxa"/>
          </w:tcPr>
          <w:p w14:paraId="40F15FBD" w14:textId="77777777" w:rsidR="001D232F" w:rsidRPr="008375F8" w:rsidRDefault="00F60B04">
            <w:pPr>
              <w:rPr>
                <w:rFonts w:cs="Arial"/>
                <w:b/>
                <w:sz w:val="24"/>
              </w:rPr>
            </w:pPr>
            <w:r w:rsidRPr="008375F8">
              <w:rPr>
                <w:rFonts w:cs="Arial"/>
                <w:b/>
                <w:sz w:val="24"/>
              </w:rPr>
              <w:t>Schedules Integration</w:t>
            </w:r>
          </w:p>
        </w:tc>
        <w:tc>
          <w:tcPr>
            <w:tcW w:w="7945" w:type="dxa"/>
          </w:tcPr>
          <w:p w14:paraId="06F2B0C7" w14:textId="77777777" w:rsidR="001D232F" w:rsidRPr="00841A60" w:rsidRDefault="00852BE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Lead a </w:t>
            </w:r>
            <w:proofErr w:type="gramStart"/>
            <w:r>
              <w:rPr>
                <w:rFonts w:cs="Arial"/>
                <w:sz w:val="24"/>
              </w:rPr>
              <w:t>20 person</w:t>
            </w:r>
            <w:proofErr w:type="gramEnd"/>
            <w:r>
              <w:rPr>
                <w:rFonts w:cs="Arial"/>
                <w:sz w:val="24"/>
              </w:rPr>
              <w:t xml:space="preserve"> team evaluating all schedules from all vendors for a complex unmanned aerial vehicle acquisition.  Reduced the source</w:t>
            </w:r>
            <w:r w:rsidR="00D00688">
              <w:rPr>
                <w:rFonts w:cs="Arial"/>
                <w:sz w:val="24"/>
              </w:rPr>
              <w:t xml:space="preserve"> </w:t>
            </w:r>
            <w:r>
              <w:rPr>
                <w:rFonts w:cs="Arial"/>
                <w:sz w:val="24"/>
              </w:rPr>
              <w:t>selection evaluation timeline for the Technical Schedule sub</w:t>
            </w:r>
            <w:r w:rsidR="00D00688">
              <w:rPr>
                <w:rFonts w:cs="Arial"/>
                <w:sz w:val="24"/>
              </w:rPr>
              <w:t>-</w:t>
            </w:r>
            <w:r>
              <w:rPr>
                <w:rFonts w:cs="Arial"/>
                <w:sz w:val="24"/>
              </w:rPr>
              <w:t>factor by 50%.</w:t>
            </w:r>
          </w:p>
        </w:tc>
      </w:tr>
      <w:tr w:rsidR="001D232F" w:rsidRPr="00841A60" w14:paraId="11C06379" w14:textId="77777777" w:rsidTr="00C1605F">
        <w:tblPrEx>
          <w:tblCellMar>
            <w:top w:w="0" w:type="dxa"/>
            <w:bottom w:w="0" w:type="dxa"/>
          </w:tblCellMar>
        </w:tblPrEx>
        <w:tc>
          <w:tcPr>
            <w:tcW w:w="1631" w:type="dxa"/>
          </w:tcPr>
          <w:p w14:paraId="391EE084" w14:textId="77777777" w:rsidR="001D232F" w:rsidRPr="00841A60" w:rsidRDefault="001D232F">
            <w:pPr>
              <w:rPr>
                <w:rFonts w:cs="Arial"/>
                <w:sz w:val="24"/>
              </w:rPr>
            </w:pPr>
          </w:p>
        </w:tc>
        <w:tc>
          <w:tcPr>
            <w:tcW w:w="7945" w:type="dxa"/>
          </w:tcPr>
          <w:p w14:paraId="7097FC8B" w14:textId="77777777" w:rsidR="00D00688" w:rsidRPr="00841A60" w:rsidRDefault="00D00688">
            <w:pPr>
              <w:rPr>
                <w:rFonts w:cs="Arial"/>
                <w:sz w:val="24"/>
              </w:rPr>
            </w:pPr>
          </w:p>
        </w:tc>
      </w:tr>
      <w:tr w:rsidR="00D00688" w:rsidRPr="00841A60" w14:paraId="0C0B8E9A" w14:textId="77777777" w:rsidTr="00C1605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631" w:type="dxa"/>
          </w:tcPr>
          <w:p w14:paraId="1CB4DFEB" w14:textId="77777777" w:rsidR="00D00688" w:rsidRPr="008375F8" w:rsidRDefault="00D00688" w:rsidP="00D00688">
            <w:pPr>
              <w:rPr>
                <w:rFonts w:cs="Arial"/>
                <w:b/>
                <w:sz w:val="24"/>
              </w:rPr>
            </w:pPr>
            <w:r w:rsidRPr="008375F8">
              <w:rPr>
                <w:rFonts w:cs="Arial"/>
                <w:b/>
                <w:sz w:val="24"/>
              </w:rPr>
              <w:t>Metrics Development</w:t>
            </w:r>
          </w:p>
        </w:tc>
        <w:tc>
          <w:tcPr>
            <w:tcW w:w="7945" w:type="dxa"/>
          </w:tcPr>
          <w:p w14:paraId="61FEEE5F" w14:textId="77777777" w:rsidR="00D00688" w:rsidRPr="00841A60" w:rsidRDefault="00D00688" w:rsidP="00D006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Implemented a new integrated SW metrics package that allowed for progress comparisons between the newly implemented AGILE SW development environment and the performance on the prior waterfall SW development methodology; allowed for immediate notification of development challenges and highlighted which team was under resourced to execute to the required schedule.</w:t>
            </w:r>
          </w:p>
        </w:tc>
      </w:tr>
      <w:tr w:rsidR="00D00688" w:rsidRPr="00841A60" w14:paraId="36EA9A42" w14:textId="77777777" w:rsidTr="001B7F1B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2"/>
          </w:tcPr>
          <w:p w14:paraId="326A667D" w14:textId="77777777" w:rsidR="00D00688" w:rsidRPr="00841A60" w:rsidRDefault="00D00688" w:rsidP="00D00688">
            <w:pPr>
              <w:rPr>
                <w:rFonts w:cs="Arial"/>
                <w:sz w:val="24"/>
              </w:rPr>
            </w:pPr>
          </w:p>
        </w:tc>
      </w:tr>
      <w:tr w:rsidR="00D00688" w:rsidRPr="00841A60" w14:paraId="3A46D385" w14:textId="77777777" w:rsidTr="00C1605F">
        <w:tblPrEx>
          <w:tblCellMar>
            <w:top w:w="0" w:type="dxa"/>
            <w:bottom w:w="0" w:type="dxa"/>
          </w:tblCellMar>
        </w:tblPrEx>
        <w:tc>
          <w:tcPr>
            <w:tcW w:w="1631" w:type="dxa"/>
          </w:tcPr>
          <w:p w14:paraId="612CAF70" w14:textId="77777777" w:rsidR="00D00688" w:rsidRPr="00841A60" w:rsidRDefault="00D00688" w:rsidP="00D00688">
            <w:pPr>
              <w:rPr>
                <w:rFonts w:cs="Arial"/>
                <w:sz w:val="24"/>
              </w:rPr>
            </w:pPr>
          </w:p>
        </w:tc>
        <w:tc>
          <w:tcPr>
            <w:tcW w:w="7945" w:type="dxa"/>
          </w:tcPr>
          <w:p w14:paraId="0A53573F" w14:textId="77777777" w:rsidR="00D00688" w:rsidRPr="00841A60" w:rsidRDefault="00D00688" w:rsidP="00D00688">
            <w:pPr>
              <w:rPr>
                <w:rFonts w:cs="Arial"/>
                <w:sz w:val="24"/>
              </w:rPr>
            </w:pPr>
          </w:p>
        </w:tc>
      </w:tr>
      <w:tr w:rsidR="009B3B0D" w:rsidRPr="00841A60" w14:paraId="4A08BA7B" w14:textId="77777777" w:rsidTr="001B7F1B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9576" w:type="dxa"/>
            <w:gridSpan w:val="2"/>
          </w:tcPr>
          <w:p w14:paraId="4A2D61AB" w14:textId="77777777" w:rsidR="009B3B0D" w:rsidRDefault="009B3B0D" w:rsidP="00D006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Steven D Seney Jr                                                                                           Page 2</w:t>
            </w:r>
          </w:p>
        </w:tc>
      </w:tr>
      <w:tr w:rsidR="00D00688" w:rsidRPr="00841A60" w14:paraId="345631F4" w14:textId="77777777" w:rsidTr="00C1605F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1631" w:type="dxa"/>
          </w:tcPr>
          <w:p w14:paraId="4BE6E6F6" w14:textId="77777777" w:rsidR="00D00688" w:rsidRPr="008375F8" w:rsidRDefault="00D00688" w:rsidP="00D00688">
            <w:pPr>
              <w:rPr>
                <w:rFonts w:cs="Arial"/>
                <w:b/>
                <w:sz w:val="24"/>
              </w:rPr>
            </w:pPr>
            <w:r w:rsidRPr="008375F8">
              <w:rPr>
                <w:rFonts w:cs="Arial"/>
                <w:b/>
                <w:sz w:val="24"/>
              </w:rPr>
              <w:t>SW Tools Development</w:t>
            </w:r>
          </w:p>
        </w:tc>
        <w:tc>
          <w:tcPr>
            <w:tcW w:w="7945" w:type="dxa"/>
          </w:tcPr>
          <w:p w14:paraId="743742E1" w14:textId="77777777" w:rsidR="00D00688" w:rsidRDefault="00D00688" w:rsidP="00D0068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Utilized database SW to develop new integrated Flight Clearance and Operating Limits databases allowing for transition of the management of aircraft configurations and limits to internal tools, saving over $300k annually.</w:t>
            </w:r>
          </w:p>
          <w:p w14:paraId="070DB7F0" w14:textId="77777777" w:rsidR="00D00688" w:rsidRPr="00841A60" w:rsidRDefault="00D00688" w:rsidP="00D00688">
            <w:pPr>
              <w:rPr>
                <w:rFonts w:cs="Arial"/>
                <w:sz w:val="24"/>
              </w:rPr>
            </w:pPr>
          </w:p>
        </w:tc>
      </w:tr>
    </w:tbl>
    <w:p w14:paraId="69C72738" w14:textId="77777777" w:rsidR="001D232F" w:rsidRDefault="00C1605F">
      <w:pPr>
        <w:tabs>
          <w:tab w:val="right" w:pos="9360"/>
        </w:tabs>
        <w:rPr>
          <w:rFonts w:cs="Arial"/>
          <w:i/>
          <w:iCs/>
          <w:sz w:val="24"/>
        </w:rPr>
      </w:pPr>
      <w:r>
        <w:rPr>
          <w:rFonts w:cs="Arial"/>
          <w:b/>
          <w:iCs/>
          <w:sz w:val="24"/>
        </w:rPr>
        <w:t xml:space="preserve"> </w:t>
      </w:r>
      <w:r w:rsidR="001D232F">
        <w:rPr>
          <w:rFonts w:cs="Arial"/>
          <w:b/>
          <w:iCs/>
          <w:sz w:val="24"/>
        </w:rPr>
        <w:t>Work History</w:t>
      </w:r>
      <w:r w:rsidR="001D232F">
        <w:rPr>
          <w:rFonts w:cs="Arial"/>
          <w:i/>
          <w:iCs/>
          <w:sz w:val="24"/>
        </w:rPr>
        <w:tab/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5"/>
        <w:gridCol w:w="5487"/>
        <w:gridCol w:w="2230"/>
      </w:tblGrid>
      <w:tr w:rsidR="001D232F" w14:paraId="3D1A6D01" w14:textId="77777777" w:rsidTr="00077C03">
        <w:tblPrEx>
          <w:tblCellMar>
            <w:top w:w="0" w:type="dxa"/>
            <w:bottom w:w="0" w:type="dxa"/>
          </w:tblCellMar>
        </w:tblPrEx>
        <w:tc>
          <w:tcPr>
            <w:tcW w:w="7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8776C" w14:textId="77777777" w:rsidR="001D232F" w:rsidRPr="00395C03" w:rsidRDefault="00395C03" w:rsidP="009B3B0D">
            <w:pPr>
              <w:pStyle w:val="Heading3"/>
              <w:rPr>
                <w:i w:val="0"/>
              </w:rPr>
            </w:pPr>
            <w:r>
              <w:rPr>
                <w:b/>
                <w:i w:val="0"/>
              </w:rPr>
              <w:t xml:space="preserve">PMA-290 - </w:t>
            </w:r>
            <w:r w:rsidR="00D23C2E" w:rsidRPr="00395C03">
              <w:rPr>
                <w:b/>
                <w:i w:val="0"/>
              </w:rPr>
              <w:t>P-8A Developmental Chief Engineer.</w:t>
            </w:r>
            <w:r w:rsidR="00D23C2E" w:rsidRPr="00395C03">
              <w:rPr>
                <w:i w:val="0"/>
              </w:rPr>
              <w:t xml:space="preserve">  Leading a team of over 200 engineers on all engineering efforts covering </w:t>
            </w:r>
            <w:r w:rsidRPr="00395C03">
              <w:rPr>
                <w:i w:val="0"/>
              </w:rPr>
              <w:t>everything from</w:t>
            </w:r>
            <w:r w:rsidR="009B3B0D">
              <w:rPr>
                <w:i w:val="0"/>
              </w:rPr>
              <w:t xml:space="preserve"> production to</w:t>
            </w:r>
            <w:r w:rsidRPr="00395C03">
              <w:rPr>
                <w:i w:val="0"/>
              </w:rPr>
              <w:t xml:space="preserve"> in-service sustainment to SW Development to new Science and Technology efforts</w:t>
            </w:r>
            <w:r w:rsidR="00FE0E38">
              <w:rPr>
                <w:i w:val="0"/>
              </w:rPr>
              <w:t xml:space="preserve"> with a combined </w:t>
            </w:r>
            <w:proofErr w:type="gramStart"/>
            <w:r w:rsidR="009B3B0D">
              <w:rPr>
                <w:i w:val="0"/>
              </w:rPr>
              <w:t>$1 billion</w:t>
            </w:r>
            <w:r w:rsidR="00FE0E38">
              <w:rPr>
                <w:i w:val="0"/>
              </w:rPr>
              <w:t xml:space="preserve"> dollar</w:t>
            </w:r>
            <w:proofErr w:type="gramEnd"/>
            <w:r w:rsidR="00FE0E38">
              <w:rPr>
                <w:i w:val="0"/>
              </w:rPr>
              <w:t xml:space="preserve"> annual budget</w:t>
            </w:r>
            <w:r w:rsidRPr="00395C03">
              <w:rPr>
                <w:i w:val="0"/>
              </w:rPr>
              <w:t xml:space="preserve">.  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14:paraId="494A292D" w14:textId="77777777" w:rsidR="001D232F" w:rsidRDefault="00D23C2E">
            <w:pPr>
              <w:rPr>
                <w:rFonts w:cs="Arial"/>
                <w:i/>
                <w:iCs/>
                <w:sz w:val="24"/>
              </w:rPr>
            </w:pPr>
            <w:r>
              <w:rPr>
                <w:rFonts w:cs="Arial"/>
                <w:i/>
                <w:iCs/>
                <w:sz w:val="24"/>
              </w:rPr>
              <w:t>2018-202</w:t>
            </w:r>
            <w:r w:rsidR="00680C9A">
              <w:rPr>
                <w:rFonts w:cs="Arial"/>
                <w:i/>
                <w:iCs/>
                <w:sz w:val="24"/>
              </w:rPr>
              <w:t>1</w:t>
            </w:r>
          </w:p>
        </w:tc>
      </w:tr>
      <w:tr w:rsidR="00395C03" w14:paraId="1328A6A7" w14:textId="77777777" w:rsidTr="00077C03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7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4880B" w14:textId="77777777" w:rsidR="00FE0E38" w:rsidRDefault="00FE0E38" w:rsidP="00FE0E38">
            <w:pPr>
              <w:rPr>
                <w:rFonts w:cs="Arial"/>
                <w:b/>
                <w:sz w:val="24"/>
              </w:rPr>
            </w:pPr>
          </w:p>
          <w:p w14:paraId="2973EF2E" w14:textId="77777777" w:rsidR="00395C03" w:rsidRDefault="003E36AF" w:rsidP="00D00688">
            <w:pPr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t>PMA-268</w:t>
            </w:r>
            <w:r w:rsidR="00395C03">
              <w:rPr>
                <w:rFonts w:cs="Arial"/>
                <w:b/>
                <w:sz w:val="24"/>
              </w:rPr>
              <w:t xml:space="preserve"> - </w:t>
            </w:r>
            <w:r w:rsidR="00395C03" w:rsidRPr="00395C03">
              <w:rPr>
                <w:rFonts w:cs="Arial"/>
                <w:b/>
                <w:sz w:val="24"/>
              </w:rPr>
              <w:t>Assi</w:t>
            </w:r>
            <w:r w:rsidR="00395C03">
              <w:rPr>
                <w:rFonts w:cs="Arial"/>
                <w:b/>
                <w:sz w:val="24"/>
              </w:rPr>
              <w:t>s</w:t>
            </w:r>
            <w:r w:rsidR="00395C03" w:rsidRPr="00395C03">
              <w:rPr>
                <w:rFonts w:cs="Arial"/>
                <w:b/>
                <w:sz w:val="24"/>
              </w:rPr>
              <w:t>tant Program Manager for Systems Engineering.</w:t>
            </w:r>
            <w:r w:rsidR="00395C03">
              <w:rPr>
                <w:rFonts w:cs="Arial"/>
                <w:sz w:val="24"/>
              </w:rPr>
              <w:t xml:space="preserve">  Oversaw the systems engineering efforts for the MQ-25 unmanned aerial vehicle and MD-5 Ground Control Station.  </w:t>
            </w:r>
            <w:r w:rsidR="00FE0E38">
              <w:rPr>
                <w:rFonts w:cs="Arial"/>
                <w:sz w:val="24"/>
              </w:rPr>
              <w:t xml:space="preserve">Managed </w:t>
            </w:r>
            <w:r w:rsidR="00D00688">
              <w:rPr>
                <w:rFonts w:cs="Arial"/>
                <w:sz w:val="24"/>
              </w:rPr>
              <w:t xml:space="preserve">all systems engineering in the </w:t>
            </w:r>
            <w:r w:rsidR="00FE0E38">
              <w:rPr>
                <w:rFonts w:cs="Arial"/>
                <w:sz w:val="24"/>
              </w:rPr>
              <w:t>d</w:t>
            </w:r>
            <w:r w:rsidR="00395C03">
              <w:rPr>
                <w:rFonts w:cs="Arial"/>
                <w:sz w:val="24"/>
              </w:rPr>
              <w:t>evelop</w:t>
            </w:r>
            <w:r w:rsidR="00FE0E38">
              <w:rPr>
                <w:rFonts w:cs="Arial"/>
                <w:sz w:val="24"/>
              </w:rPr>
              <w:t>ment of</w:t>
            </w:r>
            <w:r w:rsidR="00395C03">
              <w:rPr>
                <w:rFonts w:cs="Arial"/>
                <w:sz w:val="24"/>
              </w:rPr>
              <w:t xml:space="preserve"> the </w:t>
            </w:r>
            <w:r w:rsidR="00D00688">
              <w:rPr>
                <w:rFonts w:cs="Arial"/>
                <w:sz w:val="24"/>
              </w:rPr>
              <w:t xml:space="preserve">MQ-25 unmanned aerial vehicle and </w:t>
            </w:r>
            <w:r w:rsidR="00FE0E38">
              <w:rPr>
                <w:rFonts w:cs="Arial"/>
                <w:sz w:val="24"/>
              </w:rPr>
              <w:t>SW for the ground control station</w:t>
            </w:r>
            <w:r w:rsidR="00D00688">
              <w:rPr>
                <w:rFonts w:cs="Arial"/>
                <w:sz w:val="24"/>
              </w:rPr>
              <w:t>.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14:paraId="5FAB81BD" w14:textId="77777777" w:rsidR="00FE0E38" w:rsidRDefault="00FE0E38" w:rsidP="00395C03">
            <w:pPr>
              <w:rPr>
                <w:rFonts w:cs="Arial"/>
                <w:i/>
                <w:iCs/>
                <w:sz w:val="24"/>
              </w:rPr>
            </w:pPr>
          </w:p>
          <w:p w14:paraId="519D1B2E" w14:textId="77777777" w:rsidR="00395C03" w:rsidRDefault="00395C03" w:rsidP="00395C03">
            <w:pPr>
              <w:rPr>
                <w:rFonts w:cs="Arial"/>
                <w:i/>
                <w:iCs/>
                <w:sz w:val="24"/>
              </w:rPr>
            </w:pPr>
            <w:r>
              <w:rPr>
                <w:rFonts w:cs="Arial"/>
                <w:i/>
                <w:iCs/>
                <w:sz w:val="24"/>
              </w:rPr>
              <w:t>2016-2018</w:t>
            </w:r>
          </w:p>
        </w:tc>
      </w:tr>
      <w:tr w:rsidR="003E36AF" w14:paraId="1E0AB969" w14:textId="77777777" w:rsidTr="00077C03">
        <w:tblPrEx>
          <w:tblCellMar>
            <w:top w:w="0" w:type="dxa"/>
            <w:bottom w:w="0" w:type="dxa"/>
          </w:tblCellMar>
        </w:tblPrEx>
        <w:tc>
          <w:tcPr>
            <w:tcW w:w="7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E2093" w14:textId="77777777" w:rsidR="003E36AF" w:rsidRDefault="003E36AF" w:rsidP="003E36AF">
            <w:pPr>
              <w:pStyle w:val="Heading1"/>
              <w:rPr>
                <w:rFonts w:cs="Arial"/>
                <w:sz w:val="24"/>
              </w:rPr>
            </w:pPr>
          </w:p>
          <w:p w14:paraId="7C845AF3" w14:textId="77777777" w:rsidR="003E36AF" w:rsidRDefault="003E36AF" w:rsidP="003E36AF">
            <w:pPr>
              <w:pStyle w:val="Heading1"/>
              <w:rPr>
                <w:rFonts w:cs="Arial"/>
                <w:i w:val="0"/>
                <w:sz w:val="24"/>
              </w:rPr>
            </w:pPr>
            <w:r w:rsidRPr="00395C03">
              <w:rPr>
                <w:rFonts w:cs="Arial"/>
                <w:b/>
                <w:i w:val="0"/>
                <w:sz w:val="24"/>
              </w:rPr>
              <w:t>PMA-262 – Deputy Development Product Team Lead</w:t>
            </w:r>
            <w:r>
              <w:rPr>
                <w:rFonts w:cs="Arial"/>
                <w:b/>
                <w:i w:val="0"/>
                <w:sz w:val="24"/>
              </w:rPr>
              <w:t xml:space="preserve">.  </w:t>
            </w:r>
            <w:r>
              <w:rPr>
                <w:rFonts w:cs="Arial"/>
                <w:i w:val="0"/>
                <w:sz w:val="24"/>
              </w:rPr>
              <w:t xml:space="preserve">Lead an over </w:t>
            </w:r>
            <w:proofErr w:type="gramStart"/>
            <w:r>
              <w:rPr>
                <w:rFonts w:cs="Arial"/>
                <w:i w:val="0"/>
                <w:sz w:val="24"/>
              </w:rPr>
              <w:t>800 person</w:t>
            </w:r>
            <w:proofErr w:type="gramEnd"/>
            <w:r>
              <w:rPr>
                <w:rFonts w:cs="Arial"/>
                <w:i w:val="0"/>
                <w:sz w:val="24"/>
              </w:rPr>
              <w:t xml:space="preserve"> combined Government and Contract team on the development of the MQ-4C unmanned aerial vehicle, a SW intensive effort.  Development efforts spanned over 5 major vendors and </w:t>
            </w:r>
            <w:proofErr w:type="spellStart"/>
            <w:r>
              <w:rPr>
                <w:rFonts w:cs="Arial"/>
                <w:i w:val="0"/>
                <w:sz w:val="24"/>
              </w:rPr>
              <w:t>subvendors</w:t>
            </w:r>
            <w:proofErr w:type="spellEnd"/>
            <w:r>
              <w:rPr>
                <w:rFonts w:cs="Arial"/>
                <w:i w:val="0"/>
                <w:sz w:val="24"/>
              </w:rPr>
              <w:t xml:space="preserve"> with a total budget in excess of $5 billion dollars.</w:t>
            </w:r>
          </w:p>
          <w:p w14:paraId="7CA21B47" w14:textId="77777777" w:rsidR="003E36AF" w:rsidRDefault="003E36AF" w:rsidP="003E36AF"/>
          <w:p w14:paraId="71FD6E7F" w14:textId="77777777" w:rsidR="003E36AF" w:rsidRDefault="003E36AF" w:rsidP="003E36AF">
            <w:pPr>
              <w:pStyle w:val="Heading1"/>
              <w:rPr>
                <w:rFonts w:cs="Arial"/>
                <w:i w:val="0"/>
                <w:sz w:val="24"/>
              </w:rPr>
            </w:pPr>
            <w:r w:rsidRPr="00395C03">
              <w:rPr>
                <w:rFonts w:cs="Arial"/>
                <w:b/>
                <w:i w:val="0"/>
                <w:sz w:val="24"/>
              </w:rPr>
              <w:t xml:space="preserve">PMA-262 – </w:t>
            </w:r>
            <w:r>
              <w:rPr>
                <w:rFonts w:cs="Arial"/>
                <w:b/>
                <w:i w:val="0"/>
                <w:sz w:val="24"/>
              </w:rPr>
              <w:t xml:space="preserve">Software Product </w:t>
            </w:r>
            <w:r w:rsidRPr="00395C03">
              <w:rPr>
                <w:rFonts w:cs="Arial"/>
                <w:b/>
                <w:i w:val="0"/>
                <w:sz w:val="24"/>
              </w:rPr>
              <w:t>Team Lead</w:t>
            </w:r>
            <w:r>
              <w:rPr>
                <w:rFonts w:cs="Arial"/>
                <w:b/>
                <w:i w:val="0"/>
                <w:sz w:val="24"/>
              </w:rPr>
              <w:t xml:space="preserve">.  </w:t>
            </w:r>
            <w:r>
              <w:rPr>
                <w:rFonts w:cs="Arial"/>
                <w:i w:val="0"/>
                <w:sz w:val="24"/>
              </w:rPr>
              <w:t xml:space="preserve">Lead an over </w:t>
            </w:r>
            <w:proofErr w:type="gramStart"/>
            <w:r>
              <w:rPr>
                <w:rFonts w:cs="Arial"/>
                <w:i w:val="0"/>
                <w:sz w:val="24"/>
              </w:rPr>
              <w:t>300 person</w:t>
            </w:r>
            <w:proofErr w:type="gramEnd"/>
            <w:r>
              <w:rPr>
                <w:rFonts w:cs="Arial"/>
                <w:i w:val="0"/>
                <w:sz w:val="24"/>
              </w:rPr>
              <w:t xml:space="preserve"> combined Government and Contract team on the development of the MQ-4C unmanned aerial vehicle SW.  Development efforts spanned 5 major vendors and </w:t>
            </w:r>
            <w:proofErr w:type="spellStart"/>
            <w:r>
              <w:rPr>
                <w:rFonts w:cs="Arial"/>
                <w:i w:val="0"/>
                <w:sz w:val="24"/>
              </w:rPr>
              <w:t>subvendors</w:t>
            </w:r>
            <w:proofErr w:type="spellEnd"/>
            <w:r>
              <w:rPr>
                <w:rFonts w:cs="Arial"/>
                <w:i w:val="0"/>
                <w:sz w:val="24"/>
              </w:rPr>
              <w:t xml:space="preserve"> with a total budget in excess of $400 million dollars.</w:t>
            </w:r>
          </w:p>
          <w:p w14:paraId="2284FA25" w14:textId="77777777" w:rsidR="003E36AF" w:rsidRDefault="003E36AF" w:rsidP="003E36AF"/>
          <w:p w14:paraId="627D2898" w14:textId="77777777" w:rsidR="003E36AF" w:rsidRPr="003E36AF" w:rsidRDefault="003E36AF" w:rsidP="003E36AF">
            <w:r w:rsidRPr="003E36AF">
              <w:rPr>
                <w:b/>
              </w:rPr>
              <w:t xml:space="preserve">Navy Personnel Command – Enlisted </w:t>
            </w:r>
            <w:r>
              <w:rPr>
                <w:b/>
              </w:rPr>
              <w:t>Aviation Branch</w:t>
            </w:r>
            <w:r w:rsidRPr="003E36AF">
              <w:rPr>
                <w:b/>
              </w:rPr>
              <w:t xml:space="preserve"> Head.</w:t>
            </w:r>
            <w:r>
              <w:t xml:space="preserve">  Lead a </w:t>
            </w:r>
            <w:proofErr w:type="gramStart"/>
            <w:r>
              <w:t>30 person</w:t>
            </w:r>
            <w:proofErr w:type="gramEnd"/>
            <w:r>
              <w:t xml:space="preserve"> division in the staffing of all Naval aviation squadrons.  Lead the creation and filling of all manning requirements and team reorganizations based on operational needs of the organization.</w:t>
            </w:r>
          </w:p>
          <w:p w14:paraId="768B302C" w14:textId="77777777" w:rsidR="003E36AF" w:rsidRPr="00D00688" w:rsidRDefault="003E36AF" w:rsidP="003E36AF"/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</w:tcPr>
          <w:p w14:paraId="54C409D6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7FBA2856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  <w:r>
              <w:rPr>
                <w:rFonts w:cs="Arial"/>
                <w:i/>
                <w:iCs/>
                <w:sz w:val="24"/>
              </w:rPr>
              <w:t>2014-2016</w:t>
            </w:r>
          </w:p>
          <w:p w14:paraId="23AA6407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5ACC32E3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66C92034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4CE560C1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16BD9B3E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02F945CF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2FF7D717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  <w:r>
              <w:rPr>
                <w:rFonts w:cs="Arial"/>
                <w:i/>
                <w:iCs/>
                <w:sz w:val="24"/>
              </w:rPr>
              <w:t>2011-2014</w:t>
            </w:r>
          </w:p>
          <w:p w14:paraId="52034C5F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6395C023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02F8E093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20CC236C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5277ACAB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</w:p>
          <w:p w14:paraId="54280312" w14:textId="77777777" w:rsidR="003E36AF" w:rsidRDefault="003E36AF" w:rsidP="003E36AF">
            <w:pPr>
              <w:rPr>
                <w:rFonts w:cs="Arial"/>
                <w:i/>
                <w:iCs/>
                <w:sz w:val="24"/>
              </w:rPr>
            </w:pPr>
            <w:r>
              <w:rPr>
                <w:rFonts w:cs="Arial"/>
                <w:i/>
                <w:iCs/>
                <w:sz w:val="24"/>
              </w:rPr>
              <w:t>2009-2011</w:t>
            </w:r>
          </w:p>
        </w:tc>
      </w:tr>
      <w:tr w:rsidR="003E36AF" w14:paraId="360A0CE4" w14:textId="77777777" w:rsidTr="00077C03">
        <w:tblPrEx>
          <w:tblCellMar>
            <w:top w:w="0" w:type="dxa"/>
            <w:bottom w:w="0" w:type="dxa"/>
          </w:tblCellMar>
        </w:tblPrEx>
        <w:trPr>
          <w:cantSplit/>
          <w:trHeight w:val="1110"/>
        </w:trPr>
        <w:tc>
          <w:tcPr>
            <w:tcW w:w="95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77ABE4" w14:textId="77777777" w:rsidR="003E36AF" w:rsidRPr="0018426B" w:rsidRDefault="003E36AF" w:rsidP="003E36AF">
            <w:pPr>
              <w:rPr>
                <w:rFonts w:cs="Arial"/>
                <w:sz w:val="24"/>
              </w:rPr>
            </w:pPr>
          </w:p>
        </w:tc>
      </w:tr>
      <w:tr w:rsidR="001D232F" w14:paraId="52FE44FD" w14:textId="77777777" w:rsidTr="00077C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1625" w:type="dxa"/>
          </w:tcPr>
          <w:p w14:paraId="3A9D501C" w14:textId="77777777" w:rsidR="001D232F" w:rsidRDefault="003E36AF">
            <w:pPr>
              <w:pStyle w:val="Heading4"/>
            </w:pPr>
            <w:r>
              <w:lastRenderedPageBreak/>
              <w:t>Ed</w:t>
            </w:r>
            <w:r w:rsidR="001D232F">
              <w:t>ucation</w:t>
            </w:r>
          </w:p>
        </w:tc>
        <w:tc>
          <w:tcPr>
            <w:tcW w:w="7933" w:type="dxa"/>
            <w:gridSpan w:val="2"/>
          </w:tcPr>
          <w:p w14:paraId="40170E60" w14:textId="77777777" w:rsidR="001D232F" w:rsidRPr="00D23C2E" w:rsidRDefault="00FE0E38">
            <w:pPr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MEng</w:t>
            </w:r>
            <w:r w:rsidR="003E36AF">
              <w:rPr>
                <w:rFonts w:cs="Arial"/>
                <w:iCs/>
                <w:sz w:val="24"/>
              </w:rPr>
              <w:t xml:space="preserve"> Astronautical Engineering focusing on Aircraft Stability and Controls, </w:t>
            </w:r>
            <w:r w:rsidR="00D23C2E" w:rsidRPr="00D23C2E">
              <w:rPr>
                <w:rFonts w:cs="Arial"/>
                <w:iCs/>
                <w:sz w:val="24"/>
              </w:rPr>
              <w:t>Air Force Institute of Technology</w:t>
            </w:r>
            <w:r w:rsidR="003E36AF">
              <w:rPr>
                <w:rFonts w:cs="Arial"/>
                <w:iCs/>
                <w:sz w:val="24"/>
              </w:rPr>
              <w:t>, 2011</w:t>
            </w:r>
          </w:p>
          <w:p w14:paraId="4F8F484C" w14:textId="77777777" w:rsidR="00D23C2E" w:rsidRPr="00D23C2E" w:rsidRDefault="00FE0E38">
            <w:pPr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MEng</w:t>
            </w:r>
            <w:r w:rsidR="00D23C2E" w:rsidRPr="00D23C2E">
              <w:rPr>
                <w:rFonts w:cs="Arial"/>
                <w:iCs/>
                <w:sz w:val="24"/>
              </w:rPr>
              <w:t xml:space="preserve"> Aeronautical Engineering</w:t>
            </w:r>
            <w:r w:rsidR="003E36AF">
              <w:rPr>
                <w:rFonts w:cs="Arial"/>
                <w:iCs/>
                <w:sz w:val="24"/>
              </w:rPr>
              <w:t xml:space="preserve"> focusing on Plasma Propulsion</w:t>
            </w:r>
            <w:r w:rsidR="00D23C2E" w:rsidRPr="00D23C2E">
              <w:rPr>
                <w:rFonts w:cs="Arial"/>
                <w:iCs/>
                <w:sz w:val="24"/>
              </w:rPr>
              <w:t>, Air Force Institute of Technology</w:t>
            </w:r>
            <w:r w:rsidR="003E36AF">
              <w:rPr>
                <w:rFonts w:cs="Arial"/>
                <w:iCs/>
                <w:sz w:val="24"/>
              </w:rPr>
              <w:t>, 2011</w:t>
            </w:r>
            <w:r w:rsidR="00D23C2E" w:rsidRPr="00D23C2E">
              <w:rPr>
                <w:rFonts w:cs="Arial"/>
                <w:iCs/>
                <w:sz w:val="24"/>
              </w:rPr>
              <w:t xml:space="preserve"> </w:t>
            </w:r>
          </w:p>
          <w:p w14:paraId="46D57A21" w14:textId="77777777" w:rsidR="00D23C2E" w:rsidRPr="00D23C2E" w:rsidRDefault="00FE0E38">
            <w:pPr>
              <w:rPr>
                <w:rFonts w:cs="Arial"/>
                <w:iCs/>
                <w:sz w:val="24"/>
              </w:rPr>
            </w:pPr>
            <w:r>
              <w:rPr>
                <w:rFonts w:cs="Arial"/>
                <w:iCs/>
                <w:sz w:val="24"/>
              </w:rPr>
              <w:t>MEng</w:t>
            </w:r>
            <w:r w:rsidR="00D23C2E" w:rsidRPr="00D23C2E">
              <w:rPr>
                <w:rFonts w:cs="Arial"/>
                <w:iCs/>
                <w:sz w:val="24"/>
              </w:rPr>
              <w:t xml:space="preserve"> Operations Management, University of Arkansas</w:t>
            </w:r>
            <w:r w:rsidR="003E36AF">
              <w:rPr>
                <w:rFonts w:cs="Arial"/>
                <w:iCs/>
                <w:sz w:val="24"/>
              </w:rPr>
              <w:t>, 2008</w:t>
            </w:r>
          </w:p>
          <w:p w14:paraId="06BB1AC2" w14:textId="77777777" w:rsidR="00D23C2E" w:rsidRPr="00D23C2E" w:rsidRDefault="00FE0E38" w:rsidP="00FE0E38">
            <w:pPr>
              <w:rPr>
                <w:rFonts w:cs="Arial"/>
                <w:sz w:val="24"/>
              </w:rPr>
            </w:pPr>
            <w:r>
              <w:rPr>
                <w:rFonts w:cs="Arial"/>
                <w:iCs/>
                <w:sz w:val="24"/>
              </w:rPr>
              <w:t>BS</w:t>
            </w:r>
            <w:r w:rsidR="00D23C2E" w:rsidRPr="00D23C2E">
              <w:rPr>
                <w:rFonts w:cs="Arial"/>
                <w:iCs/>
                <w:sz w:val="24"/>
              </w:rPr>
              <w:t>, Worcester Polytechnic Institute</w:t>
            </w:r>
            <w:r w:rsidR="003E36AF">
              <w:rPr>
                <w:rFonts w:cs="Arial"/>
                <w:iCs/>
                <w:sz w:val="24"/>
              </w:rPr>
              <w:t>, 2001</w:t>
            </w:r>
            <w:r w:rsidR="00D23C2E" w:rsidRPr="00D23C2E">
              <w:rPr>
                <w:rFonts w:cs="Arial"/>
                <w:iCs/>
                <w:sz w:val="24"/>
              </w:rPr>
              <w:t xml:space="preserve"> </w:t>
            </w:r>
          </w:p>
        </w:tc>
      </w:tr>
      <w:tr w:rsidR="00077C03" w14:paraId="35577069" w14:textId="77777777" w:rsidTr="00077C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620" w:type="dxa"/>
            <w:vMerge w:val="restart"/>
          </w:tcPr>
          <w:p w14:paraId="036CD583" w14:textId="77777777" w:rsidR="00077C03" w:rsidRDefault="00077C03" w:rsidP="00077C03"/>
        </w:tc>
        <w:tc>
          <w:tcPr>
            <w:tcW w:w="7938" w:type="dxa"/>
            <w:gridSpan w:val="2"/>
          </w:tcPr>
          <w:p w14:paraId="0147AA28" w14:textId="77777777" w:rsidR="00077C03" w:rsidRDefault="00077C03">
            <w:pPr>
              <w:pStyle w:val="Heading4"/>
            </w:pPr>
          </w:p>
        </w:tc>
      </w:tr>
      <w:tr w:rsidR="00077C03" w14:paraId="4C94422B" w14:textId="77777777" w:rsidTr="00077C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620" w:type="dxa"/>
            <w:vMerge/>
          </w:tcPr>
          <w:p w14:paraId="7680489B" w14:textId="77777777" w:rsidR="00077C03" w:rsidRDefault="00077C03">
            <w:pPr>
              <w:pStyle w:val="Heading4"/>
            </w:pPr>
          </w:p>
        </w:tc>
        <w:tc>
          <w:tcPr>
            <w:tcW w:w="7938" w:type="dxa"/>
            <w:gridSpan w:val="2"/>
          </w:tcPr>
          <w:p w14:paraId="326E4D32" w14:textId="77777777" w:rsidR="00077C03" w:rsidRDefault="00077C03">
            <w:pPr>
              <w:pStyle w:val="Heading4"/>
            </w:pPr>
          </w:p>
        </w:tc>
      </w:tr>
    </w:tbl>
    <w:p w14:paraId="6EBB3EA4" w14:textId="77777777" w:rsidR="001D232F" w:rsidRDefault="001D232F" w:rsidP="00FE0E38">
      <w:pPr>
        <w:rPr>
          <w:rFonts w:cs="Arial"/>
          <w:color w:val="FF0000"/>
          <w:sz w:val="24"/>
        </w:rPr>
      </w:pPr>
    </w:p>
    <w:sectPr w:rsidR="001D23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32B4" w14:textId="77777777" w:rsidR="00E15430" w:rsidRDefault="00E15430" w:rsidP="00C1605F">
      <w:r>
        <w:separator/>
      </w:r>
    </w:p>
  </w:endnote>
  <w:endnote w:type="continuationSeparator" w:id="0">
    <w:p w14:paraId="7B2E7522" w14:textId="77777777" w:rsidR="00E15430" w:rsidRDefault="00E15430" w:rsidP="00C16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EFD4F" w14:textId="77777777" w:rsidR="00E15430" w:rsidRDefault="00E15430" w:rsidP="00C1605F">
      <w:r>
        <w:separator/>
      </w:r>
    </w:p>
  </w:footnote>
  <w:footnote w:type="continuationSeparator" w:id="0">
    <w:p w14:paraId="6A3E2452" w14:textId="77777777" w:rsidR="00E15430" w:rsidRDefault="00E15430" w:rsidP="00C16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93E"/>
    <w:multiLevelType w:val="hybridMultilevel"/>
    <w:tmpl w:val="05085B82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CB066F9"/>
    <w:multiLevelType w:val="hybridMultilevel"/>
    <w:tmpl w:val="468CFBDA"/>
    <w:lvl w:ilvl="0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880"/>
        </w:tabs>
        <w:ind w:left="11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600"/>
        </w:tabs>
        <w:ind w:left="12600" w:hanging="360"/>
      </w:pPr>
      <w:rPr>
        <w:rFonts w:ascii="Wingdings" w:hAnsi="Wingdings" w:hint="default"/>
      </w:rPr>
    </w:lvl>
  </w:abstractNum>
  <w:abstractNum w:abstractNumId="2" w15:restartNumberingAfterBreak="0">
    <w:nsid w:val="0FAC5D5F"/>
    <w:multiLevelType w:val="hybridMultilevel"/>
    <w:tmpl w:val="C4022760"/>
    <w:lvl w:ilvl="0" w:tplc="2040B76C">
      <w:start w:val="1"/>
      <w:numFmt w:val="bullet"/>
      <w:lvlText w:val=""/>
      <w:lvlJc w:val="left"/>
      <w:pPr>
        <w:tabs>
          <w:tab w:val="num" w:pos="180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697F37"/>
    <w:multiLevelType w:val="hybridMultilevel"/>
    <w:tmpl w:val="57D88E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9F"/>
    <w:rsid w:val="00000876"/>
    <w:rsid w:val="00077C03"/>
    <w:rsid w:val="000A791B"/>
    <w:rsid w:val="00125C73"/>
    <w:rsid w:val="0018426B"/>
    <w:rsid w:val="001B7F1B"/>
    <w:rsid w:val="001D232F"/>
    <w:rsid w:val="002338F3"/>
    <w:rsid w:val="002F0073"/>
    <w:rsid w:val="00395C03"/>
    <w:rsid w:val="003E36AF"/>
    <w:rsid w:val="0068062A"/>
    <w:rsid w:val="00680C9A"/>
    <w:rsid w:val="007D75AE"/>
    <w:rsid w:val="008375F8"/>
    <w:rsid w:val="00841A60"/>
    <w:rsid w:val="00852BE6"/>
    <w:rsid w:val="0088724A"/>
    <w:rsid w:val="008A0462"/>
    <w:rsid w:val="009B3B0D"/>
    <w:rsid w:val="00B01469"/>
    <w:rsid w:val="00C1605F"/>
    <w:rsid w:val="00C843F7"/>
    <w:rsid w:val="00CE179F"/>
    <w:rsid w:val="00D00688"/>
    <w:rsid w:val="00D23C2E"/>
    <w:rsid w:val="00D62CC8"/>
    <w:rsid w:val="00E15430"/>
    <w:rsid w:val="00F47090"/>
    <w:rsid w:val="00F60B04"/>
    <w:rsid w:val="00FC3E5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8B3AD8F"/>
  <w15:chartTrackingRefBased/>
  <w15:docId w15:val="{C2754D71-1B0F-41F2-96BA-4353E3F4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i/>
      <w:iCs/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cs="Arial"/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806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8062A"/>
    <w:rPr>
      <w:sz w:val="20"/>
    </w:rPr>
  </w:style>
  <w:style w:type="character" w:customStyle="1" w:styleId="CommentTextChar">
    <w:name w:val="Comment Text Char"/>
    <w:link w:val="CommentText"/>
    <w:rsid w:val="006806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68062A"/>
    <w:rPr>
      <w:b/>
      <w:bCs/>
    </w:rPr>
  </w:style>
  <w:style w:type="character" w:customStyle="1" w:styleId="CommentSubjectChar">
    <w:name w:val="Comment Subject Char"/>
    <w:link w:val="CommentSubject"/>
    <w:rsid w:val="0068062A"/>
    <w:rPr>
      <w:rFonts w:ascii="Arial" w:hAnsi="Arial"/>
      <w:b/>
      <w:bCs/>
    </w:rPr>
  </w:style>
  <w:style w:type="paragraph" w:styleId="Header">
    <w:name w:val="header"/>
    <w:basedOn w:val="Normal"/>
    <w:link w:val="HeaderChar"/>
    <w:rsid w:val="00C160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605F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C160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605F"/>
    <w:rPr>
      <w:rFonts w:ascii="Arial" w:hAnsi="Arial"/>
      <w:sz w:val="22"/>
    </w:rPr>
  </w:style>
  <w:style w:type="character" w:styleId="Hyperlink">
    <w:name w:val="Hyperlink"/>
    <w:rsid w:val="00D00688"/>
    <w:rPr>
      <w:color w:val="0563C1"/>
      <w:u w:val="single"/>
    </w:rPr>
  </w:style>
  <w:style w:type="character" w:customStyle="1" w:styleId="vanity-namedomain">
    <w:name w:val="vanity-name__domain"/>
    <w:rsid w:val="008375F8"/>
  </w:style>
  <w:style w:type="character" w:customStyle="1" w:styleId="vanity-namedisplay-name">
    <w:name w:val="vanity-name__display-name"/>
    <w:rsid w:val="0083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hn%20Ruehlin\Temporary%20Internet%20Files\OLK2E0\Combo%20Resume%202_0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Combo Resume 2_05.dot</Template>
  <TotalTime>2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Combo Resume Template</vt:lpstr>
    </vt:vector>
  </TitlesOfParts>
  <Company>Matt Pittner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Combo Resume Template</dc:title>
  <dc:subject>Combination Resume Template</dc:subject>
  <dc:creator>Matt</dc:creator>
  <cp:keywords/>
  <cp:lastModifiedBy>Shannon</cp:lastModifiedBy>
  <cp:revision>2</cp:revision>
  <cp:lastPrinted>2003-07-13T14:58:00Z</cp:lastPrinted>
  <dcterms:created xsi:type="dcterms:W3CDTF">2022-01-03T17:32:00Z</dcterms:created>
  <dcterms:modified xsi:type="dcterms:W3CDTF">2022-01-03T17:32:00Z</dcterms:modified>
</cp:coreProperties>
</file>