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3F981" w14:textId="77777777" w:rsidR="00E4761C" w:rsidRPr="00B56D29" w:rsidRDefault="00E4761C" w:rsidP="001040EC">
      <w:pPr>
        <w:rPr>
          <w:rFonts w:ascii="Times New Roman" w:hAnsi="Times New Roman"/>
          <w:sz w:val="24"/>
          <w:szCs w:val="24"/>
        </w:rPr>
      </w:pPr>
    </w:p>
    <w:p w14:paraId="51A7BEFA" w14:textId="77777777" w:rsidR="001040EC" w:rsidRPr="00B56D29" w:rsidRDefault="001040EC" w:rsidP="001040EC">
      <w:pPr>
        <w:rPr>
          <w:rFonts w:ascii="Times New Roman" w:hAnsi="Times New Roman"/>
          <w:sz w:val="24"/>
          <w:szCs w:val="24"/>
        </w:rPr>
      </w:pPr>
    </w:p>
    <w:p w14:paraId="2B565310" w14:textId="77777777" w:rsidR="00E4761C" w:rsidRPr="00B56D29" w:rsidRDefault="00E4761C" w:rsidP="00E4761C">
      <w:pPr>
        <w:jc w:val="center"/>
        <w:rPr>
          <w:rFonts w:ascii="Times New Roman" w:hAnsi="Times New Roman"/>
          <w:sz w:val="24"/>
          <w:szCs w:val="24"/>
        </w:rPr>
      </w:pPr>
    </w:p>
    <w:p w14:paraId="29BD6947" w14:textId="77777777" w:rsidR="00E4761C" w:rsidRPr="00B56D29" w:rsidRDefault="00E4761C" w:rsidP="00E4761C">
      <w:pPr>
        <w:jc w:val="center"/>
        <w:rPr>
          <w:rFonts w:ascii="Times New Roman" w:hAnsi="Times New Roman"/>
          <w:sz w:val="24"/>
          <w:szCs w:val="24"/>
        </w:rPr>
      </w:pPr>
    </w:p>
    <w:p w14:paraId="627C81D0" w14:textId="77777777" w:rsidR="006C3ABB" w:rsidRDefault="006C3ABB" w:rsidP="000D23D2">
      <w:pPr>
        <w:spacing w:after="0" w:line="480" w:lineRule="auto"/>
        <w:jc w:val="center"/>
        <w:rPr>
          <w:rStyle w:val="fnt0"/>
          <w:rFonts w:ascii="Times New Roman" w:hAnsi="Times New Roman"/>
          <w:sz w:val="24"/>
          <w:szCs w:val="24"/>
        </w:rPr>
      </w:pPr>
    </w:p>
    <w:p w14:paraId="5D8CEB2B" w14:textId="77777777" w:rsidR="006C3ABB" w:rsidRDefault="006C3ABB" w:rsidP="000D23D2">
      <w:pPr>
        <w:spacing w:after="0" w:line="480" w:lineRule="auto"/>
        <w:jc w:val="center"/>
        <w:rPr>
          <w:rStyle w:val="fnt0"/>
          <w:rFonts w:ascii="Times New Roman" w:hAnsi="Times New Roman"/>
          <w:sz w:val="24"/>
          <w:szCs w:val="24"/>
        </w:rPr>
      </w:pPr>
    </w:p>
    <w:p w14:paraId="0226ABF6" w14:textId="77777777" w:rsidR="006C3ABB" w:rsidRDefault="006C3ABB" w:rsidP="000D23D2">
      <w:pPr>
        <w:spacing w:after="0" w:line="480" w:lineRule="auto"/>
        <w:jc w:val="center"/>
        <w:rPr>
          <w:rStyle w:val="fnt0"/>
          <w:rFonts w:ascii="Times New Roman" w:hAnsi="Times New Roman"/>
          <w:sz w:val="24"/>
          <w:szCs w:val="24"/>
        </w:rPr>
      </w:pPr>
    </w:p>
    <w:p w14:paraId="209FBFF4" w14:textId="77777777" w:rsidR="006C3ABB" w:rsidRDefault="006C3ABB" w:rsidP="000D23D2">
      <w:pPr>
        <w:spacing w:after="0" w:line="480" w:lineRule="auto"/>
        <w:jc w:val="center"/>
        <w:rPr>
          <w:rStyle w:val="fnt0"/>
          <w:rFonts w:ascii="Times New Roman" w:hAnsi="Times New Roman"/>
          <w:sz w:val="24"/>
          <w:szCs w:val="24"/>
        </w:rPr>
      </w:pPr>
    </w:p>
    <w:p w14:paraId="2B93C757" w14:textId="77777777" w:rsidR="006C3ABB" w:rsidRDefault="006C3ABB" w:rsidP="000D23D2">
      <w:pPr>
        <w:spacing w:after="0" w:line="480" w:lineRule="auto"/>
        <w:jc w:val="center"/>
        <w:rPr>
          <w:rStyle w:val="fnt0"/>
          <w:rFonts w:ascii="Times New Roman" w:hAnsi="Times New Roman"/>
          <w:sz w:val="24"/>
          <w:szCs w:val="24"/>
        </w:rPr>
      </w:pPr>
    </w:p>
    <w:p w14:paraId="5F531AF6" w14:textId="3259E2FC" w:rsidR="000D23D2" w:rsidRPr="004412A2" w:rsidRDefault="0089623B"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Predictive Analytics Using the Telco Extra Dataset </w:t>
      </w:r>
    </w:p>
    <w:p w14:paraId="123E3EB7" w14:textId="2EE5777E" w:rsidR="000D23D2" w:rsidRDefault="00E36B96"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Steven Duchene</w:t>
      </w:r>
    </w:p>
    <w:p w14:paraId="3425DE30" w14:textId="1F190AEC" w:rsidR="00E36B96" w:rsidRPr="004412A2" w:rsidRDefault="00E36B96"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 445 – Justin Bateh</w:t>
      </w:r>
    </w:p>
    <w:p w14:paraId="78F8A2CE" w14:textId="1EC4B2FD"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tate University – Global Campus</w:t>
      </w:r>
    </w:p>
    <w:p w14:paraId="7B1350AC" w14:textId="22D1181E" w:rsidR="00E36B96" w:rsidRPr="006C3ABB" w:rsidRDefault="0089623B" w:rsidP="006C3ABB">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June 5, 2020</w:t>
      </w:r>
    </w:p>
    <w:p w14:paraId="758ABF1B" w14:textId="405BF836" w:rsidR="00B56D29" w:rsidRDefault="009B5B1F" w:rsidP="00AE067D">
      <w:pPr>
        <w:jc w:val="center"/>
        <w:rPr>
          <w:rFonts w:ascii="Times New Roman" w:hAnsi="Times New Roman"/>
          <w:sz w:val="24"/>
          <w:szCs w:val="24"/>
        </w:rPr>
      </w:pPr>
      <w:r w:rsidRPr="00B56D29">
        <w:rPr>
          <w:rFonts w:ascii="Times New Roman" w:hAnsi="Times New Roman"/>
          <w:sz w:val="24"/>
          <w:szCs w:val="24"/>
        </w:rPr>
        <w:br w:type="page"/>
      </w:r>
      <w:r w:rsidR="0089623B">
        <w:rPr>
          <w:rFonts w:ascii="Times New Roman" w:hAnsi="Times New Roman"/>
          <w:sz w:val="24"/>
          <w:szCs w:val="24"/>
        </w:rPr>
        <w:lastRenderedPageBreak/>
        <w:t>Predictive Analytics Using the Telco Extra Dataset</w:t>
      </w:r>
    </w:p>
    <w:p w14:paraId="12FAA761" w14:textId="04C7D65E" w:rsidR="0062441D" w:rsidRDefault="00B86C3C" w:rsidP="00B86C3C">
      <w:pPr>
        <w:pStyle w:val="NormalWeb"/>
        <w:spacing w:before="0" w:beforeAutospacing="0" w:after="0" w:afterAutospacing="0" w:line="480" w:lineRule="auto"/>
        <w:ind w:firstLine="720"/>
      </w:pPr>
      <w:r>
        <w:t>The Telco Extra dataset was developed from the Telco Extra customer database and is comprised of a sample of 1000 customers; roughly half of the organizations customer base. The main purpose for this report is to determine whether or not a selection of independent variables can accurately predict the likelihood of customer churn rate as well as customer income. In order to achieve this, multiple linear regression will be conducted. Using multiple linear regression for prediction purpose, one must be careful to ensure that they utilize an adequate sample size (Knofcyznski and Mundfrom, 2008). As we are using a sample size of 1000 customers, the analysis has the possibility of making accurate predictions. The following sections will detail the summary statistics as well as the statistics gained from running multiple linear regression analyses. At the conclusion of the report, surprises or unexpected findings will be discussed.</w:t>
      </w:r>
    </w:p>
    <w:p w14:paraId="0B2CF33E" w14:textId="574F3049" w:rsidR="0062441D" w:rsidRDefault="0062441D" w:rsidP="0062441D">
      <w:pPr>
        <w:pStyle w:val="NormalWeb"/>
        <w:spacing w:before="0" w:beforeAutospacing="0" w:after="0" w:afterAutospacing="0" w:line="480" w:lineRule="auto"/>
        <w:rPr>
          <w:b/>
          <w:bCs/>
        </w:rPr>
      </w:pPr>
      <w:r>
        <w:rPr>
          <w:b/>
          <w:bCs/>
        </w:rPr>
        <w:t>Sample Characteristics and Descriptive Statistics for the Telco Extra Dataset</w:t>
      </w:r>
    </w:p>
    <w:p w14:paraId="6E600C95" w14:textId="63EA7F2A" w:rsidR="007B6910" w:rsidRDefault="007B6910" w:rsidP="00DC1EC0">
      <w:pPr>
        <w:pStyle w:val="NormalWeb"/>
        <w:spacing w:before="0" w:beforeAutospacing="0" w:after="0" w:afterAutospacing="0" w:line="480" w:lineRule="auto"/>
        <w:ind w:firstLine="720"/>
      </w:pPr>
      <w:r>
        <w:t xml:space="preserve">The Telco dataset is comprised of 34 different variables that include characteristics such as age and gender as well as characteristics specific to each customer’s account. </w:t>
      </w:r>
      <w:r w:rsidR="00904E64">
        <w:t xml:space="preserve">The sample being analyzed in this report was selected, at random, from the Telco Extra customer database. It is comprised of 1000 observations. A preliminary review of the dataset indicates that there are no missing values </w:t>
      </w:r>
      <w:r w:rsidR="00DC1EC0">
        <w:t xml:space="preserve">within the dataset; thus, no further action is required in this area. </w:t>
      </w:r>
      <w:r>
        <w:t xml:space="preserve">In order to conduct the predictive analytics discussed in the proceeding sections, a selection of variables was selected from the dataset. Theses variables include customer age, gender, marital status, income, level of education, region, category, years at current address, and churn. </w:t>
      </w:r>
    </w:p>
    <w:p w14:paraId="646D8E10" w14:textId="77777777" w:rsidR="00F235A2" w:rsidRDefault="00F235A2" w:rsidP="00F235A2">
      <w:pPr>
        <w:pStyle w:val="NormalWeb"/>
        <w:spacing w:before="0" w:beforeAutospacing="0" w:after="0" w:afterAutospacing="0" w:line="480" w:lineRule="auto"/>
      </w:pPr>
      <w:r>
        <w:pict w14:anchorId="5464F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66.95pt;height:77.4pt;mso-position-horizontal-relative:text;mso-position-vertical-relative:text;mso-width-relative:page;mso-height-relative:page" wrapcoords="44 0 44 21390 21556 21390 21556 0 44 0">
            <v:imagedata r:id="rId9" o:title="" cropbottom="7034f" cropleft="7117f" cropright="7012f"/>
          </v:shape>
        </w:pict>
      </w:r>
    </w:p>
    <w:p w14:paraId="1CC72E4B" w14:textId="0AD69061" w:rsidR="0089623B" w:rsidRDefault="007B6910" w:rsidP="00B20D74">
      <w:pPr>
        <w:pStyle w:val="NormalWeb"/>
        <w:spacing w:before="0" w:beforeAutospacing="0" w:after="0" w:afterAutospacing="0" w:line="480" w:lineRule="auto"/>
        <w:ind w:firstLine="720"/>
      </w:pPr>
      <w:r>
        <w:lastRenderedPageBreak/>
        <w:t xml:space="preserve">Below, the descriptive statistics, also known as sample statistics, will be presented for each numerical-based variable. In the case of the three categorical variables, pie charts will be presented to indicate their proportions. </w:t>
      </w:r>
      <w:r w:rsidR="00DC1EC0">
        <w:t xml:space="preserve">Table 1, below, presents that sample statistics for the numerical variables age, income, years at address, education level, customer category, and churn. </w:t>
      </w:r>
    </w:p>
    <w:p w14:paraId="1B8E52E5" w14:textId="4DC9C552" w:rsidR="00DC1EC0" w:rsidRDefault="00DC1EC0" w:rsidP="00DC1EC0">
      <w:pPr>
        <w:pStyle w:val="NormalWeb"/>
        <w:spacing w:before="0" w:beforeAutospacing="0" w:after="0" w:afterAutospacing="0" w:line="480" w:lineRule="auto"/>
      </w:pPr>
      <w:r>
        <w:t xml:space="preserve">Included in table 1 is a measure of skewness. This measure will assist in the analysis for each variable. </w:t>
      </w:r>
    </w:p>
    <w:p w14:paraId="01DDC4F7" w14:textId="1D411F8A" w:rsidR="006C31ED" w:rsidRDefault="00FB2133" w:rsidP="007C03DD">
      <w:pPr>
        <w:pStyle w:val="NormalWeb"/>
        <w:numPr>
          <w:ilvl w:val="0"/>
          <w:numId w:val="10"/>
        </w:numPr>
        <w:spacing w:before="0" w:beforeAutospacing="0" w:after="0" w:afterAutospacing="0" w:line="480" w:lineRule="auto"/>
      </w:pPr>
      <w:r>
        <w:rPr>
          <w:noProof/>
        </w:rPr>
        <w:pict w14:anchorId="6638E660">
          <v:shape id="_x0000_s1036" type="#_x0000_t75" style="position:absolute;left:0;text-align:left;margin-left:36.75pt;margin-top:168.05pt;width:220.7pt;height:165.6pt;z-index:-251655680" wrapcoords="-73 -98 -73 21600 21673 21600 21673 -98 -73 -98" stroked="t">
            <v:imagedata r:id="rId10" o:title=""/>
            <w10:wrap type="tight"/>
          </v:shape>
        </w:pict>
      </w:r>
      <w:r>
        <w:rPr>
          <w:noProof/>
        </w:rPr>
        <w:pict w14:anchorId="476C6118">
          <v:shape id="_x0000_s1037" type="#_x0000_t75" style="position:absolute;left:0;text-align:left;margin-left:36.75pt;margin-top:2.45pt;width:220.7pt;height:165.6pt;z-index:-251654656" wrapcoords="-73 -98 -73 21600 21673 21600 21673 -98 -73 -98" stroked="t" strokecolor="black [3213]">
            <v:imagedata r:id="rId11" o:title=""/>
            <w10:wrap type="tight"/>
          </v:shape>
        </w:pict>
      </w:r>
      <w:r w:rsidR="00DC1EC0">
        <w:t>Age</w:t>
      </w:r>
      <w:r w:rsidR="006C31ED">
        <w:t xml:space="preserve"> Variable: As indicated by table 1 above, the age variable has a mean value of 41.68 years with a standard deviation of 12.56 years. Customer age ranges from 18 to 77 years corresponding to a range of 59 years. It is weakly skewed to the right. </w:t>
      </w:r>
    </w:p>
    <w:p w14:paraId="706F9A42" w14:textId="1B7C7BFE" w:rsidR="006C31ED" w:rsidRDefault="00FB2133" w:rsidP="005A0543">
      <w:pPr>
        <w:pStyle w:val="NormalWeb"/>
        <w:numPr>
          <w:ilvl w:val="0"/>
          <w:numId w:val="10"/>
        </w:numPr>
        <w:spacing w:before="0" w:beforeAutospacing="0" w:after="0" w:afterAutospacing="0" w:line="480" w:lineRule="auto"/>
      </w:pPr>
      <w:r>
        <w:rPr>
          <w:noProof/>
        </w:rPr>
        <w:pict w14:anchorId="4CA8A0E9">
          <v:shape id="_x0000_s1041" type="#_x0000_t75" style="position:absolute;left:0;text-align:left;margin-left:-230.45pt;margin-top:137.1pt;width:220.6pt;height:165.55pt;z-index:-251652608;mso-position-horizontal-relative:text;mso-position-vertical-relative:text;mso-width-relative:page;mso-height-relative:page" wrapcoords="-73 -98 -73 21600 21673 21600 21673 -98 -73 -98" stroked="t" strokecolor="black [3213]">
            <v:imagedata r:id="rId12" o:title=""/>
            <w10:wrap type="tight"/>
          </v:shape>
        </w:pict>
      </w:r>
      <w:r w:rsidR="006C31ED">
        <w:t>Income Variable: As indicated by table 1 above, the income variable has a mean value of $77.54 with a standard deviation of $107.04. The range for income is $1659.00. It is strongly skewed to the right.</w:t>
      </w:r>
    </w:p>
    <w:p w14:paraId="151BDF23" w14:textId="5E445C9A" w:rsidR="0062441D" w:rsidRDefault="006C31ED" w:rsidP="006C31ED">
      <w:pPr>
        <w:pStyle w:val="NormalWeb"/>
        <w:numPr>
          <w:ilvl w:val="0"/>
          <w:numId w:val="10"/>
        </w:numPr>
        <w:spacing w:before="0" w:beforeAutospacing="0" w:after="0" w:afterAutospacing="0" w:line="480" w:lineRule="auto"/>
      </w:pPr>
      <w:r>
        <w:t xml:space="preserve">Level of Education: </w:t>
      </w:r>
      <w:r w:rsidR="00EE2EF9">
        <w:t xml:space="preserve">As indicated by the table above, the mean value for level of education is 2.67 years with a standard </w:t>
      </w:r>
      <w:r w:rsidR="00EE2EF9">
        <w:lastRenderedPageBreak/>
        <w:t xml:space="preserve">deviation of 1.22 years. The range indicated for years of education is 4 years. It does not </w:t>
      </w:r>
      <w:r w:rsidR="00FB2133">
        <w:rPr>
          <w:noProof/>
        </w:rPr>
        <w:pict w14:anchorId="0721D4EE">
          <v:shape id="_x0000_s1042" type="#_x0000_t75" style="position:absolute;left:0;text-align:left;margin-left:31.95pt;margin-top:52.45pt;width:220.6pt;height:165.55pt;z-index:-251650560;mso-position-horizontal-relative:text;mso-position-vertical-relative:text;mso-width-relative:page;mso-height-relative:page" wrapcoords="-73 0 -73 21502 21600 21502 21600 0 -73 0">
            <v:imagedata r:id="rId13" o:title=""/>
            <w10:wrap type="tight"/>
          </v:shape>
        </w:pict>
      </w:r>
      <w:r w:rsidR="00EE2EF9">
        <w:t xml:space="preserve">appear to exhibit any relative skewness. </w:t>
      </w:r>
    </w:p>
    <w:p w14:paraId="178A9CF0" w14:textId="3B8ABAD5" w:rsidR="00EE2EF9" w:rsidRDefault="00EE2EF9" w:rsidP="00BB29FE">
      <w:pPr>
        <w:pStyle w:val="NormalWeb"/>
        <w:numPr>
          <w:ilvl w:val="0"/>
          <w:numId w:val="10"/>
        </w:numPr>
        <w:spacing w:before="0" w:beforeAutospacing="0" w:after="0" w:afterAutospacing="0" w:line="480" w:lineRule="auto"/>
      </w:pPr>
      <w:bookmarkStart w:id="0" w:name="_GoBack"/>
      <w:bookmarkEnd w:id="0"/>
      <w:r>
        <w:t>Years at Residence: As indicated in the table, the mean value for years at residence is 2.33 years with a standard deviation of 1.44 years. The values range from a minimum value of 1 year to a maximum value of 8 years with a total range of 7 years. The data exhibits a strong skewness to the right.</w:t>
      </w:r>
    </w:p>
    <w:p w14:paraId="7A75296E" w14:textId="21223609" w:rsidR="007D5FD1" w:rsidRDefault="00FB2133" w:rsidP="007D5FD1">
      <w:pPr>
        <w:pStyle w:val="NormalWeb"/>
        <w:numPr>
          <w:ilvl w:val="0"/>
          <w:numId w:val="10"/>
        </w:numPr>
        <w:spacing w:before="0" w:beforeAutospacing="0" w:after="0" w:afterAutospacing="0" w:line="480" w:lineRule="auto"/>
      </w:pPr>
      <w:r>
        <w:rPr>
          <w:noProof/>
        </w:rPr>
        <w:pict w14:anchorId="03E2F365">
          <v:shape id="_x0000_s1043" type="#_x0000_t75" style="position:absolute;left:0;text-align:left;margin-left:29.65pt;margin-top:5.15pt;width:220.6pt;height:165.55pt;z-index:-251648512;mso-position-horizontal-relative:text;mso-position-vertical-relative:text;mso-width-relative:page;mso-height-relative:page" wrapcoords="-73 0 -73 21502 21600 21502 21600 0 -73 0">
            <v:imagedata r:id="rId14" o:title=""/>
            <w10:wrap type="tight"/>
          </v:shape>
        </w:pict>
      </w:r>
      <w:r w:rsidR="00EE2EF9">
        <w:t>Customer Category: The mean customer category is 2.45 with a standard deviation of 1.12. Due to the nature of this variable, customer category has a minimum value of 1 with a maximum value of 4. Based on a visual analysis of the histogram below, there appears to be relatively equal proportions for each category.</w:t>
      </w:r>
    </w:p>
    <w:p w14:paraId="2F0910E9" w14:textId="04CD03A1" w:rsidR="001A2BC2" w:rsidRDefault="007D5FD1" w:rsidP="001A2BC2">
      <w:pPr>
        <w:pStyle w:val="NormalWeb"/>
        <w:numPr>
          <w:ilvl w:val="0"/>
          <w:numId w:val="10"/>
        </w:numPr>
        <w:spacing w:before="0" w:beforeAutospacing="0" w:after="0" w:afterAutospacing="0" w:line="480" w:lineRule="auto"/>
      </w:pPr>
      <w:r>
        <w:t xml:space="preserve">Churn: The churn variable has a mean value of .264 and a standard deviation of .446. </w:t>
      </w:r>
      <w:r w:rsidR="001A2BC2">
        <w:t xml:space="preserve">In the case of churn, minimum and maximum values are not of significance due to the value of 0 indicating no churn and 1 indicating churn. </w:t>
      </w:r>
    </w:p>
    <w:p w14:paraId="4810E3EC" w14:textId="71CFB379" w:rsidR="001A2BC2" w:rsidRDefault="00FB2133" w:rsidP="001A2BC2">
      <w:pPr>
        <w:pStyle w:val="NormalWeb"/>
        <w:spacing w:before="0" w:beforeAutospacing="0" w:after="0" w:afterAutospacing="0" w:line="480" w:lineRule="auto"/>
        <w:ind w:left="360"/>
      </w:pPr>
      <w:r>
        <w:lastRenderedPageBreak/>
        <w:pict w14:anchorId="4B04A38F">
          <v:shape id="_x0000_i1025" type="#_x0000_t75" style="width:220.25pt;height:165.55pt">
            <v:imagedata r:id="rId15" o:title=""/>
          </v:shape>
        </w:pict>
      </w:r>
    </w:p>
    <w:p w14:paraId="4E98C46B" w14:textId="2A123810" w:rsidR="00EE2EF9" w:rsidRDefault="001A2BC2" w:rsidP="001A2BC2">
      <w:pPr>
        <w:pStyle w:val="NormalWeb"/>
        <w:numPr>
          <w:ilvl w:val="0"/>
          <w:numId w:val="10"/>
        </w:numPr>
        <w:spacing w:before="0" w:beforeAutospacing="0" w:after="0" w:afterAutospacing="0" w:line="480" w:lineRule="auto"/>
      </w:pPr>
      <w:r>
        <w:t>Gender, Region, and Marital Status: The pie charts presented below demonstrate the proportions for gender, region, and marital status. With regards to gender 48.3% of the sample was male and 51.7% was female. With regards to marital status, 49.5% percent of the sample indicated they were married and 50.5% indicated single. With regards to region, the sample comprised of nearly 1/3 of customers from each region: 1, 2, and 3.</w:t>
      </w:r>
    </w:p>
    <w:p w14:paraId="17FD745D" w14:textId="5E98B425" w:rsidR="001A2BC2" w:rsidRDefault="00FB2133" w:rsidP="001A2BC2">
      <w:pPr>
        <w:pStyle w:val="NormalWeb"/>
        <w:spacing w:before="0" w:beforeAutospacing="0" w:after="0" w:afterAutospacing="0" w:line="480" w:lineRule="auto"/>
        <w:ind w:left="360"/>
      </w:pPr>
      <w:bookmarkStart w:id="1" w:name="IDX"/>
      <w:bookmarkEnd w:id="1"/>
      <w:r>
        <w:rPr>
          <w:b/>
          <w:bCs/>
        </w:rPr>
        <w:pict w14:anchorId="19778F02">
          <v:shape id="_x0000_i1026" type="#_x0000_t75" style="width:220.25pt;height:165.55pt">
            <v:imagedata r:id="rId16" o:title=""/>
          </v:shape>
        </w:pict>
      </w:r>
      <w:r>
        <w:pict w14:anchorId="5C126C5D">
          <v:shape id="_x0000_i1027" type="#_x0000_t75" style="width:220.25pt;height:165.55pt">
            <v:imagedata r:id="rId17" o:title=""/>
          </v:shape>
        </w:pict>
      </w:r>
    </w:p>
    <w:p w14:paraId="2343C6E3" w14:textId="23E3508E" w:rsidR="001A2BC2" w:rsidRDefault="008E4DB7" w:rsidP="008E4DB7">
      <w:pPr>
        <w:pStyle w:val="NormalWeb"/>
        <w:spacing w:before="0" w:beforeAutospacing="0" w:after="0" w:afterAutospacing="0" w:line="480" w:lineRule="auto"/>
        <w:rPr>
          <w:b/>
          <w:bCs/>
        </w:rPr>
      </w:pPr>
      <w:r>
        <w:rPr>
          <w:b/>
          <w:bCs/>
        </w:rPr>
        <w:t>Linear Regression Analysis: Dependent Variable – Churn</w:t>
      </w:r>
    </w:p>
    <w:p w14:paraId="21972FA6" w14:textId="53CCC805" w:rsidR="0062441D" w:rsidRDefault="00286020" w:rsidP="00B20D74">
      <w:pPr>
        <w:pStyle w:val="NormalWeb"/>
        <w:spacing w:before="0" w:beforeAutospacing="0" w:after="0" w:afterAutospacing="0" w:line="480" w:lineRule="auto"/>
        <w:ind w:firstLine="720"/>
      </w:pPr>
      <w:r>
        <w:t xml:space="preserve">Linear regression is a linear model, where the model attempts to determine the relationship between two variables by fitting a linear equation (Yale, n.d.). </w:t>
      </w:r>
      <w:r w:rsidR="0024710F">
        <w:t xml:space="preserve">It is a well-known and highly used algorithm </w:t>
      </w:r>
      <w:r w:rsidR="000763AF">
        <w:t xml:space="preserve">in the fields of statistics, data mining, and machine learning. Using a simple, linear equation, linear regression is able to accurately predict the value of one variable </w:t>
      </w:r>
      <w:r w:rsidR="000763AF">
        <w:lastRenderedPageBreak/>
        <w:t>based on the value of another</w:t>
      </w:r>
      <w:r w:rsidR="00F1728D">
        <w:t xml:space="preserve">. The linear regression equation typically takes the form of y = B0 + B1x. Using the SAS Studio statistical platform, the dependent variable was set to Churn with the continuous </w:t>
      </w:r>
      <w:r w:rsidR="003839E3">
        <w:t xml:space="preserve">variables set to Age, Education, Category, and Years at Address. The classification variables were set to Gender, Marital Status, and Region. </w:t>
      </w:r>
      <w:r w:rsidR="005D27BF">
        <w:t>The ANOVA and Parameter Estimates are presented below. Prior to completing the regression analysis, we must develop the hypothesis. In this case, the null hypothesis would be “</w:t>
      </w:r>
      <w:r w:rsidR="0003330B">
        <w:t xml:space="preserve">There is no linear association between the independent variables and churn” with the alternate hypothesis being “There is a linear relationship between the independent variables and churn.” </w:t>
      </w:r>
    </w:p>
    <w:p w14:paraId="2220726F" w14:textId="265E312B" w:rsidR="005D27BF" w:rsidRDefault="00FB2133" w:rsidP="005D27BF">
      <w:pPr>
        <w:pStyle w:val="NormalWeb"/>
        <w:spacing w:before="0" w:beforeAutospacing="0" w:after="0" w:afterAutospacing="0" w:line="480" w:lineRule="auto"/>
      </w:pPr>
      <w:r>
        <w:pict w14:anchorId="3E1A3671">
          <v:shape id="_x0000_i1028" type="#_x0000_t75" style="width:228.7pt;height:88.95pt">
            <v:imagedata r:id="rId18" o:title="" cropbottom="5686f" cropleft="16720f" cropright="16776f"/>
          </v:shape>
        </w:pict>
      </w:r>
      <w:r>
        <w:pict w14:anchorId="38506BA8">
          <v:shape id="_x0000_i1029" type="#_x0000_t75" style="width:128.6pt;height:108.95pt">
            <v:imagedata r:id="rId19" o:title="" cropbottom="4924f" cropleft="23466f" cropright="24054f"/>
          </v:shape>
        </w:pict>
      </w:r>
    </w:p>
    <w:p w14:paraId="618324FB" w14:textId="09DE9832" w:rsidR="005D27BF" w:rsidRPr="0003330B" w:rsidRDefault="00FB2133" w:rsidP="005D27BF">
      <w:pPr>
        <w:pStyle w:val="NormalWeb"/>
        <w:spacing w:before="0" w:beforeAutospacing="0" w:after="0" w:afterAutospacing="0" w:line="480" w:lineRule="auto"/>
        <w:ind w:firstLine="720"/>
      </w:pPr>
      <w:r>
        <w:rPr>
          <w:noProof/>
        </w:rPr>
        <w:pict w14:anchorId="3586C454">
          <v:shape id="_x0000_s1045" type="#_x0000_t75" style="position:absolute;left:0;text-align:left;margin-left:0;margin-top:0;width:215.6pt;height:227.55pt;z-index:-251646464;mso-position-horizontal:absolute;mso-position-horizontal-relative:text;mso-position-vertical:absolute;mso-position-vertical-relative:text;mso-width-relative:page;mso-height-relative:page" wrapcoords="151 0 151 21386 21600 21386 21600 0 151 0">
            <v:imagedata r:id="rId20" o:title="" cropbottom="2253f" cropleft="17638f" cropright="17729f"/>
            <w10:wrap type="tight"/>
          </v:shape>
        </w:pict>
      </w:r>
      <w:r w:rsidR="005D27BF">
        <w:t>In order to determine whether or not the overall model is significant, an examination must be completed of the regression analysis. Similar to simple linear regression, it is the p-value of the F-test that determines significance. With a p-value of less than .0001, the model appears to be statistically significant. However, the R</w:t>
      </w:r>
      <w:r w:rsidR="005D27BF">
        <w:rPr>
          <w:vertAlign w:val="superscript"/>
        </w:rPr>
        <w:t>2</w:t>
      </w:r>
      <w:r w:rsidR="005D27BF">
        <w:t xml:space="preserve"> value for the analysis returns as .0953; meaning that 9.53% of the variability in churn is accounted for by the </w:t>
      </w:r>
      <w:r w:rsidR="005D27BF">
        <w:lastRenderedPageBreak/>
        <w:t xml:space="preserve">independent variables. </w:t>
      </w:r>
      <w:r w:rsidR="0003330B">
        <w:t>A low R</w:t>
      </w:r>
      <w:r w:rsidR="0003330B">
        <w:rPr>
          <w:vertAlign w:val="superscript"/>
        </w:rPr>
        <w:t>2</w:t>
      </w:r>
      <w:r w:rsidR="0003330B">
        <w:t xml:space="preserve"> value indicates that the independent variables do not explain much of the variation seen in the churn variable. Further interpretation will be provided in a later section. </w:t>
      </w:r>
    </w:p>
    <w:p w14:paraId="3B8C0954" w14:textId="7A5CBDB7" w:rsidR="005D27BF" w:rsidRDefault="0003330B" w:rsidP="0003330B">
      <w:pPr>
        <w:pStyle w:val="NormalWeb"/>
        <w:spacing w:before="0" w:beforeAutospacing="0" w:after="0" w:afterAutospacing="0" w:line="480" w:lineRule="auto"/>
        <w:rPr>
          <w:b/>
          <w:bCs/>
        </w:rPr>
      </w:pPr>
      <w:r>
        <w:rPr>
          <w:b/>
          <w:bCs/>
        </w:rPr>
        <w:t>Linear Regression Analysis: Dependent Variable – Income</w:t>
      </w:r>
    </w:p>
    <w:p w14:paraId="1598A9D6" w14:textId="732BE005" w:rsidR="005D27BF" w:rsidRDefault="0003330B" w:rsidP="005D27BF">
      <w:pPr>
        <w:pStyle w:val="NormalWeb"/>
        <w:spacing w:before="0" w:beforeAutospacing="0" w:after="0" w:afterAutospacing="0" w:line="480" w:lineRule="auto"/>
        <w:ind w:firstLine="720"/>
      </w:pPr>
      <w:r>
        <w:t xml:space="preserve">Using the SAS Studio statistical platform, the dependent variable was set to Income with the continuous variables set to Age, Education, Category, and Years at Address. The classification variables were set to Gender, Marital Status, and Region. The ANOVA and Parameter Estimates are presented below. Like the prior section, we must also develop the null and alternate hypothesis. For this analysis, the null hypothesis is “There is no linear relationship between the independent variables and Income” while the alternate hypothesis is “There is a liner relationship between the independent variables and Income. </w:t>
      </w:r>
    </w:p>
    <w:p w14:paraId="753E0D82" w14:textId="616A83A4" w:rsidR="0003330B" w:rsidRDefault="00FB2133" w:rsidP="0003330B">
      <w:pPr>
        <w:pStyle w:val="NormalWeb"/>
        <w:spacing w:before="0" w:beforeAutospacing="0" w:after="0" w:afterAutospacing="0" w:line="480" w:lineRule="auto"/>
      </w:pPr>
      <w:r>
        <w:pict w14:anchorId="49BD0AB7">
          <v:shape id="_x0000_i1030" type="#_x0000_t75" style="width:239.5pt;height:88.15pt">
            <v:imagedata r:id="rId21" o:title="" cropbottom="6190f" cropleft="16069f" cropright="15910f"/>
          </v:shape>
        </w:pict>
      </w:r>
      <w:r>
        <w:pict w14:anchorId="71975D4E">
          <v:shape id="_x0000_i1031" type="#_x0000_t75" style="width:120.5pt;height:108.95pt">
            <v:imagedata r:id="rId22" o:title="" cropbottom="4924f" cropleft="24383f" cropright="24323f"/>
          </v:shape>
        </w:pict>
      </w:r>
    </w:p>
    <w:p w14:paraId="18FF98BE" w14:textId="7FCD6AC7" w:rsidR="00D732B3" w:rsidRDefault="00FB2133" w:rsidP="00D732B3">
      <w:pPr>
        <w:pStyle w:val="NormalWeb"/>
        <w:spacing w:before="0" w:beforeAutospacing="0" w:after="0" w:afterAutospacing="0" w:line="480" w:lineRule="auto"/>
        <w:ind w:firstLine="720"/>
      </w:pPr>
      <w:r>
        <w:rPr>
          <w:noProof/>
        </w:rPr>
        <w:pict w14:anchorId="12C37EC8">
          <v:shape id="_x0000_s1046" type="#_x0000_t75" style="position:absolute;left:0;text-align:left;margin-left:0;margin-top:0;width:223.3pt;height:226.4pt;z-index:-251644416;mso-position-horizontal:absolute;mso-position-horizontal-relative:text;mso-position-vertical:absolute;mso-position-vertical-relative:text;mso-width-relative:page;mso-height-relative:page" wrapcoords="72 0 72 21528 21600 21528 21600 0 72 0">
            <v:imagedata r:id="rId23" o:title="" cropbottom="2572f" cropleft="17155f" cropright="17135f"/>
            <w10:wrap type="tight"/>
          </v:shape>
        </w:pict>
      </w:r>
      <w:r w:rsidR="00D732B3">
        <w:t>Like the above analysis, the p-value of the F-test was less than .0001; indicating that the model was statistically significant. However, the R</w:t>
      </w:r>
      <w:r w:rsidR="00D732B3">
        <w:rPr>
          <w:vertAlign w:val="superscript"/>
        </w:rPr>
        <w:t>2</w:t>
      </w:r>
      <w:r w:rsidR="00D732B3">
        <w:t xml:space="preserve"> value returned as .1405, indicating that 14.05% of the variability seen in the Income variable can be explained by the independent variables. </w:t>
      </w:r>
      <w:r w:rsidR="00DA6A9A">
        <w:t>A low R</w:t>
      </w:r>
      <w:r w:rsidR="00DA6A9A">
        <w:rPr>
          <w:vertAlign w:val="superscript"/>
        </w:rPr>
        <w:t>2</w:t>
      </w:r>
      <w:r w:rsidR="00DA6A9A">
        <w:t xml:space="preserve"> value indicates that the independent variables do not explain much of </w:t>
      </w:r>
      <w:r w:rsidR="00DA6A9A">
        <w:lastRenderedPageBreak/>
        <w:t xml:space="preserve">the variation seen in the churn variable. Further interpretation will be provided in a later section. </w:t>
      </w:r>
    </w:p>
    <w:p w14:paraId="068652C7" w14:textId="29CD77C7" w:rsidR="004922C1" w:rsidRDefault="004922C1" w:rsidP="004922C1">
      <w:pPr>
        <w:pStyle w:val="NormalWeb"/>
        <w:spacing w:before="0" w:beforeAutospacing="0" w:after="0" w:afterAutospacing="0" w:line="480" w:lineRule="auto"/>
        <w:rPr>
          <w:b/>
          <w:bCs/>
        </w:rPr>
      </w:pPr>
      <w:r>
        <w:rPr>
          <w:b/>
          <w:bCs/>
        </w:rPr>
        <w:t>Interpretation of the Outcome for the Churn and Income Dependent Variables</w:t>
      </w:r>
    </w:p>
    <w:p w14:paraId="52638A15" w14:textId="1445D5E5" w:rsidR="00D732B3" w:rsidRDefault="004922C1" w:rsidP="00D732B3">
      <w:pPr>
        <w:pStyle w:val="NormalWeb"/>
        <w:spacing w:before="0" w:beforeAutospacing="0" w:after="0" w:afterAutospacing="0" w:line="480" w:lineRule="auto"/>
        <w:ind w:firstLine="720"/>
      </w:pPr>
      <w:r>
        <w:t>As discussed above, while the p-values indicated that each statistical model was indeed significant, the R</w:t>
      </w:r>
      <w:r>
        <w:rPr>
          <w:vertAlign w:val="superscript"/>
        </w:rPr>
        <w:t>2</w:t>
      </w:r>
      <w:r>
        <w:t xml:space="preserve"> values, .0953 and .1405 respectively, indicate that a relatively low percentage of variation in churn and income can be explained by the independent variables. </w:t>
      </w:r>
      <w:r w:rsidR="007513DA">
        <w:t xml:space="preserve">In the case of both Churn and Income, we have failed to reject the null hypotheses that “There is no linear relationship between the independent and dependent variables.” </w:t>
      </w:r>
      <w:r>
        <w:t xml:space="preserve">With respect to the </w:t>
      </w:r>
      <w:r w:rsidR="007513DA">
        <w:t xml:space="preserve">strength and direction of the relationship between the dependent and independent variables, </w:t>
      </w:r>
      <w:r w:rsidR="005F3012">
        <w:t xml:space="preserve">there appears to be a weak positive relationship between the independent and dependent variables. This can be observed in the intercept values of both </w:t>
      </w:r>
      <w:r w:rsidR="00DA3B1B">
        <w:t xml:space="preserve">the </w:t>
      </w:r>
      <w:r w:rsidR="005F3012">
        <w:t>parameter estimate charts above. The same is also observed in the charts detailed below.</w:t>
      </w:r>
      <w:r w:rsidR="00DA3B1B">
        <w:t xml:space="preserve"> </w:t>
      </w:r>
      <w:r w:rsidR="00B86C3C">
        <w:t xml:space="preserve">If the analyst were to calculate the correlation coefficients for each variable against Income and Churn, it is likely they would reach the same conclusions. </w:t>
      </w:r>
    </w:p>
    <w:p w14:paraId="59FF6731" w14:textId="30F01E72" w:rsidR="005F3012" w:rsidRPr="004922C1" w:rsidRDefault="00FB2133" w:rsidP="005F3012">
      <w:pPr>
        <w:pStyle w:val="NormalWeb"/>
        <w:spacing w:before="0" w:beforeAutospacing="0" w:after="0" w:afterAutospacing="0" w:line="480" w:lineRule="auto"/>
      </w:pPr>
      <w:r>
        <w:pict w14:anchorId="5B27EFDA">
          <v:shape id="_x0000_i1032" type="#_x0000_t75" style="width:230.25pt;height:230.25pt">
            <v:imagedata r:id="rId24" o:title=""/>
          </v:shape>
        </w:pict>
      </w:r>
      <w:r>
        <w:pict w14:anchorId="276D6C47">
          <v:shape id="_x0000_i1033" type="#_x0000_t75" style="width:230.25pt;height:230.25pt">
            <v:imagedata r:id="rId25" o:title=""/>
          </v:shape>
        </w:pict>
      </w:r>
    </w:p>
    <w:p w14:paraId="21C66249" w14:textId="427AE05C" w:rsidR="00D732B3" w:rsidRPr="00DA3B1B" w:rsidRDefault="00DA3B1B" w:rsidP="00DA3B1B">
      <w:pPr>
        <w:pStyle w:val="NormalWeb"/>
        <w:spacing w:before="0" w:beforeAutospacing="0" w:after="0" w:afterAutospacing="0" w:line="480" w:lineRule="auto"/>
        <w:rPr>
          <w:b/>
          <w:bCs/>
        </w:rPr>
      </w:pPr>
      <w:r>
        <w:rPr>
          <w:b/>
          <w:bCs/>
        </w:rPr>
        <w:t>Summary of Expected Findings</w:t>
      </w:r>
    </w:p>
    <w:p w14:paraId="0F1805CD" w14:textId="25328EB4" w:rsidR="00D732B3" w:rsidRDefault="004367E3" w:rsidP="00D732B3">
      <w:pPr>
        <w:pStyle w:val="NormalWeb"/>
        <w:spacing w:before="0" w:beforeAutospacing="0" w:after="0" w:afterAutospacing="0" w:line="480" w:lineRule="auto"/>
        <w:ind w:firstLine="720"/>
      </w:pPr>
      <w:r>
        <w:t xml:space="preserve">At the beginning of the analysis, it was expected that the independent variables: age, years at address, marital status, level of education, region, category, and gender would have been </w:t>
      </w:r>
      <w:r>
        <w:lastRenderedPageBreak/>
        <w:t>a good model for prediction of churn and income; the dependent variables. It was surprising to find that there was a very weak linear relationship between the independent and dependent variables. That being said, when looking at the rest of the variables in the dataset, it becomes obvious that there were far better options to chose from to predict churn. Take for example the following variables: tenure, wireless, multiline, voice, internet, and ebill. Using these variables to conduct the linear regression provides a much greater R</w:t>
      </w:r>
      <w:r>
        <w:rPr>
          <w:vertAlign w:val="superscript"/>
        </w:rPr>
        <w:t>2</w:t>
      </w:r>
      <w:r>
        <w:t xml:space="preserve"> value compared to the analyses conducted in the previous sections. It is likely that, if the analyst were to use variables that corresponded more with services received by Telco, that a higher linear relationship would be observed. </w:t>
      </w:r>
    </w:p>
    <w:p w14:paraId="1F994C76" w14:textId="64F8A918" w:rsidR="004367E3" w:rsidRDefault="004367E3" w:rsidP="00D732B3">
      <w:pPr>
        <w:pStyle w:val="NormalWeb"/>
        <w:spacing w:before="0" w:beforeAutospacing="0" w:after="0" w:afterAutospacing="0" w:line="480" w:lineRule="auto"/>
        <w:ind w:firstLine="720"/>
      </w:pPr>
      <w:r>
        <w:t xml:space="preserve">While the statistical results failed to reject the null hypothesis, it does not necessarily indicate that there is a lack of correlation between the independent and dependent variables. </w:t>
      </w:r>
      <w:r w:rsidR="00F235A2">
        <w:t xml:space="preserve">When taken individually, the analyst can determine the likelihood of churn, based on the variable This is especially true of factors such as employment status, retired status, and income status due to their likelihood of determining the customer’s chances of staying or leaving. In order to gain a greater understanding of the variables affecting churn rate, further study should be conducted with respect to the other variables in the dataset. </w:t>
      </w:r>
    </w:p>
    <w:p w14:paraId="327BD756" w14:textId="5400BB02" w:rsidR="00F235A2" w:rsidRDefault="00F235A2" w:rsidP="00D732B3">
      <w:pPr>
        <w:pStyle w:val="NormalWeb"/>
        <w:spacing w:before="0" w:beforeAutospacing="0" w:after="0" w:afterAutospacing="0" w:line="480" w:lineRule="auto"/>
        <w:ind w:firstLine="720"/>
      </w:pPr>
    </w:p>
    <w:p w14:paraId="3B13217B" w14:textId="67F838C8" w:rsidR="00F235A2" w:rsidRDefault="00F235A2" w:rsidP="00D732B3">
      <w:pPr>
        <w:pStyle w:val="NormalWeb"/>
        <w:spacing w:before="0" w:beforeAutospacing="0" w:after="0" w:afterAutospacing="0" w:line="480" w:lineRule="auto"/>
        <w:ind w:firstLine="720"/>
      </w:pPr>
    </w:p>
    <w:p w14:paraId="38A74D56" w14:textId="054EBFAD" w:rsidR="00F235A2" w:rsidRDefault="00F235A2" w:rsidP="00D732B3">
      <w:pPr>
        <w:pStyle w:val="NormalWeb"/>
        <w:spacing w:before="0" w:beforeAutospacing="0" w:after="0" w:afterAutospacing="0" w:line="480" w:lineRule="auto"/>
        <w:ind w:firstLine="720"/>
      </w:pPr>
    </w:p>
    <w:p w14:paraId="391C04BF" w14:textId="02EEF65F" w:rsidR="00F235A2" w:rsidRDefault="00F235A2" w:rsidP="00D732B3">
      <w:pPr>
        <w:pStyle w:val="NormalWeb"/>
        <w:spacing w:before="0" w:beforeAutospacing="0" w:after="0" w:afterAutospacing="0" w:line="480" w:lineRule="auto"/>
        <w:ind w:firstLine="720"/>
      </w:pPr>
    </w:p>
    <w:p w14:paraId="246E4BF7" w14:textId="77777777" w:rsidR="00F235A2" w:rsidRPr="004367E3" w:rsidRDefault="00F235A2" w:rsidP="00D732B3">
      <w:pPr>
        <w:pStyle w:val="NormalWeb"/>
        <w:spacing w:before="0" w:beforeAutospacing="0" w:after="0" w:afterAutospacing="0" w:line="480" w:lineRule="auto"/>
        <w:ind w:firstLine="720"/>
      </w:pPr>
    </w:p>
    <w:p w14:paraId="3EDB8BA1" w14:textId="0F030E3D" w:rsidR="00D732B3" w:rsidRDefault="00D732B3" w:rsidP="00D732B3">
      <w:pPr>
        <w:pStyle w:val="NormalWeb"/>
        <w:spacing w:before="0" w:beforeAutospacing="0" w:after="0" w:afterAutospacing="0" w:line="480" w:lineRule="auto"/>
        <w:ind w:firstLine="720"/>
      </w:pPr>
    </w:p>
    <w:p w14:paraId="0345E446" w14:textId="77777777" w:rsidR="00F235A2" w:rsidRDefault="00F235A2" w:rsidP="00D732B3">
      <w:pPr>
        <w:pStyle w:val="NormalWeb"/>
        <w:spacing w:before="0" w:beforeAutospacing="0" w:after="0" w:afterAutospacing="0" w:line="480" w:lineRule="auto"/>
        <w:ind w:firstLine="720"/>
      </w:pPr>
    </w:p>
    <w:p w14:paraId="3607B2FD" w14:textId="167830E7" w:rsidR="00113940" w:rsidRDefault="00B86C3C" w:rsidP="00B86C3C">
      <w:pPr>
        <w:pStyle w:val="NormalWeb"/>
        <w:spacing w:before="0" w:beforeAutospacing="0" w:after="0" w:afterAutospacing="0" w:line="480" w:lineRule="auto"/>
        <w:contextualSpacing/>
        <w:jc w:val="center"/>
      </w:pPr>
      <w:r>
        <w:lastRenderedPageBreak/>
        <w:t>References</w:t>
      </w:r>
    </w:p>
    <w:p w14:paraId="1BF8D2EE" w14:textId="70367CF6" w:rsidR="00B86C3C" w:rsidRDefault="00B86C3C" w:rsidP="00B86C3C">
      <w:pPr>
        <w:pStyle w:val="NormalWeb"/>
        <w:spacing w:before="0" w:beforeAutospacing="0" w:after="0" w:afterAutospacing="0" w:line="480" w:lineRule="auto"/>
        <w:ind w:left="720" w:hanging="720"/>
        <w:contextualSpacing/>
      </w:pPr>
      <w:r w:rsidRPr="00F412B2">
        <w:t>Knofczynski, G. T., &amp; Mundfrom, D. (2008). Sample sizes when using multiple linear regression for prediction. </w:t>
      </w:r>
      <w:r w:rsidRPr="00F412B2">
        <w:rPr>
          <w:i/>
          <w:iCs/>
        </w:rPr>
        <w:t>Educational and psychological measurement</w:t>
      </w:r>
      <w:r w:rsidRPr="00F412B2">
        <w:t>, </w:t>
      </w:r>
      <w:r w:rsidRPr="00F412B2">
        <w:rPr>
          <w:i/>
          <w:iCs/>
        </w:rPr>
        <w:t>68</w:t>
      </w:r>
      <w:r w:rsidRPr="00F412B2">
        <w:t>(3), 431-442.</w:t>
      </w:r>
    </w:p>
    <w:p w14:paraId="7564ECCA" w14:textId="4F537DC4" w:rsidR="00F412B2" w:rsidRPr="00F412B2" w:rsidRDefault="00F412B2" w:rsidP="00F412B2">
      <w:pPr>
        <w:pStyle w:val="NormalWeb"/>
        <w:spacing w:line="480" w:lineRule="auto"/>
        <w:ind w:left="720" w:hanging="720"/>
        <w:contextualSpacing/>
      </w:pPr>
      <w:r w:rsidRPr="00F412B2">
        <w:t>Yale University. (n.d.). Linear Regression. Retrieved from http://www.stat.yale.edu/Courses/1997-98/101/linreg.htm</w:t>
      </w:r>
    </w:p>
    <w:sectPr w:rsidR="00F412B2" w:rsidRPr="00F412B2" w:rsidSect="00E74CCC">
      <w:head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9896D" w14:textId="77777777" w:rsidR="000F169B" w:rsidRDefault="000F169B" w:rsidP="00E4761C">
      <w:pPr>
        <w:spacing w:after="0" w:line="240" w:lineRule="auto"/>
      </w:pPr>
      <w:r>
        <w:separator/>
      </w:r>
    </w:p>
  </w:endnote>
  <w:endnote w:type="continuationSeparator" w:id="0">
    <w:p w14:paraId="4D283482" w14:textId="77777777" w:rsidR="000F169B" w:rsidRDefault="000F169B"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A632F" w14:textId="77777777" w:rsidR="000F169B" w:rsidRDefault="000F169B" w:rsidP="00E4761C">
      <w:pPr>
        <w:spacing w:after="0" w:line="240" w:lineRule="auto"/>
      </w:pPr>
      <w:r>
        <w:separator/>
      </w:r>
    </w:p>
  </w:footnote>
  <w:footnote w:type="continuationSeparator" w:id="0">
    <w:p w14:paraId="01E3260B" w14:textId="77777777" w:rsidR="000F169B" w:rsidRDefault="000F169B"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B6E10" w14:textId="35977034" w:rsidR="007C77E9" w:rsidRPr="00593C2C" w:rsidRDefault="0089623B" w:rsidP="00260441">
    <w:pPr>
      <w:pStyle w:val="Header"/>
      <w:rPr>
        <w:rFonts w:ascii="Times New Roman" w:hAnsi="Times New Roman"/>
        <w:sz w:val="24"/>
        <w:szCs w:val="24"/>
      </w:rPr>
    </w:pPr>
    <w:r>
      <w:rPr>
        <w:rFonts w:ascii="Times New Roman" w:hAnsi="Times New Roman"/>
        <w:sz w:val="24"/>
        <w:szCs w:val="24"/>
      </w:rPr>
      <w:t>PREDICTIVE ANALYTICS USING TELCO EXTRA DATASET</w:t>
    </w:r>
    <w:r w:rsidR="0036357E">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B15ED7">
      <w:rPr>
        <w:rFonts w:ascii="Times New Roman" w:hAnsi="Times New Roman"/>
        <w:noProof/>
        <w:sz w:val="24"/>
        <w:szCs w:val="24"/>
      </w:rPr>
      <w:t>2</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D3870" w14:textId="1016940F" w:rsidR="007C77E9" w:rsidRPr="00466FD3" w:rsidRDefault="007C77E9">
    <w:pPr>
      <w:pStyle w:val="Header"/>
      <w:rPr>
        <w:rFonts w:ascii="Times New Roman" w:hAnsi="Times New Roman"/>
        <w:sz w:val="24"/>
        <w:szCs w:val="24"/>
      </w:rPr>
    </w:pPr>
    <w:r>
      <w:rPr>
        <w:rFonts w:ascii="Times New Roman" w:hAnsi="Times New Roman"/>
        <w:sz w:val="24"/>
        <w:szCs w:val="24"/>
      </w:rPr>
      <w:t xml:space="preserve">Running head: </w:t>
    </w:r>
    <w:r w:rsidR="0089623B">
      <w:rPr>
        <w:rFonts w:ascii="Times New Roman" w:hAnsi="Times New Roman"/>
        <w:sz w:val="24"/>
        <w:szCs w:val="24"/>
      </w:rPr>
      <w:t>PREDICTIVE ANALYTICS USING TELCO EXTRA DATASET</w:t>
    </w:r>
    <w:r>
      <w:rPr>
        <w:rFonts w:ascii="Times New Roman" w:hAnsi="Times New Roman"/>
        <w:sz w:val="24"/>
        <w:szCs w:val="24"/>
      </w:rPr>
      <w:tab/>
    </w:r>
    <w:r w:rsidRPr="00466FD3">
      <w:rPr>
        <w:rFonts w:ascii="Times New Roman" w:hAnsi="Times New Roman"/>
        <w:sz w:val="24"/>
        <w:szCs w:val="24"/>
      </w:rPr>
      <w:fldChar w:fldCharType="begin"/>
    </w:r>
    <w:r w:rsidRPr="00466FD3">
      <w:rPr>
        <w:rFonts w:ascii="Times New Roman" w:hAnsi="Times New Roman"/>
        <w:sz w:val="24"/>
        <w:szCs w:val="24"/>
      </w:rPr>
      <w:instrText xml:space="preserve"> PAGE   \* MERGEFORMAT </w:instrText>
    </w:r>
    <w:r w:rsidRPr="00466FD3">
      <w:rPr>
        <w:rFonts w:ascii="Times New Roman" w:hAnsi="Times New Roman"/>
        <w:sz w:val="24"/>
        <w:szCs w:val="24"/>
      </w:rPr>
      <w:fldChar w:fldCharType="separate"/>
    </w:r>
    <w:r w:rsidR="00B15ED7">
      <w:rPr>
        <w:rFonts w:ascii="Times New Roman" w:hAnsi="Times New Roman"/>
        <w:noProof/>
        <w:sz w:val="24"/>
        <w:szCs w:val="24"/>
      </w:rPr>
      <w:t>1</w:t>
    </w:r>
    <w:r w:rsidRPr="00466FD3">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8267A"/>
    <w:multiLevelType w:val="hybridMultilevel"/>
    <w:tmpl w:val="0A747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4513E"/>
    <w:multiLevelType w:val="hybridMultilevel"/>
    <w:tmpl w:val="F2C0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10"/>
  </w:num>
  <w:num w:numId="6">
    <w:abstractNumId w:val="2"/>
  </w:num>
  <w:num w:numId="7">
    <w:abstractNumId w:val="3"/>
  </w:num>
  <w:num w:numId="8">
    <w:abstractNumId w:val="7"/>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761C"/>
    <w:rsid w:val="0000157C"/>
    <w:rsid w:val="00030C32"/>
    <w:rsid w:val="0003330B"/>
    <w:rsid w:val="00046CF1"/>
    <w:rsid w:val="00046E25"/>
    <w:rsid w:val="000763AF"/>
    <w:rsid w:val="00086C7D"/>
    <w:rsid w:val="000A6FE9"/>
    <w:rsid w:val="000D23D2"/>
    <w:rsid w:val="000E6503"/>
    <w:rsid w:val="000F169B"/>
    <w:rsid w:val="001040EC"/>
    <w:rsid w:val="00113940"/>
    <w:rsid w:val="00172FCA"/>
    <w:rsid w:val="0018453B"/>
    <w:rsid w:val="001A2BC2"/>
    <w:rsid w:val="001F1723"/>
    <w:rsid w:val="002055AC"/>
    <w:rsid w:val="00210C36"/>
    <w:rsid w:val="00233BB8"/>
    <w:rsid w:val="0024710F"/>
    <w:rsid w:val="002533B0"/>
    <w:rsid w:val="00260441"/>
    <w:rsid w:val="00286020"/>
    <w:rsid w:val="002E4BAC"/>
    <w:rsid w:val="00341911"/>
    <w:rsid w:val="0035156D"/>
    <w:rsid w:val="00361531"/>
    <w:rsid w:val="0036357E"/>
    <w:rsid w:val="003839E3"/>
    <w:rsid w:val="003D1F77"/>
    <w:rsid w:val="003F1E79"/>
    <w:rsid w:val="0041740B"/>
    <w:rsid w:val="00425E38"/>
    <w:rsid w:val="004367E3"/>
    <w:rsid w:val="004575E9"/>
    <w:rsid w:val="00466FD3"/>
    <w:rsid w:val="00476971"/>
    <w:rsid w:val="004922C1"/>
    <w:rsid w:val="004A787F"/>
    <w:rsid w:val="00502468"/>
    <w:rsid w:val="00523BD5"/>
    <w:rsid w:val="0056095C"/>
    <w:rsid w:val="00565DF3"/>
    <w:rsid w:val="00572B2D"/>
    <w:rsid w:val="00583926"/>
    <w:rsid w:val="00593C2C"/>
    <w:rsid w:val="00596B53"/>
    <w:rsid w:val="005C5A9E"/>
    <w:rsid w:val="005D27BF"/>
    <w:rsid w:val="005E6369"/>
    <w:rsid w:val="005F3012"/>
    <w:rsid w:val="00602ECF"/>
    <w:rsid w:val="006200BB"/>
    <w:rsid w:val="0062441D"/>
    <w:rsid w:val="0064057C"/>
    <w:rsid w:val="00645E2D"/>
    <w:rsid w:val="006770C9"/>
    <w:rsid w:val="006C1910"/>
    <w:rsid w:val="006C31ED"/>
    <w:rsid w:val="006C3ABB"/>
    <w:rsid w:val="006E1312"/>
    <w:rsid w:val="006F2038"/>
    <w:rsid w:val="007513DA"/>
    <w:rsid w:val="00766546"/>
    <w:rsid w:val="007B6910"/>
    <w:rsid w:val="007C77E9"/>
    <w:rsid w:val="007D5FD1"/>
    <w:rsid w:val="007E19D1"/>
    <w:rsid w:val="00800CD8"/>
    <w:rsid w:val="008171AF"/>
    <w:rsid w:val="00835E57"/>
    <w:rsid w:val="00846686"/>
    <w:rsid w:val="00853FA9"/>
    <w:rsid w:val="00861C48"/>
    <w:rsid w:val="008638A9"/>
    <w:rsid w:val="00873730"/>
    <w:rsid w:val="0089623B"/>
    <w:rsid w:val="008C2115"/>
    <w:rsid w:val="008C4264"/>
    <w:rsid w:val="008D5359"/>
    <w:rsid w:val="008D562B"/>
    <w:rsid w:val="008E12CF"/>
    <w:rsid w:val="008E3676"/>
    <w:rsid w:val="008E4DB7"/>
    <w:rsid w:val="009038CE"/>
    <w:rsid w:val="00904BF9"/>
    <w:rsid w:val="00904E64"/>
    <w:rsid w:val="009414B0"/>
    <w:rsid w:val="00953DA0"/>
    <w:rsid w:val="009642C4"/>
    <w:rsid w:val="009B5B1F"/>
    <w:rsid w:val="009D0E8C"/>
    <w:rsid w:val="009E22C9"/>
    <w:rsid w:val="00A34A18"/>
    <w:rsid w:val="00A476A2"/>
    <w:rsid w:val="00A535B6"/>
    <w:rsid w:val="00AD63B2"/>
    <w:rsid w:val="00AE067D"/>
    <w:rsid w:val="00B063E3"/>
    <w:rsid w:val="00B15ED7"/>
    <w:rsid w:val="00B20D74"/>
    <w:rsid w:val="00B51EAC"/>
    <w:rsid w:val="00B56D29"/>
    <w:rsid w:val="00B767A4"/>
    <w:rsid w:val="00B86C3C"/>
    <w:rsid w:val="00BD0794"/>
    <w:rsid w:val="00BD08D0"/>
    <w:rsid w:val="00BF7105"/>
    <w:rsid w:val="00C14531"/>
    <w:rsid w:val="00C21AFB"/>
    <w:rsid w:val="00C27BFE"/>
    <w:rsid w:val="00C5026D"/>
    <w:rsid w:val="00C54C71"/>
    <w:rsid w:val="00C56F8C"/>
    <w:rsid w:val="00C615E0"/>
    <w:rsid w:val="00C70CC1"/>
    <w:rsid w:val="00C809E7"/>
    <w:rsid w:val="00CB6605"/>
    <w:rsid w:val="00CB6D94"/>
    <w:rsid w:val="00CD6FC1"/>
    <w:rsid w:val="00CF3F7D"/>
    <w:rsid w:val="00D211AE"/>
    <w:rsid w:val="00D438A1"/>
    <w:rsid w:val="00D62020"/>
    <w:rsid w:val="00D67183"/>
    <w:rsid w:val="00D732B3"/>
    <w:rsid w:val="00DA3B1B"/>
    <w:rsid w:val="00DA6A9A"/>
    <w:rsid w:val="00DA77DD"/>
    <w:rsid w:val="00DC1EC0"/>
    <w:rsid w:val="00DD4860"/>
    <w:rsid w:val="00E24148"/>
    <w:rsid w:val="00E25580"/>
    <w:rsid w:val="00E26A2A"/>
    <w:rsid w:val="00E36B96"/>
    <w:rsid w:val="00E37E00"/>
    <w:rsid w:val="00E4761C"/>
    <w:rsid w:val="00E47F57"/>
    <w:rsid w:val="00E57A85"/>
    <w:rsid w:val="00E74CCC"/>
    <w:rsid w:val="00EA2C5B"/>
    <w:rsid w:val="00EA563F"/>
    <w:rsid w:val="00EB29FF"/>
    <w:rsid w:val="00EE2EF9"/>
    <w:rsid w:val="00F02539"/>
    <w:rsid w:val="00F1728D"/>
    <w:rsid w:val="00F235A2"/>
    <w:rsid w:val="00F308A0"/>
    <w:rsid w:val="00F30A56"/>
    <w:rsid w:val="00F333FE"/>
    <w:rsid w:val="00F412B2"/>
    <w:rsid w:val="00F46DF3"/>
    <w:rsid w:val="00F61329"/>
    <w:rsid w:val="00F83DE9"/>
    <w:rsid w:val="00FB2133"/>
    <w:rsid w:val="00FC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colormenu v:ext="edit" strokecolor="none [3213]"/>
    </o:shapedefaults>
    <o:shapelayout v:ext="edit">
      <o:idmap v:ext="edit" data="1"/>
    </o:shapelayout>
  </w:shapeDefaults>
  <w:decimalSymbol w:val="."/>
  <w:listSeparator w:val=","/>
  <w14:docId w14:val="2EC418F5"/>
  <w15:chartTrackingRefBased/>
  <w15:docId w15:val="{A311D544-674F-4250-B5D9-74BDE23C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sdException w:name="Smart Link Error" w:uiPriority="49"/>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paragraph" w:styleId="ListParagraph">
    <w:name w:val="List Paragraph"/>
    <w:basedOn w:val="Normal"/>
    <w:uiPriority w:val="72"/>
    <w:qFormat/>
    <w:rsid w:val="00F235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5275">
      <w:bodyDiv w:val="1"/>
      <w:marLeft w:val="0"/>
      <w:marRight w:val="0"/>
      <w:marTop w:val="0"/>
      <w:marBottom w:val="0"/>
      <w:divBdr>
        <w:top w:val="none" w:sz="0" w:space="0" w:color="auto"/>
        <w:left w:val="none" w:sz="0" w:space="0" w:color="auto"/>
        <w:bottom w:val="none" w:sz="0" w:space="0" w:color="auto"/>
        <w:right w:val="none" w:sz="0" w:space="0" w:color="auto"/>
      </w:divBdr>
      <w:divsChild>
        <w:div w:id="1854487826">
          <w:marLeft w:val="0"/>
          <w:marRight w:val="0"/>
          <w:marTop w:val="0"/>
          <w:marBottom w:val="0"/>
          <w:divBdr>
            <w:top w:val="none" w:sz="0" w:space="0" w:color="auto"/>
            <w:left w:val="none" w:sz="0" w:space="0" w:color="auto"/>
            <w:bottom w:val="none" w:sz="0" w:space="0" w:color="auto"/>
            <w:right w:val="none" w:sz="0" w:space="0" w:color="auto"/>
          </w:divBdr>
          <w:divsChild>
            <w:div w:id="4214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5461">
      <w:bodyDiv w:val="1"/>
      <w:marLeft w:val="0"/>
      <w:marRight w:val="0"/>
      <w:marTop w:val="0"/>
      <w:marBottom w:val="0"/>
      <w:divBdr>
        <w:top w:val="none" w:sz="0" w:space="0" w:color="auto"/>
        <w:left w:val="none" w:sz="0" w:space="0" w:color="auto"/>
        <w:bottom w:val="none" w:sz="0" w:space="0" w:color="auto"/>
        <w:right w:val="none" w:sz="0" w:space="0" w:color="auto"/>
      </w:divBdr>
      <w:divsChild>
        <w:div w:id="877008184">
          <w:marLeft w:val="0"/>
          <w:marRight w:val="0"/>
          <w:marTop w:val="0"/>
          <w:marBottom w:val="0"/>
          <w:divBdr>
            <w:top w:val="none" w:sz="0" w:space="0" w:color="auto"/>
            <w:left w:val="none" w:sz="0" w:space="0" w:color="auto"/>
            <w:bottom w:val="none" w:sz="0" w:space="0" w:color="auto"/>
            <w:right w:val="none" w:sz="0" w:space="0" w:color="auto"/>
          </w:divBdr>
          <w:divsChild>
            <w:div w:id="10290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4BC94-B239-495A-9D78-467EEC53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10324</CharactersWithSpaces>
  <SharedDoc>false</SharedDoc>
  <HLinks>
    <vt:vector size="102" baseType="variant">
      <vt:variant>
        <vt:i4>6094939</vt:i4>
      </vt:variant>
      <vt:variant>
        <vt:i4>48</vt:i4>
      </vt:variant>
      <vt:variant>
        <vt:i4>0</vt:i4>
      </vt:variant>
      <vt:variant>
        <vt:i4>5</vt:i4>
      </vt:variant>
      <vt:variant>
        <vt:lpwstr>https://www.nimh.nih.gov/health/statistics/post-traumatic-stress-disorder-ptsd.shtml</vt:lpwstr>
      </vt:variant>
      <vt:variant>
        <vt:lpwstr/>
      </vt:variant>
      <vt:variant>
        <vt:i4>1114218</vt:i4>
      </vt:variant>
      <vt:variant>
        <vt:i4>45</vt:i4>
      </vt:variant>
      <vt:variant>
        <vt:i4>0</vt:i4>
      </vt:variant>
      <vt:variant>
        <vt:i4>5</vt:i4>
      </vt:variant>
      <vt:variant>
        <vt:lpwstr>https://doi.org/10.4324/9780203863190</vt:lpwstr>
      </vt:variant>
      <vt:variant>
        <vt:lpwstr/>
      </vt:variant>
      <vt:variant>
        <vt:i4>1769559</vt:i4>
      </vt:variant>
      <vt:variant>
        <vt:i4>42</vt:i4>
      </vt:variant>
      <vt:variant>
        <vt:i4>0</vt:i4>
      </vt:variant>
      <vt:variant>
        <vt:i4>5</vt:i4>
      </vt:variant>
      <vt:variant>
        <vt:lpwstr>https://doi.org/10.1177/0163443715608259</vt:lpwstr>
      </vt:variant>
      <vt:variant>
        <vt:lpwstr/>
      </vt:variant>
      <vt:variant>
        <vt:i4>917548</vt:i4>
      </vt:variant>
      <vt:variant>
        <vt:i4>39</vt:i4>
      </vt:variant>
      <vt:variant>
        <vt:i4>0</vt:i4>
      </vt:variant>
      <vt:variant>
        <vt:i4>5</vt:i4>
      </vt:variant>
      <vt:variant>
        <vt:lpwstr>https://doi.org/10.1007/s10804-013-9176-4</vt:lpwstr>
      </vt:variant>
      <vt:variant>
        <vt:lpwstr/>
      </vt:variant>
      <vt:variant>
        <vt:i4>3342416</vt:i4>
      </vt:variant>
      <vt:variant>
        <vt:i4>36</vt:i4>
      </vt:variant>
      <vt:variant>
        <vt:i4>0</vt:i4>
      </vt:variant>
      <vt:variant>
        <vt:i4>5</vt:i4>
      </vt:variant>
      <vt:variant>
        <vt:lpwstr>https://www.cdc.gov/masstrauma/factsheets/public/coping.pdf</vt:lpwstr>
      </vt:variant>
      <vt:variant>
        <vt:lpwstr/>
      </vt:variant>
      <vt:variant>
        <vt:i4>393311</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1704006</vt:i4>
      </vt:variant>
      <vt:variant>
        <vt:i4>30</vt:i4>
      </vt:variant>
      <vt:variant>
        <vt:i4>0</vt:i4>
      </vt:variant>
      <vt:variant>
        <vt:i4>5</vt:i4>
      </vt:variant>
      <vt:variant>
        <vt:lpwstr>https://csuglobal.libguides.com/writingcenter/apa_resources/using_apa</vt:lpwstr>
      </vt:variant>
      <vt:variant>
        <vt:lpwstr>Reference_Examples</vt:lpwstr>
      </vt:variant>
      <vt:variant>
        <vt:i4>8257662</vt:i4>
      </vt:variant>
      <vt:variant>
        <vt:i4>27</vt:i4>
      </vt:variant>
      <vt:variant>
        <vt:i4>0</vt:i4>
      </vt:variant>
      <vt:variant>
        <vt:i4>5</vt:i4>
      </vt:variant>
      <vt:variant>
        <vt:lpwstr>https://csuglobal.libguides.com/writingcenter/apa_resources/using_apa</vt:lpwstr>
      </vt:variant>
      <vt:variant>
        <vt:lpwstr>In-Text_Examples</vt:lpwstr>
      </vt:variant>
      <vt:variant>
        <vt:i4>7602211</vt:i4>
      </vt:variant>
      <vt:variant>
        <vt:i4>24</vt:i4>
      </vt:variant>
      <vt:variant>
        <vt:i4>0</vt:i4>
      </vt:variant>
      <vt:variant>
        <vt:i4>5</vt:i4>
      </vt:variant>
      <vt:variant>
        <vt:lpwstr>https://blog.apastyle.org/apastyle/personal-communication/</vt:lpwstr>
      </vt:variant>
      <vt:variant>
        <vt:lpwstr/>
      </vt:variant>
      <vt:variant>
        <vt:i4>7864373</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5242917</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6946902</vt:i4>
      </vt:variant>
      <vt:variant>
        <vt:i4>6</vt:i4>
      </vt:variant>
      <vt:variant>
        <vt:i4>0</vt:i4>
      </vt:variant>
      <vt:variant>
        <vt:i4>5</vt:i4>
      </vt:variant>
      <vt:variant>
        <vt:lpwstr>https://blog.apastyle.org/apastyle/2011/04/how-to-use-five-levels-of-heading-in-an-apa-style-paper.html</vt:lpwstr>
      </vt:variant>
      <vt:variant>
        <vt:lpwstr/>
      </vt:variant>
      <vt:variant>
        <vt:i4>5373993</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393311</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Duchene, Steve</cp:lastModifiedBy>
  <cp:revision>9</cp:revision>
  <dcterms:created xsi:type="dcterms:W3CDTF">2020-06-05T17:21:00Z</dcterms:created>
  <dcterms:modified xsi:type="dcterms:W3CDTF">2020-06-06T02:12:00Z</dcterms:modified>
</cp:coreProperties>
</file>