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40"/>
          <w:szCs w:val="40"/>
          <w:rtl w:val="0"/>
        </w:rPr>
        <w:t xml:space="preserve">STEFAN 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555555"/>
          <w:sz w:val="22"/>
          <w:szCs w:val="22"/>
          <w:rtl w:val="0"/>
        </w:rPr>
        <w:t xml:space="preserve">Consultant Senior IA / ML  ·  Data Science &amp; Quant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cccccc" w:space="4" w:sz="4" w:val="single"/>
        </w:pBd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555555"/>
          <w:sz w:val="17"/>
          <w:szCs w:val="17"/>
          <w:rtl w:val="0"/>
        </w:rPr>
        <w:t xml:space="preserve">Chaville (92), Île-de-France   |   stefan.duprey@gmail.com   |   linkedin.com/in/stefanduprey   |   github.com/sduprey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1f3a5f" w:space="3" w:sz="6" w:val="single"/>
        </w:pBdr>
        <w:spacing w:after="9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a5f"/>
          <w:sz w:val="22"/>
          <w:szCs w:val="22"/>
          <w:rtl w:val="0"/>
        </w:rPr>
        <w:t xml:space="preserve">PROFIL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="264" w:lineRule="auto"/>
        <w:jc w:val="both"/>
        <w:rPr>
          <w:color w:val="222222"/>
          <w:sz w:val="19"/>
          <w:szCs w:val="19"/>
        </w:rPr>
      </w:pPr>
      <w:r w:rsidDel="00000000" w:rsidR="00000000" w:rsidRPr="00000000">
        <w:rPr>
          <w:color w:val="222222"/>
          <w:sz w:val="19"/>
          <w:szCs w:val="19"/>
          <w:rtl w:val="0"/>
        </w:rPr>
        <w:t xml:space="preserve">20 ans à concevoir et déployer des systèmes d'IA qui tiennent en production — applications LLM et IA agentique, pipelines MLOps pour tirer de la valeur métier des données</w:t>
        <w:br w:type="textWrapping"/>
        <w:t xml:space="preserve">20 ans d'expérience en IA, IA agentique, machine learning, data science, algorithmique, data analytics, économétrie, mathématiques appliquées et ingénierie logicielle — NLP par deep learning sur embeddings word2vec dès 2014</w:t>
      </w:r>
    </w:p>
    <w:p w:rsidR="00000000" w:rsidDel="00000000" w:rsidP="00000000" w:rsidRDefault="00000000" w:rsidRPr="00000000" w14:paraId="00000006">
      <w:pPr>
        <w:spacing w:after="240" w:before="240" w:line="264" w:lineRule="auto"/>
        <w:jc w:val="both"/>
        <w:rPr>
          <w:color w:val="222222"/>
          <w:sz w:val="19"/>
          <w:szCs w:val="19"/>
        </w:rPr>
      </w:pPr>
      <w:r w:rsidDel="00000000" w:rsidR="00000000" w:rsidRPr="00000000">
        <w:rPr>
          <w:color w:val="222222"/>
          <w:sz w:val="19"/>
          <w:szCs w:val="19"/>
          <w:rtl w:val="0"/>
        </w:rPr>
        <w:t xml:space="preserve">Product manager IA : je transforme des POC en produits en production — cadrage des cas d'usage, priorisation valeur / faisabilité, delivery et reporting </w:t>
      </w:r>
    </w:p>
    <w:p w:rsidR="00000000" w:rsidDel="00000000" w:rsidP="00000000" w:rsidRDefault="00000000" w:rsidRPr="00000000" w14:paraId="00000007">
      <w:pPr>
        <w:spacing w:after="240" w:before="240" w:line="264" w:lineRule="auto"/>
        <w:jc w:val="both"/>
        <w:rPr>
          <w:color w:val="222222"/>
          <w:sz w:val="19"/>
          <w:szCs w:val="19"/>
        </w:rPr>
      </w:pPr>
      <w:r w:rsidDel="00000000" w:rsidR="00000000" w:rsidRPr="00000000">
        <w:rPr>
          <w:color w:val="222222"/>
          <w:sz w:val="19"/>
          <w:szCs w:val="19"/>
          <w:rtl w:val="0"/>
        </w:rPr>
        <w:t xml:space="preserve">Solide expertise en finance de marché, gestion d'actifs et assurance, autour de la Data, de l'IA et de la Blockchain</w:t>
      </w:r>
    </w:p>
    <w:p w:rsidR="00000000" w:rsidDel="00000000" w:rsidP="00000000" w:rsidRDefault="00000000" w:rsidRPr="00000000" w14:paraId="00000008">
      <w:pPr>
        <w:spacing w:after="240" w:before="240" w:line="264" w:lineRule="auto"/>
        <w:jc w:val="both"/>
        <w:rPr>
          <w:color w:val="222222"/>
          <w:sz w:val="19"/>
          <w:szCs w:val="19"/>
        </w:rPr>
      </w:pPr>
      <w:r w:rsidDel="00000000" w:rsidR="00000000" w:rsidRPr="00000000">
        <w:rPr>
          <w:color w:val="222222"/>
          <w:sz w:val="19"/>
          <w:szCs w:val="19"/>
          <w:rtl w:val="0"/>
        </w:rPr>
        <w:t xml:space="preserve">Leader technique transverse : quant, data scientist, ML engineer &amp; développeur — j'apporte les fondements mathématiques de l'IA moderne, pas seulement les surcouches</w:t>
      </w:r>
    </w:p>
    <w:p w:rsidR="00000000" w:rsidDel="00000000" w:rsidP="00000000" w:rsidRDefault="00000000" w:rsidRPr="00000000" w14:paraId="00000009">
      <w:pPr>
        <w:spacing w:after="240" w:before="240" w:line="264" w:lineRule="auto"/>
        <w:jc w:val="both"/>
        <w:rPr>
          <w:color w:val="222222"/>
          <w:sz w:val="19"/>
          <w:szCs w:val="19"/>
        </w:rPr>
      </w:pPr>
      <w:r w:rsidDel="00000000" w:rsidR="00000000" w:rsidRPr="00000000">
        <w:rPr>
          <w:color w:val="222222"/>
          <w:sz w:val="19"/>
          <w:szCs w:val="19"/>
          <w:rtl w:val="0"/>
        </w:rPr>
        <w:t xml:space="preserve">Doctorat en mathématiques appliquées / physique, Master en statistiques, Google Professional Machine Learning Engineer, Top Kaggler · Enseignant ML / data science (Dauphine, EPITA, Mines de Nancy, Aivancity, Albert School)</w:t>
      </w:r>
    </w:p>
    <w:p w:rsidR="00000000" w:rsidDel="00000000" w:rsidP="00000000" w:rsidRDefault="00000000" w:rsidRPr="00000000" w14:paraId="0000000A">
      <w:pPr>
        <w:pBdr>
          <w:bottom w:color="1f3a5f" w:space="3" w:sz="6" w:val="single"/>
        </w:pBdr>
        <w:spacing w:after="9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a5f"/>
          <w:sz w:val="22"/>
          <w:szCs w:val="22"/>
          <w:rtl w:val="0"/>
        </w:rPr>
        <w:t xml:space="preserve">COMPÉTENCES CLÉS</w:t>
      </w:r>
      <w:r w:rsidDel="00000000" w:rsidR="00000000" w:rsidRPr="00000000">
        <w:rPr>
          <w:rtl w:val="0"/>
        </w:rPr>
      </w:r>
    </w:p>
    <w:tbl>
      <w:tblPr>
        <w:tblStyle w:val="Table1"/>
        <w:tblW w:w="1010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dddddd" w:space="0" w:sz="4" w:val="single"/>
          <w:insideV w:color="000000" w:space="0" w:sz="0" w:val="nil"/>
        </w:tblBorders>
        <w:tblLayout w:type="fixed"/>
        <w:tblLook w:val="0000"/>
      </w:tblPr>
      <w:tblGrid>
        <w:gridCol w:w="2500"/>
        <w:gridCol w:w="7606"/>
        <w:tblGridChange w:id="0">
          <w:tblGrid>
            <w:gridCol w:w="2500"/>
            <w:gridCol w:w="7606"/>
          </w:tblGrid>
        </w:tblGridChange>
      </w:tblGrid>
      <w:tr>
        <w:trPr>
          <w:cantSplit w:val="0"/>
          <w:tblHeader w:val="0"/>
        </w:trPr>
        <w:tc>
          <w:tcPr>
            <w:shd w:fill="f2f5f8" w:val="clear"/>
            <w:tcMar>
              <w:top w:w="40.0" w:type="dxa"/>
              <w:left w:w="12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a5f"/>
                <w:sz w:val="18"/>
                <w:szCs w:val="18"/>
                <w:rtl w:val="0"/>
              </w:rPr>
              <w:t xml:space="preserve">IA générative &amp; agentique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14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18"/>
                <w:szCs w:val="18"/>
                <w:rtl w:val="0"/>
              </w:rPr>
              <w:t xml:space="preserve">LLM, RAG, agents IA, prompt engineering · chatbots RAG et notation par LLM en production · LangChain / LangGraph · Claude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8" w:val="clear"/>
            <w:tcMar>
              <w:top w:w="40.0" w:type="dxa"/>
              <w:left w:w="12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a5f"/>
                <w:sz w:val="18"/>
                <w:szCs w:val="18"/>
                <w:rtl w:val="0"/>
              </w:rPr>
              <w:t xml:space="preserve">Machine &amp; deep learning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14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18"/>
                <w:szCs w:val="18"/>
                <w:rtl w:val="0"/>
              </w:rPr>
              <w:t xml:space="preserve">Deep learning, NLP (word2vec → transformers), séries temporelles (PyTorch, Prophet, LSTM) · Top Kaggler (Top 1 %)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8" w:val="clear"/>
            <w:tcMar>
              <w:top w:w="40.0" w:type="dxa"/>
              <w:left w:w="12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a5f"/>
                <w:sz w:val="18"/>
                <w:szCs w:val="18"/>
                <w:rtl w:val="0"/>
              </w:rPr>
              <w:t xml:space="preserve">MLOps &amp; plateformes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14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18"/>
                <w:szCs w:val="18"/>
                <w:rtl w:val="0"/>
              </w:rPr>
              <w:t xml:space="preserve">GCP Vertex AI (certifié PMLE) · AWS (EC2, S3, Redshift) · Docker · Airflow · Kafka · déploiement et industrialisation de modèles (POC → production)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8" w:val="clear"/>
            <w:tcMar>
              <w:top w:w="40.0" w:type="dxa"/>
              <w:left w:w="12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a5f"/>
                <w:sz w:val="18"/>
                <w:szCs w:val="18"/>
                <w:rtl w:val="0"/>
              </w:rPr>
              <w:t xml:space="preserve">Modélisation quantitative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14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18"/>
                <w:szCs w:val="18"/>
                <w:rtl w:val="0"/>
              </w:rPr>
              <w:t xml:space="preserve">Finance de marché, gestion d'actifs, dérivés · optimisation de portefeuille · blockchain / DeFi · crypto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8" w:val="clear"/>
            <w:tcMar>
              <w:top w:w="40.0" w:type="dxa"/>
              <w:left w:w="12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color w:val="1f3a5f"/>
                <w:sz w:val="18"/>
                <w:szCs w:val="18"/>
                <w:rtl w:val="0"/>
              </w:rPr>
              <w:t xml:space="preserve">Languages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a5f"/>
                <w:sz w:val="18"/>
                <w:szCs w:val="18"/>
                <w:rtl w:val="0"/>
              </w:rPr>
              <w:t xml:space="preserve"> &amp;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14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18"/>
                <w:szCs w:val="18"/>
                <w:rtl w:val="0"/>
              </w:rPr>
              <w:t xml:space="preserve">Python, Java / Spring Boot, R, SQL, Solidity · Spark · PostgreSQL / Redshift · E</w:t>
            </w: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lasticSearch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8" w:val="clear"/>
            <w:tcMar>
              <w:top w:w="40.0" w:type="dxa"/>
              <w:left w:w="12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a5f"/>
                <w:sz w:val="18"/>
                <w:szCs w:val="18"/>
                <w:rtl w:val="0"/>
              </w:rPr>
              <w:t xml:space="preserve">Enseignement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140.0" w:type="dxa"/>
              <w:bottom w:w="4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18"/>
                <w:szCs w:val="18"/>
                <w:rtl w:val="0"/>
              </w:rPr>
              <w:t xml:space="preserve">Conception et animation de modules IA / data science — EPITA, Dauphine, Aivancity, Mines de Nancy, Albert School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pBdr>
          <w:bottom w:color="1f3a5f" w:space="3" w:sz="6" w:val="single"/>
        </w:pBdr>
        <w:spacing w:after="9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a5f"/>
          <w:sz w:val="22"/>
          <w:szCs w:val="22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" w:lineRule="auto"/>
        <w:rPr/>
      </w:pPr>
      <w:r w:rsidDel="00000000" w:rsidR="00000000" w:rsidRPr="00000000">
        <w:rPr>
          <w:rFonts w:ascii="Calibri" w:cs="Calibri" w:eastAsia="Calibri" w:hAnsi="Calibri"/>
          <w:color w:val="222222"/>
          <w:sz w:val="19"/>
          <w:szCs w:val="19"/>
          <w:rtl w:val="0"/>
        </w:rPr>
        <w:t xml:space="preserve">Google Cloud — Professional Machine Learning Engineer</w:t>
      </w:r>
      <w:r w:rsidDel="00000000" w:rsidR="00000000" w:rsidRPr="00000000">
        <w:rPr>
          <w:rFonts w:ascii="Calibri" w:cs="Calibri" w:eastAsia="Calibri" w:hAnsi="Calibri"/>
          <w:color w:val="888888"/>
          <w:sz w:val="19"/>
          <w:szCs w:val="19"/>
          <w:rtl w:val="0"/>
        </w:rPr>
        <w:t xml:space="preserve">     ·     </w:t>
      </w:r>
      <w:r w:rsidDel="00000000" w:rsidR="00000000" w:rsidRPr="00000000">
        <w:rPr>
          <w:rFonts w:ascii="Calibri" w:cs="Calibri" w:eastAsia="Calibri" w:hAnsi="Calibri"/>
          <w:color w:val="222222"/>
          <w:sz w:val="19"/>
          <w:szCs w:val="19"/>
          <w:rtl w:val="0"/>
        </w:rPr>
        <w:t xml:space="preserve">Certification AMF (Autorité des Marchés Financiers)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bottom w:color="1f3a5f" w:space="3" w:sz="6" w:val="single"/>
        </w:pBdr>
        <w:spacing w:after="9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a5f"/>
          <w:sz w:val="22"/>
          <w:szCs w:val="22"/>
          <w:rtl w:val="0"/>
        </w:rPr>
        <w:t xml:space="preserve">EXPÉRIENCE PROFESSIONNELLE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10106"/>
        </w:tabs>
        <w:spacing w:after="2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0"/>
          <w:szCs w:val="20"/>
          <w:rtl w:val="0"/>
        </w:rPr>
        <w:t xml:space="preserve">Consultant IA / ML — Enseignant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   ·   Freelance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janv. 2024 – aujourd'hui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Lead technique — Proof of Value « IA au service de la chaîne DevOps / Data »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pour une grande banque française (via Keyrus) : intégration d'agents IA dans la CI/CD, génération de tests assistée par IA, outil automatisé de data lineage (SQLGlot / NetworkX).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Enseignement IA, data science &amp; méthodes quantitatives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prompt engineering &amp; LangChain / LangGraph (Albert School), data science, optimisation &amp; blockchain (EPITA), Python pour la finance (Master Finance, Dauphine), séries temporelles &amp; probabilités (Aivancity), analyse numérique (Mines de Nancy).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10106"/>
        </w:tabs>
        <w:spacing w:after="2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0"/>
          <w:szCs w:val="20"/>
          <w:rtl w:val="0"/>
        </w:rPr>
        <w:t xml:space="preserve">Data Scientist &amp; AI Engineer / Quantitative Analyst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   ·   SwissBorg · Paris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févr. 2022 – mai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Produits IA &amp; data science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chatbot RAG d'exploration de l'offre (POC → production) ; moteur de recommandation IA (POC → industrialisation) ; pricing IA de stratégies optionnelles (payoff, calibration de courbes / surfaces de volatilité / corrélations, greeks) ; moteur KYD de profilage de risque et de recommandation d'investissement.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Recherche quantitative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spécifications de SwissBorg MEX (méta-agrégateur de liquidité CEX &amp; DEX) ; bots de market-making hybrides CEX/DEX (liquidité concentrée, gestion d'inventaire) ; AMC smart-beta pour institutionnels, fonds de signaux trend-following, indices sectoriels RWA, optimisation de staking &amp; yield-farming DeFi.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ML engineering &amp; DataOps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pipelines DataOps, librairies Python de backtesting, bots de trading / signaux, dashboards produits.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before="10" w:lineRule="auto"/>
        <w:ind w:left="30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888888"/>
          <w:sz w:val="17"/>
          <w:szCs w:val="17"/>
          <w:rtl w:val="0"/>
        </w:rPr>
        <w:t xml:space="preserve">Environnement 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7"/>
          <w:szCs w:val="17"/>
          <w:rtl w:val="0"/>
        </w:rPr>
        <w:t xml:space="preserve">Python, LangChain / LangGraph, PyTorch, Prophet, Airflow, Kafka, Redshift, Metabase, Docker, Claude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right" w:leader="none" w:pos="10106"/>
        </w:tabs>
        <w:spacing w:after="2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0"/>
          <w:szCs w:val="20"/>
          <w:rtl w:val="0"/>
        </w:rPr>
        <w:t xml:space="preserve">Quantitative Analyst / Data Scientist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   ·   CoinShares (ex-NapoleonX) · Paris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mai 2019 – févr.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Modélisation ML &amp; data science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modèles IA / data science au service des stratégies financières et de la meilleure exécution ; prévision et modélisation quantitative en Python (PyTorch, Prophet).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Gestion d'actifs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gérant délégué d'un fonds réglementé de futures bitcoin — opérations quotidiennes (NAV, rachats, roll de futures).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Ingénierie logicielle &amp; blockchain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microservices de trading crypto, rebalancing de fonds et APIs de paiement ; cryptographie appliquée (Merkle, zk-SNARK) ; smart contracts d'ICO.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Product blockchain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framework de fonds autonome décentralisé (asset management on-chain) ; framework de preuve de performance / preuve d'alpha labellisé Finance Innovation.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40" w:before="10" w:lineRule="auto"/>
        <w:ind w:left="30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888888"/>
          <w:sz w:val="17"/>
          <w:szCs w:val="17"/>
          <w:rtl w:val="0"/>
        </w:rPr>
        <w:t xml:space="preserve">Environnement 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7"/>
          <w:szCs w:val="17"/>
          <w:rtl w:val="0"/>
        </w:rPr>
        <w:t xml:space="preserve">Python, Java / Spring Boot, Solidity, PyTorch, Prophet, Dash / Plotly, PostgreSQL, Kafka, ELK, S3, EC2, Docker.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right" w:leader="none" w:pos="10106"/>
        </w:tabs>
        <w:spacing w:after="2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0"/>
          <w:szCs w:val="20"/>
          <w:rtl w:val="0"/>
        </w:rPr>
        <w:t xml:space="preserve">Senior Consultant, Data Science &amp; Quantitative Finance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   ·   EY · Paris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nov. 2016 – mai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Data science &amp; ML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feature engineering par graphes pour la détection de fraude (Neo4j) ; modèles de scoring &amp; risque de crédit (scoring, PD, LGD ; revue et validation) ; modélisation de l'abus de marché ; moteur de recherche NLP sur textes réglementaires RGPD ; open-data analytics.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Encadrement &amp; delivery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responsable formation de l'équipe data science ; product manager — mise en place de l'offre « DataLab 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40" w:before="10" w:lineRule="auto"/>
        <w:ind w:left="30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888888"/>
          <w:sz w:val="17"/>
          <w:szCs w:val="17"/>
          <w:rtl w:val="0"/>
        </w:rPr>
        <w:t xml:space="preserve">Environnement 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7"/>
          <w:szCs w:val="17"/>
          <w:rtl w:val="0"/>
        </w:rPr>
        <w:t xml:space="preserve">Python, R, Spark, Elasticsearch, Neo4j, PostgreSQL / SAS, Tableau, RShiny.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right" w:leader="none" w:pos="10106"/>
        </w:tabs>
        <w:spacing w:after="2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0"/>
          <w:szCs w:val="20"/>
          <w:rtl w:val="0"/>
        </w:rPr>
        <w:t xml:space="preserve">Data Scientist / Quantitative Analyst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   ·   RavenPack · Espagne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mai 2014 – nov.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NLP par deep learning pour la finance, à l'état de l'art de l'époque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modèles de deep learning pour la classification d'événements sur embeddings word2vec — parmi les premiers à appliquer les modèles de Mikolov, une décennie avant la vague LLM.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Recherche quantitative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signaux de trading NLP actionnables sur le flux de news du Russell 2000 ; étude intraday (minute) de l'impact des news sur les actions ; prévision macro VAR / VEC (précision PIB supérieure au consensus) ; signal NLP géopolitique pour stratégies cash-and-carry ; modèles de facteurs de risque fondés sur les news.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40" w:before="10" w:lineRule="auto"/>
        <w:ind w:left="30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888888"/>
          <w:sz w:val="17"/>
          <w:szCs w:val="17"/>
          <w:rtl w:val="0"/>
        </w:rPr>
        <w:t xml:space="preserve">Environnement 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7"/>
          <w:szCs w:val="17"/>
          <w:rtl w:val="0"/>
        </w:rPr>
        <w:t xml:space="preserve">Python, R, Amazon Redshift.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right" w:leader="none" w:pos="10106"/>
        </w:tabs>
        <w:spacing w:after="2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0"/>
          <w:szCs w:val="20"/>
          <w:rtl w:val="0"/>
        </w:rPr>
        <w:t xml:space="preserve">Consultant, Data Science &amp; Quantitative Finance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   ·   The MathWorks · Paris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juin 2010 – mai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Référent technique de la suite financière MathWorks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 — le socle de calcul numérique et de mathématiques appliquées sur lequel repose le ML d'aujourd'hui.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Modélisation statistique &amp; optimisation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optimisation de portefeuille (Black-Litterman, CVaR, MAD, risk parity, modèles factoriels à covariance shrinkée) — la même boîte à outils d'apprentissage statistique qui sous-tend le ML moderne ; pricing numérique d'options exotiques ; processus stochastiques et volatilité ; modélisation de taux (cointégration / VEC, Libor Market Model) ; backtesting de mesures de risque ; moteur ALM assurance.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40" w:before="10" w:lineRule="auto"/>
        <w:ind w:left="30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888888"/>
          <w:sz w:val="17"/>
          <w:szCs w:val="17"/>
          <w:rtl w:val="0"/>
        </w:rPr>
        <w:t xml:space="preserve">Environnement 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7"/>
          <w:szCs w:val="17"/>
          <w:rtl w:val="0"/>
        </w:rPr>
        <w:t xml:space="preserve">MATLAB, calcul numérique haute performance (simulation Monte-Carlo sur GPU).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right" w:leader="none" w:pos="10106"/>
        </w:tabs>
        <w:spacing w:after="2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0"/>
          <w:szCs w:val="20"/>
          <w:rtl w:val="0"/>
        </w:rPr>
        <w:t xml:space="preserve">Data Scientist / Développeur / Data Engineer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   ·   Freelance · Paris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août 2006 – juin 2010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Machine learning &amp; big data — Cdiscount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ML à grande échelle sur plateforme big data distribuée, des années avant que ce soit courant ; recommandation marketing adaptative ciblée (optimisation de graphes, Spark ML / GraphX) ; classifieur NLP de qualité de pages produit (inférence d'attributs depuis texte libre) ; prévision sur logs crawlés ; plateforme de crawling sémantique (indexation Solr), orchestration Talend, graphe Neo4j ; moteur de pricing retail algorithmique (réajustement bid/ask).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Ingénierie quantitative &amp; trading — Société Générale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référentiel produits exotiques &amp; cycle de vie ; lead du projet CUBE Risk (pricing à la demande d'un portefeuille dérivés actions exotiques) ; pricing de dérivés exotiques.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Systèmes de trading basse latence — CACIB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plateforme de trading automatisé in-house ; application basse latence de suivi de marché &amp; gestion d'ordres ; émulation d'ordres sophistiqués, de couverture et de scénarios.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40" w:before="10" w:lineRule="auto"/>
        <w:ind w:left="30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888888"/>
          <w:sz w:val="17"/>
          <w:szCs w:val="17"/>
          <w:rtl w:val="0"/>
        </w:rPr>
        <w:t xml:space="preserve">Environnement 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7"/>
          <w:szCs w:val="17"/>
          <w:rtl w:val="0"/>
        </w:rPr>
        <w:t xml:space="preserve">Java, Python, Spark (ML / GraphX), Solr, Neo4j, Talend.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right" w:leader="none" w:pos="10106"/>
        </w:tabs>
        <w:spacing w:after="2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0"/>
          <w:szCs w:val="20"/>
          <w:rtl w:val="0"/>
        </w:rPr>
        <w:t xml:space="preserve">Ingénieur de recherche</w:t>
      </w:r>
      <w:r w:rsidDel="00000000" w:rsidR="00000000" w:rsidRPr="00000000">
        <w:rPr>
          <w:rFonts w:ascii="Calibri" w:cs="Calibri" w:eastAsia="Calibri" w:hAnsi="Calibri"/>
          <w:color w:val="555555"/>
          <w:sz w:val="19"/>
          <w:szCs w:val="19"/>
          <w:rtl w:val="0"/>
        </w:rPr>
        <w:t xml:space="preserve">   ·   EADS · Paris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sept. 2003 – août 2006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52.00000000000003" w:lineRule="auto"/>
        <w:ind w:left="300" w:right="0" w:hanging="18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Recherche (en lien avec une thèse INRIA) 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22222"/>
          <w:sz w:val="19"/>
          <w:szCs w:val="19"/>
          <w:u w:val="none"/>
          <w:shd w:fill="auto" w:val="clear"/>
          <w:vertAlign w:val="baseline"/>
          <w:rtl w:val="0"/>
        </w:rPr>
        <w:t xml:space="preserve">de la modélisation physique aux mathématiques appliquées pour la discrétisation — mécanique des fluides &amp; acoustique, éléments finis, calcul haute performance (MPI, cluster Bull). C / Fortran.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Bdr>
          <w:bottom w:color="1f3a5f" w:space="3" w:sz="6" w:val="single"/>
        </w:pBdr>
        <w:spacing w:after="9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a5f"/>
          <w:sz w:val="22"/>
          <w:szCs w:val="22"/>
          <w:rtl w:val="0"/>
        </w:rPr>
        <w:t xml:space="preserve">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tabs>
          <w:tab w:val="right" w:leader="none" w:pos="10106"/>
        </w:tabs>
        <w:spacing w:after="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19"/>
          <w:szCs w:val="19"/>
          <w:rtl w:val="0"/>
        </w:rPr>
        <w:t xml:space="preserve">Doctorat (PhD), mathématiques appliquées / physique / informatique</w:t>
      </w: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   ·   EADS / Université Henri Poincaré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2003 – 2006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right" w:leader="none" w:pos="10106"/>
        </w:tabs>
        <w:spacing w:after="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19"/>
          <w:szCs w:val="19"/>
          <w:rtl w:val="0"/>
        </w:rPr>
        <w:t xml:space="preserve">Ingénieur civil des Mines (mathématiques appliquées)</w:t>
      </w: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   ·   École Nationale Supérieure des Mines de Nancy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2000 – 2003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tabs>
          <w:tab w:val="right" w:leader="none" w:pos="10106"/>
        </w:tabs>
        <w:spacing w:after="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19"/>
          <w:szCs w:val="19"/>
          <w:rtl w:val="0"/>
        </w:rPr>
        <w:t xml:space="preserve">Master — Finance de marché</w:t>
      </w: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   ·   Conservatoire National des Arts et Métiers (CNAM)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18"/>
          <w:szCs w:val="18"/>
          <w:rtl w:val="0"/>
        </w:rPr>
        <w:t xml:space="preserve">2007 – 2008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bottom w:color="1f3a5f" w:space="3" w:sz="6" w:val="single"/>
        </w:pBdr>
        <w:spacing w:after="90" w:before="200" w:lineRule="auto"/>
        <w:rPr>
          <w:b w:val="1"/>
          <w:bCs w:val="1"/>
          <w:smallCaps w:val="1"/>
          <w:color w:val="1f3a5f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bottom w:color="1f3a5f" w:space="3" w:sz="6" w:val="single"/>
        </w:pBdr>
        <w:spacing w:after="9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a5f"/>
          <w:sz w:val="22"/>
          <w:szCs w:val="22"/>
          <w:rtl w:val="0"/>
        </w:rPr>
        <w:t xml:space="preserve">LIENS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2"/>
          <w:szCs w:val="22"/>
          <w:rtl w:val="0"/>
        </w:rPr>
        <w:t xml:space="preserve">LinkedIn</w:t>
      </w:r>
      <w:r w:rsidDel="00000000" w:rsidR="00000000" w:rsidRPr="00000000">
        <w:rPr>
          <w:rFonts w:ascii="Calibri" w:cs="Calibri" w:eastAsia="Calibri" w:hAnsi="Calibri"/>
          <w:color w:val="888888"/>
          <w:sz w:val="22"/>
          <w:szCs w:val="22"/>
          <w:rtl w:val="0"/>
        </w:rPr>
        <w:t xml:space="preserve">   ·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2"/>
          <w:szCs w:val="22"/>
          <w:rtl w:val="0"/>
        </w:rPr>
        <w:t xml:space="preserve">Publications &amp; conférences (SlideShare)</w:t>
      </w:r>
      <w:r w:rsidDel="00000000" w:rsidR="00000000" w:rsidRPr="00000000">
        <w:rPr>
          <w:rFonts w:ascii="Calibri" w:cs="Calibri" w:eastAsia="Calibri" w:hAnsi="Calibri"/>
          <w:color w:val="888888"/>
          <w:sz w:val="22"/>
          <w:szCs w:val="22"/>
          <w:rtl w:val="0"/>
        </w:rPr>
        <w:t xml:space="preserve">   ·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2"/>
          <w:szCs w:val="22"/>
          <w:rtl w:val="0"/>
        </w:rPr>
        <w:t xml:space="preserve">GitHub</w:t>
      </w:r>
      <w:r w:rsidDel="00000000" w:rsidR="00000000" w:rsidRPr="00000000">
        <w:rPr>
          <w:rFonts w:ascii="Calibri" w:cs="Calibri" w:eastAsia="Calibri" w:hAnsi="Calibri"/>
          <w:color w:val="888888"/>
          <w:sz w:val="22"/>
          <w:szCs w:val="22"/>
          <w:rtl w:val="0"/>
        </w:rPr>
        <w:t xml:space="preserve">   ·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2"/>
          <w:szCs w:val="22"/>
          <w:rtl w:val="0"/>
        </w:rPr>
        <w:t xml:space="preserve">Kaggle (Top 1 %)</w:t>
      </w:r>
      <w:r w:rsidDel="00000000" w:rsidR="00000000" w:rsidRPr="00000000">
        <w:rPr>
          <w:rFonts w:ascii="Calibri" w:cs="Calibri" w:eastAsia="Calibri" w:hAnsi="Calibri"/>
          <w:color w:val="888888"/>
          <w:sz w:val="22"/>
          <w:szCs w:val="22"/>
          <w:rtl w:val="0"/>
        </w:rPr>
        <w:t xml:space="preserve">   ·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a5f"/>
          <w:sz w:val="22"/>
          <w:szCs w:val="22"/>
          <w:rtl w:val="0"/>
        </w:rPr>
        <w:t xml:space="preserve">Academia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bottom w:color="1f3a5f" w:space="3" w:sz="6" w:val="single"/>
        </w:pBdr>
        <w:spacing w:after="9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a5f"/>
          <w:sz w:val="22"/>
          <w:szCs w:val="22"/>
          <w:rtl w:val="0"/>
        </w:rPr>
        <w:t xml:space="preserve">LANGUES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1"/>
          <w:szCs w:val="21"/>
          <w:rtl w:val="0"/>
        </w:rPr>
        <w:t xml:space="preserve">Français</w:t>
      </w:r>
      <w:r w:rsidDel="00000000" w:rsidR="00000000" w:rsidRPr="00000000">
        <w:rPr>
          <w:rFonts w:ascii="Calibri" w:cs="Calibri" w:eastAsia="Calibri" w:hAnsi="Calibri"/>
          <w:color w:val="222222"/>
          <w:sz w:val="21"/>
          <w:szCs w:val="21"/>
          <w:rtl w:val="0"/>
        </w:rPr>
        <w:t xml:space="preserve"> (langue maternelle)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1"/>
          <w:szCs w:val="21"/>
          <w:rtl w:val="0"/>
        </w:rPr>
        <w:t xml:space="preserve">Anglais</w:t>
      </w:r>
      <w:r w:rsidDel="00000000" w:rsidR="00000000" w:rsidRPr="00000000">
        <w:rPr>
          <w:rFonts w:ascii="Calibri" w:cs="Calibri" w:eastAsia="Calibri" w:hAnsi="Calibri"/>
          <w:color w:val="222222"/>
          <w:sz w:val="21"/>
          <w:szCs w:val="21"/>
          <w:rtl w:val="0"/>
        </w:rPr>
        <w:t xml:space="preserve"> (courant)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1"/>
          <w:szCs w:val="21"/>
          <w:rtl w:val="0"/>
        </w:rPr>
        <w:t xml:space="preserve">Allemand</w:t>
      </w:r>
      <w:r w:rsidDel="00000000" w:rsidR="00000000" w:rsidRPr="00000000">
        <w:rPr>
          <w:rFonts w:ascii="Calibri" w:cs="Calibri" w:eastAsia="Calibri" w:hAnsi="Calibri"/>
          <w:color w:val="222222"/>
          <w:sz w:val="21"/>
          <w:szCs w:val="21"/>
          <w:rtl w:val="0"/>
        </w:rPr>
        <w:t xml:space="preserve"> (professionnel — diplôme Goethe Institut)     </w:t>
      </w:r>
      <w:r w:rsidDel="00000000" w:rsidR="00000000" w:rsidRPr="00000000">
        <w:rPr>
          <w:rtl w:val="0"/>
        </w:rPr>
      </w:r>
    </w:p>
    <w:sectPr>
      <w:pgSz w:h="16838" w:w="11906" w:orient="portrait"/>
      <w:pgMar w:bottom="900" w:top="90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xJCgiW+c6ENkNfehS49O+mfP/g==">CgMxLjA4AHIhMV83YjhKV0EzUmRzS2VyUmhjWVdZdUtaWWpHYmluNmJN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2026-09-09T08:43:17.020Z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