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7324d"/>
          <w:sz w:val="44"/>
          <w:szCs w:val="44"/>
          <w:rtl w:val="0"/>
        </w:rPr>
        <w:t xml:space="preserve">STEFAN 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c77b3b" w:space="6" w:sz="26" w:val="single"/>
        </w:pBdr>
        <w:spacing w:after="130" w:before="4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528"/>
          <w:sz w:val="22"/>
          <w:szCs w:val="22"/>
          <w:rtl w:val="0"/>
        </w:rPr>
        <w:t xml:space="preserve">Consultant Senior IA / ML   ·   Data Science &amp; Quant   ·   Finance &amp; Blockchain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450"/>
        <w:gridCol w:w="7016"/>
        <w:tblGridChange w:id="0">
          <w:tblGrid>
            <w:gridCol w:w="3450"/>
            <w:gridCol w:w="7016"/>
          </w:tblGrid>
        </w:tblGridChange>
      </w:tblGrid>
      <w:tr>
        <w:trPr>
          <w:cantSplit w:val="0"/>
          <w:tblHeader w:val="0"/>
        </w:trPr>
        <w:tc>
          <w:tcPr>
            <w:shd w:fill="edf1f5" w:val="clear"/>
            <w:tcMar>
              <w:top w:w="200.0" w:type="dxa"/>
              <w:left w:w="220.0" w:type="dxa"/>
              <w:bottom w:w="200.0" w:type="dxa"/>
              <w:right w:w="26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bottom w:color="c77b3b" w:space="3" w:sz="10" w:val="single"/>
              </w:pBdr>
              <w:spacing w:after="9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Chaville (92), Île-de-France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50" w:lineRule="auto"/>
              <w:rPr/>
            </w:pPr>
            <w:hyperlink r:id="rId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stefan.duprey@gmail.com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50" w:lineRule="auto"/>
              <w:rPr/>
            </w:pPr>
            <w:hyperlink r:id="rId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linkedin.com/in/stefanduprey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50" w:lineRule="auto"/>
              <w:rPr/>
            </w:pPr>
            <w:hyperlink r:id="rId9">
              <w:r w:rsidDel="00000000" w:rsidR="00000000" w:rsidRPr="00000000">
                <w:rPr>
                  <w:color w:val="c77b3b"/>
                  <w:sz w:val="17"/>
                  <w:szCs w:val="17"/>
                  <w:u w:val="single"/>
                  <w:rtl w:val="0"/>
                </w:rPr>
                <w:t xml:space="preserve">My website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COMPÉTENCES CLÉS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IA générative &amp; agentique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LLM, RAG, agents IA, prompt engineering · chatbots RAG &amp; scoring par LLM en production · LangChain / LangGraph · Claude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Machine &amp; deep learning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Deep learning, NLP (word2vec → transformers), séries temporelles (PyTorch, Prophet, LSTM) · Top Kaggler (Top 1 %)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MLOps &amp; plateformes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GCP Vertex AI (certifié PMLE) · AWS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·Azure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Modélisation quantitative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Finance de marché, gestion d'actifs, dérivés · optimisation de portefeuille · blockchain / DeFi · crypto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120" w:line="25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Langages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Python, Java, Matlab,  R, SQL, Solidity  </w:t>
            </w:r>
          </w:p>
          <w:p w:rsidR="00000000" w:rsidDel="00000000" w:rsidP="00000000" w:rsidRDefault="00000000" w:rsidRPr="00000000" w14:paraId="0000000E">
            <w:pPr>
              <w:spacing w:after="120" w:line="25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17324d"/>
                <w:sz w:val="17"/>
                <w:szCs w:val="17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PostgreSQL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Redshift ·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lasticSearch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Enseignement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AI -Data science - Software development Mathematics  - Financial Mathematics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CERTIFICATIONS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40" w:line="250" w:lineRule="auto"/>
              <w:rPr>
                <w:sz w:val="17"/>
                <w:szCs w:val="17"/>
              </w:rPr>
            </w:pPr>
            <w:hyperlink r:id="rId10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Google Cloud — Professional Machine Learning Engineer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line="250" w:lineRule="auto"/>
              <w:rPr>
                <w:sz w:val="17"/>
                <w:szCs w:val="17"/>
              </w:rPr>
            </w:pPr>
            <w:hyperlink r:id="rId11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Claude Certified Architect - Foundations</w:t>
              </w:r>
            </w:hyperlink>
            <w:hyperlink r:id="rId12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line="250" w:lineRule="auto"/>
              <w:rPr/>
            </w:pPr>
            <w:hyperlink r:id="rId13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Certification AMF — Autorité des Marchés Financiers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LANGUES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Français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langue maternelle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Anglais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courant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Allemand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professionnel (Goethe Institut)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LIENS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40" w:line="250" w:lineRule="auto"/>
              <w:rPr/>
            </w:pPr>
            <w:hyperlink r:id="rId14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5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Academia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6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0" w:line="250" w:lineRule="auto"/>
              <w:rPr/>
            </w:pPr>
            <w:hyperlink r:id="rId1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Kaggle (Top 1 %)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SlideShare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00.0" w:type="dxa"/>
              <w:left w:w="34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bottom w:color="c77b3b" w:space="4" w:sz="12" w:val="single"/>
              </w:pBdr>
              <w:spacing w:after="13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20 ans à concevoir et déployer des systèmes d'IA qui tiennent en production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applications LLM &amp; IA agentique, pipelines MLOps pour tirer de la valeur métier des données.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Expérience de bout en bout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en IA agentique, machine learning, data science, algorithmique, data analytics, économétrie, mathématiques appliquées et ingénierie logicielle — NLP par deep learning sur embeddings word2vec dès 2014.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Product manager IA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: je transforme des POC en produits en production — cadrage des cas d'usage, priorisation valeur / faisabilité, delivery et reporting.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Leader technique transverse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quant, data scientist, ML engineer &amp; développeur : j'apporte les fondements mathématiques de l'IA moderne, pas seulement les surcouches.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4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Doctorat en mathématiques appliquées · Master statistiques · Google PMLE · Top Kaggler · enseignant ML / data science (Dauphine, EPITA, Mines de Nancy, Aivancity, Albert School).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EXPÉRIENCE PROFESSIONNELLE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 IA / ML — Enseignant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janv. 2024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Lead 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AI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Proof of Value « IA au service de la chaîne DevOps / Data »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pour une grande banque française (via Keyrus) : intégration d'agents IA dans la CI/CD, génération de tests assistée par IA, outil automatisé de data lineage (SQLGlot / NetworkX).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LLM piloting RPA </w:t>
            </w:r>
            <w:r w:rsidDel="00000000" w:rsidR="00000000" w:rsidRPr="00000000">
              <w:rPr>
                <w:rtl w:val="0"/>
              </w:rPr>
              <w:t xml:space="preserve">conception d'un agent web qui automatise la saisie multi-assureurs pour les courtiers. Il repose sur un moteur de schema matching hybride (règles, embeddings, LLM), le System 1 model (SoM), JEV et typesafe.ai, le tout sur une architecture Azure souveraine.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Enseignement IA, data science &amp; méthodes quantitatives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prompt engineering &amp; LangChain / LangGraph (Albert School), data science, optimisation &amp; blockchain (EPITA), Python pour la finance (Master Finance, Dauphine), séries temporelles &amp; probabilités (Aivancity), analyse numérique (Mines de Nancy).</w:t>
            </w:r>
          </w:p>
          <w:p w:rsidR="00000000" w:rsidDel="00000000" w:rsidP="00000000" w:rsidRDefault="00000000" w:rsidRPr="00000000" w14:paraId="00000028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&amp; AI Engineer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SwissBorg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févr. 2022 – mai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Produits IA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chatbot RAG d'exploration de l'offre (POC → production) ; moteur de recommandation IA (POC → industrialisation) ; pricing IA de stratégies optionnelles (payoff, calibration de courbes / surfaces de volatilité / corrélations, greeks) ; moteur KYD de profilage de risque et de recommandation d'investissement.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spécifications de SwissBorg MEX (méta-agrégateur de liquidité CEX &amp; DEX) ; bots de market-making hybrides CEX/DEX (liquidité concentrée, gestion d'inventaire) ; AMC smart-beta pour institutionnels, fonds de signaux trend-following, indices sectoriels RWA, optimisation de staking &amp; yield-farming DeFi.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engineering &amp; DataOps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pipelines DataOps, librairies Python de backtesting, bots de trading / signaux, dashboards produits. Multi-container Docker setup built on the open-source Hummingbot framework, handling multiple pairs and venues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LangChain / LangGraph, PyTorch, Prophet, Airflow, Kafka, Redshift, Metabase, Docker, Claude Code.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Quantitative Analyst / Data Scientist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CoinShares (ex-NapoleonX)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2019 – févr. 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ML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IA / data science au service des stratégies financières et de la meilleure exécution ; prévision et modélisation quantitative en Python (PyTorch, Prophet).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Gestion d'actifs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gérant délégué d'un fonds réglementé de futures bitcoin — opérations quotidiennes (NAV, rachats, roll de futures).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logicielle &amp; blockchain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microservices de trading crypto, rebalancing de fonds et APIs de paiement ; cryptographie appliquée (Merkle, zk-SNARK) ; smart contracts d'ICO.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Product management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framework de fonds autonome décentralisé (asset management on-chain) ; framework de preuve de performance / preuve d'alpha labellisé Finance Innovation.</w:t>
            </w:r>
          </w:p>
          <w:p w:rsidR="00000000" w:rsidDel="00000000" w:rsidP="00000000" w:rsidRDefault="00000000" w:rsidRPr="00000000" w14:paraId="00000034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Java / Spring Boot, Solidity, PyTorch, Prophet, Dash / Plotly, PostgreSQL, Kafka, ELK, S3, EC2, Docker.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Senior 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EY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nov. 2016 – mai 2019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Data science &amp; ML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feature engineering par graphes pour la détection de fraude (Neo4j) ; modèles de scoring &amp; risque de crédit (scoring, PD, LGD ; revue et validation) ; modélisation de l'abus de marché ; moteur de recherche NLP sur textes réglementaires RGPD ; open-data analytics.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Encadrement &amp; delivery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responsable formation de l'équipe data science ; product manager — mise en place de l'offre « DataLab ».</w:t>
            </w:r>
          </w:p>
          <w:p w:rsidR="00000000" w:rsidDel="00000000" w:rsidP="00000000" w:rsidRDefault="00000000" w:rsidRPr="00000000" w14:paraId="00000039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Spark, Elasticsearch, Neo4j, PostgreSQL / SAS, Tableau, RShiny.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RavenPack  ·  Espagne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2014 – nov. 2016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NLP par deep learning pour la finance, à l'état de l'art de l'époque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de deep learning pour la classification d'événements sur embeddings word2vec — parmi les premiers à appliquer les modèles de Mikolov, une décennie avant la vague LLM.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signaux de trading NLP actionnables sur le flux de news du Russell 2000 ; étude intraday (minute) de l'impact des news sur les actions ; prévision macro VAR / VEC (précision PIB supérieure au consensus) ; signal NLP géopolitique pour stratégies cash-and-carry ; modèles de facteurs de risque fondés sur les news.</w:t>
            </w:r>
          </w:p>
          <w:p w:rsidR="00000000" w:rsidDel="00000000" w:rsidP="00000000" w:rsidRDefault="00000000" w:rsidRPr="00000000" w14:paraId="0000003E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Amazon Redshift.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The MathWorks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juin 2010 – mai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 technique de la suite financière MathWorks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le socle de calcul numérique et de mathématiques appliquées sur lequel repose le ML d'aujourd'hui.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statistique &amp; optimisation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optimisation de portefeuille (Black-Litterman, CVaR, MAD, risk parity, modèles factoriels à covariance shrinkée) ; pricing numérique d'options exotiques ; processus stochastiques et volatilité ; modélisation de taux (cointégration / VEC, Libor Market Model) ; backtesting de mesures de risque ; moteur ALM assurance.</w:t>
            </w:r>
          </w:p>
          <w:p w:rsidR="00000000" w:rsidDel="00000000" w:rsidP="00000000" w:rsidRDefault="00000000" w:rsidRPr="00000000" w14:paraId="00000043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MATLAB, calcul numérique haute performance (simulation Monte-Carlo sur GPU).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Développeur /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août 2006 – juin 2010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Machine learning &amp; big data — Cdiscount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à grande échelle sur plateforme big data distribuée, des années avant que ce soit courant ; recommandation marketing adaptative ciblée (optimisation de graphes, Spark ML / GraphX) ; classifieur NLP de qualité de pages produit ; prévision sur logs crawlés ; plateforme de crawling sémantique (Solr), orchestration Talend, graphe Neo4j ; moteur de pricing retail algorithmique.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quantitative &amp; trading — Société Générale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référentiel produits exotiques &amp; cycle de vie ; lead du projet CUBE Risk (pricing à la demande d'un portefeuille dérivés actions exotiques) ; pricing de dérivés exotiques.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Systèmes de trading basse latence — CACIB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plateforme de trading automatisé in-house ; application basse latence de suivi de marché &amp; gestion d'ordres ; émulation d'ordres sophistiqués, de couverture et de scénarios.</w:t>
            </w:r>
          </w:p>
          <w:p w:rsidR="00000000" w:rsidDel="00000000" w:rsidP="00000000" w:rsidRDefault="00000000" w:rsidRPr="00000000" w14:paraId="00000049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Java, Python, Spark (ML / GraphX), Solr, Neo4j, Talend.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de recherche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sept. 2003 – août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(en lien avec une thèse INRIA)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 la modélisation physique aux mathématiques appliquées pour la discrétisation — mécanique des fluides &amp; acoustique, éléments finis, calcul haute performance (MPI, cluster Bull). C / Fortran.</w:t>
            </w:r>
          </w:p>
          <w:p w:rsidR="00000000" w:rsidDel="00000000" w:rsidP="00000000" w:rsidRDefault="00000000" w:rsidRPr="00000000" w14:paraId="0000004D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FORMATION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Doctorat (PhD), mathématiques appliquées / physique / informatique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/ Université Henri Poincaré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2003 –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civil des Mines (mathématiques appliquées)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Mines de Nancy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2000 – 2003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Master — Finance de marché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2007 – 2008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60" w:top="680" w:left="680" w:right="7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22528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22528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credly.com/badges/233a0f86-7a66-4920-8416-059f3f105fa7/linked_in_profile" TargetMode="External"/><Relationship Id="rId10" Type="http://schemas.openxmlformats.org/officeDocument/2006/relationships/hyperlink" Target="https://www.credly.com/badges/d45d2072-9c2c-49c2-b510-50d566a322f4/linked_in_profile" TargetMode="External"/><Relationship Id="rId13" Type="http://schemas.openxmlformats.org/officeDocument/2006/relationships/hyperlink" Target="https://sduprey.github.io/Ba_Attestation%20AMF_Stefan_DUPREY.pdf" TargetMode="External"/><Relationship Id="rId12" Type="http://schemas.openxmlformats.org/officeDocument/2006/relationships/hyperlink" Target="https://www.credly.com/badges/233a0f86-7a66-4920-8416-059f3f105fa7/linked_in_profil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duprey.github.io" TargetMode="External"/><Relationship Id="rId15" Type="http://schemas.openxmlformats.org/officeDocument/2006/relationships/hyperlink" Target="https://independent.academia.edu/StefanDuprey" TargetMode="External"/><Relationship Id="rId14" Type="http://schemas.openxmlformats.org/officeDocument/2006/relationships/hyperlink" Target="https://www.linkedin.com/in/stefan-duprey-40076b28/" TargetMode="External"/><Relationship Id="rId17" Type="http://schemas.openxmlformats.org/officeDocument/2006/relationships/hyperlink" Target="https://www.kaggle.com/elmacho" TargetMode="External"/><Relationship Id="rId16" Type="http://schemas.openxmlformats.org/officeDocument/2006/relationships/hyperlink" Target="https://github.com/sdupre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s://fr.slideshare.net/StefanDuprey" TargetMode="External"/><Relationship Id="rId7" Type="http://schemas.openxmlformats.org/officeDocument/2006/relationships/hyperlink" Target="mailto:stefan.duprey@gmail.com" TargetMode="External"/><Relationship Id="rId8" Type="http://schemas.openxmlformats.org/officeDocument/2006/relationships/hyperlink" Target="https://www.linkedin.com/in/stefan-duprey-40076b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XRW6ZjoRbRA583fFRZFLDQvbA==">CgMxLjA4AHIhMUd1MTAwdGdab0c0TkcteEtGVWF3SHNkblYtTUlTNDF4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2026-09-11T07:17:34.614Z</dcterms:created>
  <dc:creator>Stefan Duprey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