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17324D"/>
          <w:spacing w:val="40"/>
          <w:sz w:val="44"/>
          <w:szCs w:val="44"/>
        </w:rPr>
        <w:t xml:space="preserve">STEFAN DUPREY</w:t>
      </w:r>
    </w:p>
    <w:p>
      <w:pPr>
        <w:pBdr>
          <w:bottom w:val="single" w:color="C77B3B" w:sz="26" w:space="6"/>
        </w:pBdr>
        <w:spacing w:after="13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528"/>
          <w:spacing w:val="20"/>
          <w:sz w:val="22"/>
          <w:szCs w:val="22"/>
        </w:rPr>
        <w:t xml:space="preserve">Consultant Senior IA / ML   ·   Data Science &amp; Quant   ·   Finance &amp; Blockchain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50"/>
        <w:gridCol w:w="7016"/>
      </w:tblGrid>
      <w:tr>
        <w:trPr>
          <w:cantSplit w:val="false"/>
        </w:trPr>
        <w:tc>
          <w:tcPr>
            <w:tcW w:type="dxa" w:w="3450"/>
            <w:shd w:fill="EDF1F5" w:color="auto" w:val="clear"/>
            <w:tcMar>
              <w:top w:type="dxa" w:w="200"/>
              <w:left w:type="dxa" w:w="220"/>
              <w:bottom w:type="dxa" w:w="200"/>
              <w:right w:type="dxa" w:w="260"/>
            </w:tcMar>
            <w:vAlign w:val="top"/>
          </w:tcPr>
          <w:p>
            <w:pPr>
              <w:pBdr>
                <w:bottom w:val="single" w:color="C77B3B" w:sz="10" w:space="3"/>
              </w:pBd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30"/>
                <w:sz w:val="18"/>
                <w:szCs w:val="18"/>
              </w:rPr>
              <w:t xml:space="preserve">CONTACT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Chaville (92), Île-de-France</w:t>
            </w:r>
          </w:p>
          <w:p>
            <w:pPr>
              <w:spacing w:after="40" w:line="250"/>
            </w:pPr>
            <w:hyperlink w:history="1" r:id="rIdbjktrr_5tzraavrxjjovh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stefan.duprey@gmail.com</w:t>
              </w:r>
            </w:hyperlink>
          </w:p>
          <w:p>
            <w:pPr>
              <w:spacing w:after="40" w:line="250"/>
            </w:pPr>
            <w:hyperlink w:history="1" r:id="rIdwwlgppq1q5_abg5s1timv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linkedin.com/in/stefanduprey</w:t>
              </w:r>
            </w:hyperlink>
          </w:p>
          <w:p>
            <w:pPr>
              <w:spacing w:after="0" w:line="250"/>
            </w:pPr>
            <w:hyperlink w:history="1" r:id="rIdmgykmt7c4sd1vr_epn5n0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github.com/sduprey</w:t>
              </w:r>
            </w:hyperlink>
          </w:p>
          <w:p>
            <w:pPr>
              <w:pBdr>
                <w:bottom w:val="single" w:color="C77B3B" w:sz="10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30"/>
                <w:sz w:val="18"/>
                <w:szCs w:val="18"/>
              </w:rPr>
              <w:t xml:space="preserve">COMPÉTENCES CLÉS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IA générative &amp; agentique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LLM, RAG, agents IA, prompt engineering · chatbots RAG &amp; scoring par LLM en production · LangChain / LangGraph · Claude Code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Machine &amp; deep learning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Deep learning, NLP (word2vec → transformers), séries temporelles (PyTorch, Prophet, LSTM) · Top Kaggler (Top 1 %)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MLOps &amp; plateformes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GCP Vertex AI (certifié PMLE) · AWS (EC2, S3, Redshift) · Docker · Airflow · Kafka · POC → production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Modélisation quantitative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Finance de marché, gestion d'actifs, dérivés · optimisation de portefeuille · blockchain / DeFi · crypto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Langages &amp; data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Python, Java / Spring Boot, R, SQL, Solidity · Spark · PostgreSQL / Redshift · ElasticSearch</w:t>
            </w:r>
          </w:p>
          <w:p>
            <w:pPr>
              <w:spacing w:after="1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Enseignement</w:t>
            </w:r>
            <w: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Modules IA / data science — EPITA, Dauphine, Aivancity, Mines de Nancy, Albert School</w:t>
            </w:r>
          </w:p>
          <w:p>
            <w:pPr>
              <w:pBdr>
                <w:bottom w:val="single" w:color="C77B3B" w:sz="10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30"/>
                <w:sz w:val="18"/>
                <w:szCs w:val="18"/>
              </w:rPr>
              <w:t xml:space="preserve">CERTIFICATIONS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Google Cloud — Professional Machine Learning Engineer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Certification AMF — Autorité des Marchés Financiers</w:t>
            </w:r>
          </w:p>
          <w:p>
            <w:pPr>
              <w:pBdr>
                <w:bottom w:val="single" w:color="C77B3B" w:sz="10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30"/>
                <w:sz w:val="18"/>
                <w:szCs w:val="18"/>
              </w:rPr>
              <w:t xml:space="preserve">LANGUES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Français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langue maternelle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Anglais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courant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7"/>
                <w:szCs w:val="17"/>
              </w:rPr>
              <w:t xml:space="preserve">Allemand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professionnel (Goethe Institut)</w:t>
            </w:r>
          </w:p>
          <w:p>
            <w:pPr>
              <w:pBdr>
                <w:bottom w:val="single" w:color="C77B3B" w:sz="10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30"/>
                <w:sz w:val="18"/>
                <w:szCs w:val="18"/>
              </w:rPr>
              <w:t xml:space="preserve">LIENS</w:t>
            </w:r>
          </w:p>
          <w:p>
            <w:pPr>
              <w:spacing w:after="40" w:line="250"/>
            </w:pPr>
            <w:hyperlink w:history="1" r:id="rIdnwcbqg5_y4rsypwgp-ugd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·  </w:t>
            </w:r>
            <w:hyperlink w:history="1" r:id="rIdi_o2blhnbapandxwx80rh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Academia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·  </w:t>
            </w:r>
            <w:hyperlink w:history="1" r:id="rIdejf9dvoxtxchvtl1osiui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GitHub</w:t>
              </w:r>
            </w:hyperlink>
          </w:p>
          <w:p>
            <w:pPr>
              <w:spacing w:after="0" w:line="250"/>
            </w:pPr>
            <w:hyperlink w:history="1" r:id="rIdy2vbhk0ozzcybrbzwyxim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Kaggle (Top 1 %)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7"/>
                <w:szCs w:val="17"/>
              </w:rPr>
              <w:t xml:space="preserve">  ·  </w:t>
            </w:r>
            <w:hyperlink w:history="1" r:id="rIdcslvu5okpptah5b9ebjrd">
              <w:r>
                <w:rPr>
                  <w:rFonts w:ascii="Calibri" w:cs="Calibri" w:eastAsia="Calibri" w:hAnsi="Calibri"/>
                  <w:b w:val="false"/>
                  <w:bCs w:val="false"/>
                  <w:color w:val="C77B3B"/>
                  <w:sz w:val="17"/>
                  <w:szCs w:val="17"/>
                  <w:u w:val="single"/>
                </w:rPr>
                <w:t xml:space="preserve">SlideShare</w:t>
              </w:r>
            </w:hyperlink>
          </w:p>
        </w:tc>
        <w:tc>
          <w:tcPr>
            <w:tcW w:type="dxa" w:w="7016"/>
            <w:tcMar>
              <w:top w:type="dxa" w:w="200"/>
              <w:left w:type="dxa" w:w="340"/>
              <w:bottom w:type="dxa" w:w="120"/>
              <w:right w:type="dxa" w:w="120"/>
            </w:tcMar>
            <w:vAlign w:val="top"/>
          </w:tcPr>
          <w:p>
            <w:pPr>
              <w:pBdr>
                <w:bottom w:val="single" w:color="C77B3B" w:sz="12" w:space="4"/>
              </w:pBdr>
              <w:spacing w:after="1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40"/>
                <w:sz w:val="23"/>
                <w:szCs w:val="23"/>
              </w:rPr>
              <w:t xml:space="preserve">PROFIL</w:t>
            </w:r>
          </w:p>
          <w:p>
            <w:pPr>
              <w:spacing w:after="9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20 ans à concevoir et déployer des systèmes d'IA qui tiennent en production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 — applications LLM &amp; IA agentique, pipelines MLOps pour tirer de la valeur métier des données.</w:t>
            </w:r>
          </w:p>
          <w:p>
            <w:pPr>
              <w:spacing w:after="9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Expérience de bout en bout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 en IA agentique, machine learning, data science, algorithmique, data analytics, économétrie, mathématiques appliquées et ingénierie logicielle — NLP par deep learning sur embeddings word2vec dès 2014.</w:t>
            </w:r>
          </w:p>
          <w:p>
            <w:pPr>
              <w:spacing w:after="9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Product manager 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 : je transforme des POC en produits en production — cadrage des cas d'usage, priorisation valeur / faisabilité, delivery et reporting.</w:t>
            </w:r>
          </w:p>
          <w:p>
            <w:pPr>
              <w:spacing w:after="9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Leader technique transverse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 — quant, data scientist, ML engineer &amp; développeur : j'apporte les fondements mathématiques de l'IA moderne, pas seulement les surcouches.</w:t>
            </w:r>
          </w:p>
          <w:p>
            <w:pPr>
              <w:spacing w:after="40" w:line="25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8"/>
                <w:szCs w:val="18"/>
              </w:rPr>
              <w:t xml:space="preserve">Doctorat en mathématiques appliquées · Master statistiques · Google PMLE · Top Kaggler · enseignant ML / data science (Dauphine, EPITA, Mines de Nancy, Aivancity, Albert School).</w:t>
            </w:r>
          </w:p>
          <w:p>
            <w:pPr>
              <w:pBdr>
                <w:bottom w:val="single" w:color="C77B3B" w:sz="12" w:space="4"/>
              </w:pBdr>
              <w:spacing w:after="130" w:befor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40"/>
                <w:sz w:val="23"/>
                <w:szCs w:val="23"/>
              </w:rPr>
              <w:t xml:space="preserve">EXPÉRIENCE PROFESSIONNELLE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Consultant IA / ML — Enseignant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Freelance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janv. 2024 – aujourd'hui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Lead technique — Proof of Value « IA au service de la chaîne DevOps / Data »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pour une grande banque française (via Keyrus) : intégration d'agents IA dans la CI/CD, génération de tests assistée par IA, outil automatisé de data lineage (SQLGlot / NetworkX).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Enseignement IA, data science &amp; méthodes quantitatives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prompt engineering &amp; LangChain / LangGraph (Albert School), data science, optimisation &amp; blockchain (EPITA), Python pour la finance (Master Finance, Dauphine), séries temporelles &amp; probabilités (Aivancity), analyse numérique (Mines de Nancy).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Data Scientist &amp; AI Engineer / Quantitative Analyst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SwissBorg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févr. 2022 – mai 2026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Produits IA &amp; data science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chatbot RAG d'exploration de l'offre (POC → production) ; moteur de recommandation IA (POC → industrialisation) ; pricing IA de stratégies optionnelles (payoff, calibration de courbes / surfaces de volatilité / corrélations, greeks) ; moteur KYD de profilage de risque et de recommandation d'investissement.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Recherche quantitative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spécifications de SwissBorg MEX (méta-agrégateur de liquidité CEX &amp; DEX) ; bots de market-making hybrides CEX/DEX (liquidité concentrée, gestion d'inventaire) ; AMC smart-beta pour institutionnels, fonds de signaux trend-following, indices sectoriels RWA, optimisation de staking &amp; yield-farming DeFi.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ML engineering &amp; DataOps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pipelines DataOps, librairies Python de backtesting, bots de trading / signaux, dashboards produits.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Python, LangChain / LangGraph, PyTorch, Prophet, Airflow, Kafka, Redshift, Metabase, Docker, Claude Code.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Quantitative Analyst / Data Scientist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CoinShares (ex-NapoleonX)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mai 2019 – févr.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Modélisation ML &amp; data science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modèles IA / data science au service des stratégies financières et de la meilleure exécution ; prévision et modélisation quantitative en Python (PyTorch, Prophet).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Gestion d'actifs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gérant délégué d'un fonds réglementé de futures bitcoin — opérations quotidiennes (NAV, rachats, roll de futures).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Ingénierie logicielle &amp; blockchain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microservices de trading crypto, rebalancing de fonds et APIs de paiement ; cryptographie appliquée (Merkle, zk-SNARK) ; smart contracts d'ICO.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Product blockchain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framework de fonds autonome décentralisé (asset management on-chain) ; framework de preuve de performance / preuve d'alpha labellisé Finance Innovation.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Python, Java / Spring Boot, Solidity, PyTorch, Prophet, Dash / Plotly, PostgreSQL, Kafka, ELK, S3, EC2, Docker.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Senior Consultant, Data Science &amp; Quantitative Finance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EY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nov. 2016 – mai 2019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Data science &amp; ML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feature engineering par graphes pour la détection de fraude (Neo4j) ; modèles de scoring &amp; risque de crédit (scoring, PD, LGD ; revue et validation) ; modélisation de l'abus de marché ; moteur de recherche NLP sur textes réglementaires RGPD ; open-data analytics.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Encadrement &amp; delivery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responsable formation de l'équipe data science ; product manager — mise en place de l'offre « DataLab ».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Python, R, Spark, Elasticsearch, Neo4j, PostgreSQL / SAS, Tableau, RShiny.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Data Scientist / Quantitative Analyst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RavenPack  ·  Espagne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mai 2014 – nov. 2016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NLP par deep learning pour la finance, à l'état de l'art de l'époque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modèles de deep learning pour la classification d'événements sur embeddings word2vec — parmi les premiers à appliquer les modèles de Mikolov, une décennie avant la vague LLM.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Recherche quantitative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signaux de trading NLP actionnables sur le flux de news du Russell 2000 ; étude intraday (minute) de l'impact des news sur les actions ; prévision macro VAR / VEC (précision PIB supérieure au consensus) ; signal NLP géopolitique pour stratégies cash-and-carry ; modèles de facteurs de risque fondés sur les news.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Python, R, Amazon Redshift.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Consultant, Data Science &amp; Quantitative Finance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The MathWorks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juin 2010 – mai 2014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Référent technique de la suite financière MathWorks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— le socle de calcul numérique et de mathématiques appliquées sur lequel repose le ML d'aujourd'hui.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Modélisation statistique &amp; optimisation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optimisation de portefeuille (Black-Litterman, CVaR, MAD, risk parity, modèles factoriels à covariance shrinkée) ; pricing numérique d'options exotiques ; processus stochastiques et volatilité ; modélisation de taux (cointégration / VEC, Libor Market Model) ; backtesting de mesures de risque ; moteur ALM assurance.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MATLAB, calcul numérique haute performance (simulation Monte-Carlo sur GPU).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Data Scientist / Développeur / Data Engineer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Freelance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août 2006 – juin 2010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Machine learning &amp; big data — Cdiscount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ML à grande échelle sur plateforme big data distribuée, des années avant que ce soit courant ; recommandation marketing adaptative ciblée (optimisation de graphes, Spark ML / GraphX) ; classifieur NLP de qualité de pages produit ; prévision sur logs crawlés ; plateforme de crawling sémantique (Solr), orchestration Talend, graphe Neo4j ; moteur de pricing retail algorithmique.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Ingénierie quantitative &amp; trading — Société Générale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référentiel produits exotiques &amp; cycle de vie ; lead du projet CUBE Risk (pricing à la demande d'un portefeuille dérivés actions exotiques) ; pricing de dérivés exotiques.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Systèmes de trading basse latence — CACIB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plateforme de trading automatisé in-house ; application basse latence de suivi de marché &amp; gestion d'ordres ; émulation d'ordres sophistiqués, de couverture et de scénarios.</w:t>
            </w:r>
          </w:p>
          <w:p>
            <w:pPr>
              <w:spacing w:after="60" w:before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C6773"/>
                <w:sz w:val="17"/>
                <w:szCs w:val="17"/>
              </w:rPr>
              <w:t xml:space="preserve">Environnement 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Java, Python, Spark (ML / GraphX), Solr, Neo4j, Talend.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Ingénieur de recherche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EADS  ·  Paris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sept. 2003 – août 2006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19"/>
                <w:szCs w:val="19"/>
              </w:rPr>
              <w:t xml:space="preserve">Recherche (en lien avec une thèse INRIA)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528"/>
                <w:sz w:val="19"/>
                <w:szCs w:val="19"/>
              </w:rPr>
              <w:t xml:space="preserve">de la modélisation physique aux mathématiques appliquées pour la discrétisation — mécanique des fluides &amp; acoustique, éléments finis, calcul haute performance (MPI, cluster Bull). C / Fortran.</w:t>
            </w:r>
          </w:p>
          <w:p>
            <w:pPr>
              <w:pBdr>
                <w:bottom w:val="single" w:color="C77B3B" w:sz="12" w:space="4"/>
              </w:pBdr>
              <w:spacing w:after="130" w:befor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pacing w:val="40"/>
                <w:sz w:val="23"/>
                <w:szCs w:val="23"/>
              </w:rPr>
              <w:t xml:space="preserve">FORMATION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Doctorat (PhD), mathématiques appliquées / physique / informatique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EADS / Université Henri Poincaré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2003 – 2006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Ingénieur civil des Mines (mathématiques appliquées)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Mines de Nancy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2000 – 2003</w:t>
            </w:r>
          </w:p>
          <w:p>
            <w:pPr>
              <w:spacing w:after="10" w:before="17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Master — Finance de marché</w:t>
            </w:r>
          </w:p>
          <w:p>
            <w:pPr>
              <w:tabs>
                <w:tab w:val="right" w:pos="6556"/>
              </w:tabs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7B3B"/>
                <w:sz w:val="18"/>
                <w:szCs w:val="18"/>
              </w:rPr>
              <w:t xml:space="preserve">CNAM</w:t>
            </w:r>
            <w:r>
              <w:tab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773"/>
                <w:sz w:val="17"/>
                <w:szCs w:val="17"/>
              </w:rPr>
              <w:t xml:space="preserve">2007 – 2008</w:t>
            </w:r>
          </w:p>
        </w:tc>
      </w:tr>
    </w:tbl>
    <w:sectPr>
      <w:pgSz w:w="11906" w:h="16838" w:orient="portrait"/>
      <w:pgMar w:top="680" w:right="76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528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jktrr_5tzraavrxjjovh" Type="http://schemas.openxmlformats.org/officeDocument/2006/relationships/hyperlink" Target="mailto:stefan.duprey@gmail.com" TargetMode="External"/><Relationship Id="rIdwwlgppq1q5_abg5s1timv" Type="http://schemas.openxmlformats.org/officeDocument/2006/relationships/hyperlink" Target="https://www.linkedin.com/in/stefan-duprey-40076b28/" TargetMode="External"/><Relationship Id="rIdmgykmt7c4sd1vr_epn5n0" Type="http://schemas.openxmlformats.org/officeDocument/2006/relationships/hyperlink" Target="https://github.com/sduprey" TargetMode="External"/><Relationship Id="rIdnwcbqg5_y4rsypwgp-ugd" Type="http://schemas.openxmlformats.org/officeDocument/2006/relationships/hyperlink" Target="https://www.linkedin.com/in/stefan-duprey-40076b28/" TargetMode="External"/><Relationship Id="rIdi_o2blhnbapandxwx80rh" Type="http://schemas.openxmlformats.org/officeDocument/2006/relationships/hyperlink" Target="https://independent.academia.edu/StefanDuprey" TargetMode="External"/><Relationship Id="rIdejf9dvoxtxchvtl1osiui" Type="http://schemas.openxmlformats.org/officeDocument/2006/relationships/hyperlink" Target="https://github.com/sduprey" TargetMode="External"/><Relationship Id="rIdy2vbhk0ozzcybrbzwyxim" Type="http://schemas.openxmlformats.org/officeDocument/2006/relationships/hyperlink" Target="https://www.kaggle.com/elmacho" TargetMode="External"/><Relationship Id="rIdcslvu5okpptah5b9ebjrd" Type="http://schemas.openxmlformats.org/officeDocument/2006/relationships/hyperlink" Target="https://fr.slideshare.net/StefanDuprey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Duprey</dc:creator>
  <cp:lastModifiedBy>Un-named</cp:lastModifiedBy>
  <cp:revision>1</cp:revision>
  <dcterms:created xsi:type="dcterms:W3CDTF">2026-09-11T07:17:34.614Z</dcterms:created>
  <dcterms:modified xsi:type="dcterms:W3CDTF">2026-09-11T07:17:34.615Z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