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7324d"/>
          <w:sz w:val="44"/>
          <w:szCs w:val="44"/>
          <w:rtl w:val="0"/>
        </w:rPr>
        <w:t xml:space="preserve">STEFAN DUPREY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bottom w:color="c77b3b" w:space="6" w:sz="26" w:val="single"/>
        </w:pBdr>
        <w:spacing w:after="130" w:before="4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222528"/>
          <w:sz w:val="22"/>
          <w:szCs w:val="22"/>
          <w:rtl w:val="0"/>
        </w:rPr>
        <w:t xml:space="preserve">Consultant Senior IA / ML   ·   Data Science &amp; Quant   ·   Finance &amp; Blockchain</w:t>
      </w:r>
      <w:r w:rsidDel="00000000" w:rsidR="00000000" w:rsidRPr="00000000">
        <w:rPr>
          <w:rtl w:val="0"/>
        </w:rPr>
      </w:r>
    </w:p>
    <w:tbl>
      <w:tblPr>
        <w:tblStyle w:val="Table1"/>
        <w:tblW w:w="10466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3450"/>
        <w:gridCol w:w="7016"/>
        <w:tblGridChange w:id="0">
          <w:tblGrid>
            <w:gridCol w:w="3450"/>
            <w:gridCol w:w="7016"/>
          </w:tblGrid>
        </w:tblGridChange>
      </w:tblGrid>
      <w:tr>
        <w:trPr>
          <w:cantSplit w:val="0"/>
          <w:tblHeader w:val="0"/>
        </w:trPr>
        <w:tc>
          <w:tcPr>
            <w:shd w:fill="edf1f5" w:val="clear"/>
            <w:tcMar>
              <w:top w:w="200.0" w:type="dxa"/>
              <w:left w:w="220.0" w:type="dxa"/>
              <w:bottom w:w="200.0" w:type="dxa"/>
              <w:right w:w="26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pBdr>
                <w:bottom w:color="c77b3b" w:space="3" w:sz="10" w:val="single"/>
              </w:pBdr>
              <w:spacing w:after="9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CONTACT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Chaville (92), Île-de-France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after="40" w:line="250" w:lineRule="auto"/>
              <w:rPr/>
            </w:pPr>
            <w:hyperlink r:id="rId7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stefan.duprey@gmail.com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after="40" w:line="250" w:lineRule="auto"/>
              <w:rPr/>
            </w:pPr>
            <w:hyperlink r:id="rId8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linkedin.com/in/stefanduprey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spacing w:after="0" w:line="250" w:lineRule="auto"/>
              <w:rPr/>
            </w:pPr>
            <w:hyperlink r:id="rId9">
              <w:r w:rsidDel="00000000" w:rsidR="00000000" w:rsidRPr="00000000">
                <w:rPr>
                  <w:color w:val="c77b3b"/>
                  <w:sz w:val="17"/>
                  <w:szCs w:val="17"/>
                  <w:u w:val="single"/>
                  <w:rtl w:val="0"/>
                </w:rPr>
                <w:t xml:space="preserve">My website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pBdr>
                <w:bottom w:color="c77b3b" w:space="3" w:sz="10" w:val="single"/>
              </w:pBdr>
              <w:spacing w:after="90" w:befor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COMPÉTENCES CLÉS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IA générative &amp; agentique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LLM, RAG, agents IA, prompt engineering · chatbots RAG &amp; scoring par LLM en production · LangChain / LangGraph · Claude Code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Machine &amp; deep learning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Deep learning, NLP (word2vec → transformers), séries temporelles (PyTorch, Prophet, LSTM) · Top Kaggler (Top 1 %)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MLOps &amp; plateformes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GCP Vertex AI (certifié PMLE) · AWS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·Azure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Modélisation quantitative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Finance de marché, gestion d'actifs, dérivés · optimisation de portefeuille · blockchain / DeFi · crypto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spacing w:after="120" w:line="250" w:lineRule="auto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Langages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Python, Java, Matlab,  R, SQL, Solidity  </w:t>
            </w:r>
          </w:p>
          <w:p w:rsidR="00000000" w:rsidDel="00000000" w:rsidP="00000000" w:rsidRDefault="00000000" w:rsidRPr="00000000" w14:paraId="0000000E">
            <w:pPr>
              <w:spacing w:after="120" w:line="25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17324d"/>
                <w:sz w:val="17"/>
                <w:szCs w:val="17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PostgreSQL 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·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Redshift · 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lasticSearch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Enseignement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AI -Data science - Software development Mathematics  - Financial Mathematics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pBdr>
                <w:bottom w:color="c77b3b" w:space="3" w:sz="10" w:val="single"/>
              </w:pBdr>
              <w:spacing w:after="90" w:befor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CERTIFICATIONS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spacing w:after="40" w:line="250" w:lineRule="auto"/>
              <w:rPr>
                <w:sz w:val="17"/>
                <w:szCs w:val="17"/>
              </w:rPr>
            </w:pPr>
            <w:hyperlink r:id="rId10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i w:val="0"/>
                  <w:iCs w:val="0"/>
                  <w:color w:val="1155cc"/>
                  <w:sz w:val="17"/>
                  <w:szCs w:val="17"/>
                  <w:u w:val="single"/>
                  <w:rtl w:val="0"/>
                </w:rPr>
                <w:t xml:space="preserve">Google Cloud — Professional Machine Learning Engineer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spacing w:after="40" w:line="250" w:lineRule="auto"/>
              <w:rPr>
                <w:sz w:val="17"/>
                <w:szCs w:val="17"/>
              </w:rPr>
            </w:pPr>
            <w:hyperlink r:id="rId11">
              <w:r w:rsidDel="00000000" w:rsidR="00000000" w:rsidRPr="00000000">
                <w:rPr>
                  <w:color w:val="1155cc"/>
                  <w:sz w:val="17"/>
                  <w:szCs w:val="17"/>
                  <w:u w:val="single"/>
                  <w:rtl w:val="0"/>
                </w:rPr>
                <w:t xml:space="preserve">Claude Certified Architect - Foundations</w:t>
              </w:r>
            </w:hyperlink>
            <w:hyperlink r:id="rId12">
              <w:r w:rsidDel="00000000" w:rsidR="00000000" w:rsidRPr="00000000">
                <w:rPr>
                  <w:color w:val="1155cc"/>
                  <w:sz w:val="17"/>
                  <w:szCs w:val="17"/>
                  <w:u w:val="single"/>
                  <w:rtl w:val="0"/>
                </w:rPr>
                <w:t xml:space="preserve"> 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spacing w:after="40" w:line="250" w:lineRule="auto"/>
              <w:rPr/>
            </w:pPr>
            <w:hyperlink r:id="rId13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i w:val="0"/>
                  <w:iCs w:val="0"/>
                  <w:color w:val="1155cc"/>
                  <w:sz w:val="17"/>
                  <w:szCs w:val="17"/>
                  <w:u w:val="single"/>
                  <w:rtl w:val="0"/>
                </w:rPr>
                <w:t xml:space="preserve">Certification AMF — Autorité des Marchés Financiers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pBdr>
                <w:bottom w:color="c77b3b" w:space="3" w:sz="10" w:val="single"/>
              </w:pBdr>
              <w:spacing w:after="90" w:befor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LANGUES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Français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langue maternelle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Anglais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courant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Allemand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professionnel (Goethe Institut)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pBdr>
                <w:bottom w:color="c77b3b" w:space="3" w:sz="10" w:val="single"/>
              </w:pBdr>
              <w:spacing w:after="90" w:befor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LIENS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spacing w:after="40" w:line="250" w:lineRule="auto"/>
              <w:rPr/>
            </w:pPr>
            <w:hyperlink r:id="rId14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LinkedIn</w:t>
              </w:r>
            </w:hyperlink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·  </w:t>
            </w:r>
            <w:hyperlink r:id="rId15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Academia</w:t>
              </w:r>
            </w:hyperlink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·  </w:t>
            </w:r>
            <w:hyperlink r:id="rId16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GitHub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spacing w:after="0" w:line="250" w:lineRule="auto"/>
              <w:rPr/>
            </w:pPr>
            <w:hyperlink r:id="rId17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Kaggle (Top 1 %)</w:t>
              </w:r>
            </w:hyperlink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·  </w:t>
            </w:r>
            <w:hyperlink r:id="rId18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SlideShare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00.0" w:type="dxa"/>
              <w:left w:w="34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Bdr>
                <w:bottom w:color="c77b3b" w:space="4" w:sz="12" w:val="single"/>
              </w:pBdr>
              <w:spacing w:after="13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3"/>
                <w:szCs w:val="23"/>
                <w:rtl w:val="0"/>
              </w:rPr>
              <w:t xml:space="preserve">PROFIL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spacing w:after="9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9"/>
                <w:szCs w:val="19"/>
                <w:rtl w:val="0"/>
              </w:rPr>
              <w:t xml:space="preserve">20 ans à concevoir et déployer des systèmes d'IA qui tiennent en production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9"/>
                <w:szCs w:val="19"/>
                <w:rtl w:val="0"/>
              </w:rPr>
              <w:t xml:space="preserve"> — applications LLM &amp; IA agentique, pipelines MLOps pour tirer de la valeur métier des données.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spacing w:after="9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9"/>
                <w:szCs w:val="19"/>
                <w:rtl w:val="0"/>
              </w:rPr>
              <w:t xml:space="preserve">Expérience de bout en bout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9"/>
                <w:szCs w:val="19"/>
                <w:rtl w:val="0"/>
              </w:rPr>
              <w:t xml:space="preserve"> en IA agentique, machine learning, data science, algorithmique, data analytics, économétrie, mathématiques appliquées et ingénierie logicielle — NLP par deep learning sur embeddings word2vec dès 2014.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spacing w:after="9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9"/>
                <w:szCs w:val="19"/>
                <w:rtl w:val="0"/>
              </w:rPr>
              <w:t xml:space="preserve">Product manager IA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9"/>
                <w:szCs w:val="19"/>
                <w:rtl w:val="0"/>
              </w:rPr>
              <w:t xml:space="preserve"> : je transforme des POC en produits en production — cadrage des cas d'usage, priorisation valeur / faisabilité, delivery et reporting.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9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9"/>
                <w:szCs w:val="19"/>
                <w:rtl w:val="0"/>
              </w:rPr>
              <w:t xml:space="preserve">Leader technique transverse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9"/>
                <w:szCs w:val="19"/>
                <w:rtl w:val="0"/>
              </w:rPr>
              <w:t xml:space="preserve"> — quant, data scientist, ML engineer &amp; développeur : j'apporte les fondements mathématiques de l'IA moderne, pas seulement les surcouches.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spacing w:after="4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8"/>
                <w:szCs w:val="18"/>
                <w:rtl w:val="0"/>
              </w:rPr>
              <w:t xml:space="preserve">Doctorat en mathématiques appliquées · Master statistiques · Google PMLE · Top Kaggler · enseignant ML / data science (Dauphine, EPITA, Mines de Nancy, Aivancity, Albert School).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pBdr>
                <w:bottom w:color="c77b3b" w:space="4" w:sz="12" w:val="single"/>
              </w:pBdr>
              <w:spacing w:after="130" w:before="2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3"/>
                <w:szCs w:val="23"/>
                <w:rtl w:val="0"/>
              </w:rPr>
              <w:t xml:space="preserve">EXPÉRIENCE PROFESSIONNELLE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Consultant IA / ML — Enseignant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Freelance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janv. 2024 – aujourd'hui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Tech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Lead </w:t>
            </w: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AI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— Proof of Value « IA au service de la chaîne DevOps / Data »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pour une grande banque française (via Keyrus) : intégration d'agents IA dans la CI/CD, génération de tests assistée par IA, outil automatisé de data lineage (SQLGlot / NetworkX).</w:t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>
                <w:u w:val="none"/>
              </w:rPr>
            </w:pP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Tech Lead AI –  PoC LLM piloting RPA </w:t>
            </w:r>
            <w:r w:rsidDel="00000000" w:rsidR="00000000" w:rsidRPr="00000000">
              <w:rPr>
                <w:rtl w:val="0"/>
              </w:rPr>
              <w:t xml:space="preserve">conception d'un agent web qui automatise la saisie multi-assureurs pour les courtiers. Il repose sur un moteur de schema matching hybride (règles, embeddings, LLM), SOM archi sur une architecture Azure souveraine.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>
                <w:u w:val="none"/>
              </w:rPr>
            </w:pP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Technical lead AI –  PoC pour un agent Text-to-SPARQL</w:t>
            </w:r>
            <w:r w:rsidDel="00000000" w:rsidR="00000000" w:rsidRPr="00000000">
              <w:rPr>
                <w:rtl w:val="0"/>
              </w:rPr>
              <w:t xml:space="preserve"> pour requêter une base de graphs Neptune sur AWS</w:t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Enseignement IA, data science &amp; méthodes quantitatives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prompt engineering &amp; LangChain / LangGraph (Albert School), data science, optimisation &amp; blockchain (EPITA), Python pour la finance (Master Finance, Dauphine), séries temporelles &amp; probabilités (Aivancity), analyse numérique (Mines de Nancy).</w:t>
            </w:r>
          </w:p>
          <w:p w:rsidR="00000000" w:rsidDel="00000000" w:rsidP="00000000" w:rsidRDefault="00000000" w:rsidRPr="00000000" w14:paraId="00000029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Data Scientist &amp; AI Engineer / Quantitative Analyst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SwissBorg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févr. 2022 – mai 2026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Produits IA &amp; data science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chatbot RAG d'exploration de l'offre (POC → production) ; moteur de recommandation IA (POC → industrialisation) ; pricing IA de stratégies optionnelles (payoff, calibration de courbes / surfaces de volatilité / corrélations, greeks) ; moteur KYD de profilage de risque et de recommandation d'investissement.</w:t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Recherche quantitative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spécifications de SwissBorg MEX (méta-agrégateur de liquidité CEX &amp; DEX) ; bots de market-making hybrides CEX/DEX (liquidité concentrée, gestion d'inventaire) ; AMC smart-beta pour institutionnels, fonds de signaux trend-following, indices sectoriels RWA, optimisation de staking &amp; yield-farming DeFi.</w:t>
            </w:r>
          </w:p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ML engineering &amp; DataOps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pipelines DataOps, librairies Python de backtesting, bots de trading / signaux, dashboards produits. Multi-container Docker setup built on the open-source Hummingbot framework, handling multiple pairs and venues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Python, LangChain / LangGraph, PyTorch, Prophet, Airflow, Kafka, Redshift, Metabase, Docker, Claude Code.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Quantitative Analyst / Data Scientist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CoinShares (ex-NapoleonX)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mai 2019 – févr. 2022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Modélisation ML &amp; data science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modèles IA / data science au service des stratégies financières et de la meilleure exécution ; prévision et modélisation quantitative en Python (PyTorch, Prophet).</w:t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Gestion d'actifs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gérant délégué d'un fonds réglementé de futures bitcoin — opérations quotidiennes (NAV, rachats, roll de futures).</w:t>
            </w:r>
          </w:p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Ingénierie logicielle &amp; blockchain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microservices de trading crypto, rebalancing de fonds et APIs de paiement ; cryptographie appliquée (Merkle, zk-SNARK) ; smart contracts d'ICO.</w:t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Product management</w:t>
            </w: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framework de fonds autonome décentralisé (asset management on-chain) ; framework de preuve de performance / preuve d'alpha labellisé Finance Innovation.</w:t>
            </w:r>
          </w:p>
          <w:p w:rsidR="00000000" w:rsidDel="00000000" w:rsidP="00000000" w:rsidRDefault="00000000" w:rsidRPr="00000000" w14:paraId="00000035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Python, Java / Spring Boot, Solidity, PyTorch, Prophet, Dash / Plotly, PostgreSQL, Kafka, ELK, S3, EC2, Docker.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Senior Consultant, Data Science &amp; Quantitative Finance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EY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nov. 2016 – mai 2019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Data science &amp; ML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feature engineering par graphes pour la détection de fraude (Neo4j) ; modèles de scoring &amp; risque de crédit (scoring, PD, LGD ; revue et validation) ; modélisation de l'abus de marché ; moteur de recherche NLP sur textes réglementaires RGPD ; open-data analytics.</w:t>
            </w:r>
          </w:p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Encadrement &amp; delivery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responsable formation de l'équipe data science ; product manager — mise en place de l'offre « DataLab ».</w:t>
            </w:r>
          </w:p>
          <w:p w:rsidR="00000000" w:rsidDel="00000000" w:rsidP="00000000" w:rsidRDefault="00000000" w:rsidRPr="00000000" w14:paraId="0000003A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Python, R, Spark, Elasticsearch, Neo4j, PostgreSQL / SAS, Tableau, RShiny.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Data Scientist / Quantitative Analyst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RavenPack  ·  Espagne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mai 2014 – nov. 2016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NLP par deep learning pour la finance, à l'état de l'art de l'époque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modèles de deep learning pour la classification d'événements sur embeddings word2vec — parmi les premiers à appliquer les modèles de Mikolov, une décennie avant la vague LLM.</w:t>
            </w:r>
          </w:p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Recherche quantitative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signaux de trading NLP actionnables sur le flux de news du Russell 2000 ; étude intraday (minute) de l'impact des news sur les actions ; prévision macro VAR / VEC (précision PIB supérieure au consensus) ; signal NLP géopolitique pour stratégies cash-and-carry ; modèles de facteurs de risque fondés sur les news.</w:t>
            </w:r>
          </w:p>
          <w:p w:rsidR="00000000" w:rsidDel="00000000" w:rsidP="00000000" w:rsidRDefault="00000000" w:rsidRPr="00000000" w14:paraId="0000003F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Python, R, Amazon Redshift.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Consultant, Data Science &amp; Quantitative Finance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The MathWorks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juin 2010 – mai 2014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Référent technique de la suite financière MathWorks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— le socle de calcul numérique et de mathématiques appliquées sur lequel repose le ML d'aujourd'hui.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Modélisation statistique &amp; optimisation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optimisation de portefeuille (Black-Litterman, CVaR, MAD, risk parity, modèles factoriels à covariance shrinkée) ; pricing numérique d'options exotiques ; processus stochastiques et volatilité ; modélisation de taux (cointégration / VEC, Libor Market Model) ; backtesting de mesures de risque ; moteur ALM assurance.</w:t>
            </w:r>
          </w:p>
          <w:p w:rsidR="00000000" w:rsidDel="00000000" w:rsidP="00000000" w:rsidRDefault="00000000" w:rsidRPr="00000000" w14:paraId="00000044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MATLAB, calcul numérique haute performance (simulation Monte-Carlo sur GPU).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Data Scientist / Développeur / Data Engineer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Freelance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août 2006 – juin 2010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Machine learning &amp; big data — Cdiscount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ML à grande échelle sur plateforme big data distribuée, des années avant que ce soit courant ; recommandation marketing adaptative ciblée (optimisation de graphes, Spark ML / GraphX) ; classifieur NLP de qualité de pages produit ; prévision sur logs crawlés ; plateforme de crawling sémantique (Solr), orchestration Talend, graphe Neo4j ; moteur de pricing retail algorithmique.</w:t>
            </w:r>
          </w:p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Ingénierie quantitative &amp; trading — Société Générale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référentiel produits exotiques &amp; cycle de vie ; lead du projet CUBE Risk (pricing à la demande d'un portefeuille dérivés actions exotiques) ; pricing de dérivés exotiques.</w:t>
            </w:r>
          </w:p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Systèmes de trading basse latence — CACIB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plateforme de trading automatisé in-house ; application basse latence de suivi de marché &amp; gestion d'ordres ; émulation d'ordres sophistiqués, de couverture et de scénarios.</w:t>
            </w:r>
          </w:p>
          <w:p w:rsidR="00000000" w:rsidDel="00000000" w:rsidP="00000000" w:rsidRDefault="00000000" w:rsidRPr="00000000" w14:paraId="0000004A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Java, Python, Spark (ML / GraphX), Solr, Neo4j, Talend.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Ingénieur de recherche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EADS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sept. 2003 – août 2006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Recherche (en lien avec une thèse INRIA)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de la modélisation physique aux mathématiques appliquées pour la discrétisation — mécanique des fluides &amp; acoustique, éléments finis, calcul haute performance (MPI, cluster Bull). C / Fortran.</w:t>
            </w:r>
          </w:p>
          <w:p w:rsidR="00000000" w:rsidDel="00000000" w:rsidP="00000000" w:rsidRDefault="00000000" w:rsidRPr="00000000" w14:paraId="0000004E">
            <w:pPr>
              <w:pBdr>
                <w:bottom w:color="c77b3b" w:space="4" w:sz="12" w:val="single"/>
              </w:pBdr>
              <w:spacing w:after="130" w:before="2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3"/>
                <w:szCs w:val="23"/>
                <w:rtl w:val="0"/>
              </w:rPr>
              <w:t xml:space="preserve">FORMATION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Doctorat (PhD), mathématiques appliquées / physique / informatique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EADS / Université Henri Poincaré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2003 – 2006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Ingénieur civil des Mines (mathématiques appliquées)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Mines de Nancy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2000 – 2003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Master — Finance de marché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CNAM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2007 – 2008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560" w:top="680" w:left="680" w:right="76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222528"/>
        <w:sz w:val="19"/>
        <w:szCs w:val="19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19"/>
      <w:szCs w:val="19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19"/>
      <w:szCs w:val="19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19"/>
      <w:szCs w:val="19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22528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credly.com/badges/233a0f86-7a66-4920-8416-059f3f105fa7/linked_in_profile" TargetMode="External"/><Relationship Id="rId10" Type="http://schemas.openxmlformats.org/officeDocument/2006/relationships/hyperlink" Target="https://www.credly.com/badges/d45d2072-9c2c-49c2-b510-50d566a322f4/linked_in_profile" TargetMode="External"/><Relationship Id="rId13" Type="http://schemas.openxmlformats.org/officeDocument/2006/relationships/hyperlink" Target="https://sduprey.github.io/Ba_Attestation%20AMF_Stefan_DUPREY.pdf" TargetMode="External"/><Relationship Id="rId12" Type="http://schemas.openxmlformats.org/officeDocument/2006/relationships/hyperlink" Target="https://www.credly.com/badges/233a0f86-7a66-4920-8416-059f3f105fa7/linked_in_profile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sduprey.github.io" TargetMode="External"/><Relationship Id="rId15" Type="http://schemas.openxmlformats.org/officeDocument/2006/relationships/hyperlink" Target="https://independent.academia.edu/StefanDuprey" TargetMode="External"/><Relationship Id="rId14" Type="http://schemas.openxmlformats.org/officeDocument/2006/relationships/hyperlink" Target="https://www.linkedin.com/in/stefan-duprey-40076b28/" TargetMode="External"/><Relationship Id="rId17" Type="http://schemas.openxmlformats.org/officeDocument/2006/relationships/hyperlink" Target="https://www.kaggle.com/elmacho" TargetMode="External"/><Relationship Id="rId16" Type="http://schemas.openxmlformats.org/officeDocument/2006/relationships/hyperlink" Target="https://github.com/sduprey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18" Type="http://schemas.openxmlformats.org/officeDocument/2006/relationships/hyperlink" Target="https://fr.slideshare.net/StefanDuprey" TargetMode="External"/><Relationship Id="rId7" Type="http://schemas.openxmlformats.org/officeDocument/2006/relationships/hyperlink" Target="mailto:stefan.duprey@gmail.com" TargetMode="External"/><Relationship Id="rId8" Type="http://schemas.openxmlformats.org/officeDocument/2006/relationships/hyperlink" Target="https://www.linkedin.com/in/stefan-duprey-40076b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1XRW6ZjoRbRA583fFRZFLDQvbA==">CgMxLjA4AHIhMUd1MTAwdGdab0c0TkcteEtGVWF3SHNkblYtTUlTNDF4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2026-09-11T07:17:34.614Z</dcterms:created>
  <dc:creator>Stefan Duprey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